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0DA533D" w14:textId="77777777" w:rsidR="00000000" w:rsidRDefault="00000000">
      <w:pPr>
        <w:pStyle w:val="NoSpacing"/>
      </w:pPr>
      <w:r>
        <w:t>Society for Neo-Latin Studies</w:t>
      </w:r>
    </w:p>
    <w:p w14:paraId="42B827FF" w14:textId="77777777" w:rsidR="00000000" w:rsidRDefault="00000000">
      <w:pPr>
        <w:pStyle w:val="NoSpacing"/>
      </w:pPr>
      <w:r>
        <w:t>Annual General Meeting</w:t>
      </w:r>
    </w:p>
    <w:p w14:paraId="2DE33D80" w14:textId="77777777" w:rsidR="00000000" w:rsidRDefault="00000000">
      <w:pPr>
        <w:pStyle w:val="NoSpacing"/>
      </w:pPr>
      <w:r>
        <w:t>Friday 25 February 2011</w:t>
      </w:r>
    </w:p>
    <w:p w14:paraId="01BB2581" w14:textId="77777777" w:rsidR="00000000" w:rsidRDefault="00000000">
      <w:pPr>
        <w:pStyle w:val="NoSpacing"/>
      </w:pPr>
      <w:r>
        <w:t>King’s College, London</w:t>
      </w:r>
    </w:p>
    <w:p w14:paraId="039A7CB7" w14:textId="77777777" w:rsidR="00000000" w:rsidRDefault="00000000">
      <w:pPr>
        <w:pStyle w:val="NoSpacing"/>
      </w:pPr>
    </w:p>
    <w:p w14:paraId="58AF2A75" w14:textId="77777777" w:rsidR="00000000" w:rsidRDefault="00000000">
      <w:pPr>
        <w:pStyle w:val="NoSpacing"/>
      </w:pPr>
      <w:r>
        <w:t>MINUTES</w:t>
      </w:r>
    </w:p>
    <w:p w14:paraId="52FCC141" w14:textId="77777777" w:rsidR="00000000" w:rsidRDefault="00000000">
      <w:pPr>
        <w:pStyle w:val="NoSpacing"/>
      </w:pPr>
    </w:p>
    <w:p w14:paraId="458EC7B5" w14:textId="77777777" w:rsidR="00000000" w:rsidRDefault="00000000">
      <w:pPr>
        <w:pStyle w:val="NoSpacing"/>
        <w:ind w:left="720"/>
      </w:pPr>
      <w:r>
        <w:rPr>
          <w:u w:val="single"/>
        </w:rPr>
        <w:t>Present</w:t>
      </w:r>
      <w:r>
        <w:t>: Sarah Knight (President, Chair) , Victoria Moul (Vice-President), Ingrid De Smet (Treasurer), Andrew Taylor (Secretary), David Money, Floris Verhaart, Valery Rees, Letizia Panizza, Stephen Ryle, Jacquie Glomski, Gesine Manuwald (Guest Lecturer), Tom Ford, Philip Ford, Luke Houghton, Paul Botley, Lizzie Sandis, Tania Demetriou, Jim Binns, new members.</w:t>
      </w:r>
    </w:p>
    <w:p w14:paraId="11905694" w14:textId="77777777" w:rsidR="00000000" w:rsidRDefault="00000000">
      <w:pPr>
        <w:pStyle w:val="NoSpacing"/>
      </w:pPr>
    </w:p>
    <w:p w14:paraId="69562DDA" w14:textId="77777777" w:rsidR="00000000" w:rsidRDefault="00000000">
      <w:pPr>
        <w:pStyle w:val="NoSpacing"/>
      </w:pPr>
      <w:r>
        <w:t>1.</w:t>
      </w:r>
      <w:r>
        <w:tab/>
        <w:t>Apologies were received from Ann Moss.</w:t>
      </w:r>
    </w:p>
    <w:p w14:paraId="2A29E5FA" w14:textId="77777777" w:rsidR="00000000" w:rsidRDefault="00000000">
      <w:pPr>
        <w:pStyle w:val="NoSpacing"/>
      </w:pPr>
    </w:p>
    <w:p w14:paraId="2468833C" w14:textId="77777777" w:rsidR="00000000" w:rsidRDefault="00000000">
      <w:pPr>
        <w:pStyle w:val="NoSpacing"/>
        <w:rPr>
          <w:u w:val="single"/>
        </w:rPr>
      </w:pPr>
      <w:r>
        <w:t>2.</w:t>
      </w:r>
      <w:r>
        <w:tab/>
      </w:r>
      <w:r>
        <w:rPr>
          <w:u w:val="single"/>
        </w:rPr>
        <w:t>Research Funding</w:t>
      </w:r>
    </w:p>
    <w:p w14:paraId="587F5F59" w14:textId="77777777" w:rsidR="00000000" w:rsidRDefault="00000000">
      <w:pPr>
        <w:pStyle w:val="NoSpacing"/>
        <w:ind w:left="720"/>
        <w:rPr>
          <w:u w:val="single"/>
        </w:rPr>
      </w:pPr>
    </w:p>
    <w:p w14:paraId="2979CF45" w14:textId="77777777" w:rsidR="00000000" w:rsidRDefault="00000000">
      <w:pPr>
        <w:pStyle w:val="NoSpacing"/>
        <w:ind w:left="720"/>
      </w:pPr>
      <w:r>
        <w:t xml:space="preserve">The AHRC ‘highlight notice’ for </w:t>
      </w:r>
      <w:r>
        <w:rPr>
          <w:i/>
        </w:rPr>
        <w:t>Translating Cultures</w:t>
      </w:r>
      <w:r>
        <w:t xml:space="preserve"> was discussed, with a view to shaping a funding application. This might include a seminar series, networking, and a conference. It was thought that the proposal should emphasize both the research network and outreach. The emphasis on UK networks for the AHRC bid was noted, although an international dimension (Leiden, Louvain, Lyon) could allow for a larger bid (IANLS interests and activities would have be considered). The need to justify an international dimension in the AHRC bid was noted. Links with a publisher were also thought to be advantageous. It was decided that an outline proposal should be drafted by a working party, which would be circulated for comment later in the year. Jacquie Glomski kindly volunteered to help draft the proposal. Given the 4-5 month probable wait for a decision from the AHRC, it was thought that the proposal should be submitted by the end of December 2011.</w:t>
      </w:r>
    </w:p>
    <w:p w14:paraId="41116029" w14:textId="77777777" w:rsidR="00000000" w:rsidRDefault="00000000">
      <w:pPr>
        <w:pStyle w:val="NoSpacing"/>
        <w:ind w:left="720"/>
      </w:pPr>
    </w:p>
    <w:p w14:paraId="52A2D36B" w14:textId="77777777" w:rsidR="00000000" w:rsidRDefault="00000000">
      <w:pPr>
        <w:pStyle w:val="NoSpacing"/>
        <w:ind w:left="720"/>
      </w:pPr>
      <w:r>
        <w:t>Funding opportunities from the AHRC foreign languages programme were also noted, with similar available through the British Academy. This would be particularly pertinent to graduate seminars/teaching.</w:t>
      </w:r>
    </w:p>
    <w:p w14:paraId="4B95977F" w14:textId="77777777" w:rsidR="00000000" w:rsidRDefault="00000000">
      <w:pPr>
        <w:pStyle w:val="NoSpacing"/>
        <w:ind w:left="720"/>
      </w:pPr>
    </w:p>
    <w:p w14:paraId="44E1C4FE" w14:textId="77777777" w:rsidR="00000000" w:rsidRDefault="00000000">
      <w:r>
        <w:t>3.</w:t>
      </w:r>
      <w:r>
        <w:tab/>
      </w:r>
      <w:r>
        <w:rPr>
          <w:u w:val="single"/>
        </w:rPr>
        <w:t>Neo-Latin Publications</w:t>
      </w:r>
    </w:p>
    <w:p w14:paraId="244F26A8" w14:textId="77777777" w:rsidR="00000000" w:rsidRDefault="00000000">
      <w:r>
        <w:tab/>
        <w:t>A number of recent and forthcoming publications were profiled:</w:t>
      </w:r>
    </w:p>
    <w:p w14:paraId="0B8AC178" w14:textId="77777777" w:rsidR="00000000" w:rsidRDefault="00000000">
      <w:pPr>
        <w:ind w:left="360"/>
      </w:pPr>
      <w:r>
        <w:t xml:space="preserve">(a) </w:t>
      </w:r>
      <w:r>
        <w:rPr>
          <w:i/>
        </w:rPr>
        <w:t>The Neo-Latin Encyclopaedia</w:t>
      </w:r>
      <w:r>
        <w:t>, ed. Jan Bloemendal (University of Amsterdam and Huygens Institute KNAW, The Hague), Charles Fantazzi (East Carolina University), Philip Ford (University of Cambridge), Arjan van Dijk (Brill, Leiden) (Brill, forthcoming c. 2013): Volume I, a macropaedia containing essays on the literature and culture of neo-Latin writing covering a broad period to the present; Volume II, a micropaedia containing a large number of short articles to enlarge specific aspects of the macropaedia’s essays.</w:t>
      </w:r>
    </w:p>
    <w:p w14:paraId="652CC22D" w14:textId="77777777" w:rsidR="00000000" w:rsidRDefault="00000000">
      <w:pPr>
        <w:pStyle w:val="ListParagraph"/>
        <w:ind w:left="360"/>
      </w:pPr>
      <w:r>
        <w:t xml:space="preserve">(b)  The prospect of a </w:t>
      </w:r>
      <w:r>
        <w:rPr>
          <w:i/>
        </w:rPr>
        <w:t>Cambridge Companion to Neo-Latin Poetry</w:t>
      </w:r>
      <w:r>
        <w:t xml:space="preserve"> and a </w:t>
      </w:r>
      <w:r>
        <w:rPr>
          <w:i/>
        </w:rPr>
        <w:t>Neo-Latin Anthology</w:t>
      </w:r>
      <w:r>
        <w:t xml:space="preserve"> in the Cambridge Greek and Latin Classics series.</w:t>
      </w:r>
    </w:p>
    <w:p w14:paraId="01223149" w14:textId="77777777" w:rsidR="00000000" w:rsidRDefault="00000000">
      <w:pPr>
        <w:pStyle w:val="ListParagraph"/>
        <w:numPr>
          <w:ilvl w:val="0"/>
          <w:numId w:val="7"/>
        </w:numPr>
      </w:pPr>
      <w:r>
        <w:t xml:space="preserve">Luke Houghton and Gesine Manuwald, ed., </w:t>
      </w:r>
      <w:r>
        <w:rPr>
          <w:i/>
        </w:rPr>
        <w:t>Anglo-Latin Poetry</w:t>
      </w:r>
      <w:r>
        <w:t xml:space="preserve"> (Bloomsbury Academic, forthcoming c. 2012).</w:t>
      </w:r>
    </w:p>
    <w:p w14:paraId="17C97771" w14:textId="77777777" w:rsidR="00000000" w:rsidRDefault="00000000">
      <w:pPr>
        <w:pStyle w:val="ListParagraph"/>
        <w:numPr>
          <w:ilvl w:val="0"/>
          <w:numId w:val="7"/>
        </w:numPr>
      </w:pPr>
      <w:r>
        <w:t>The I Tatti series continues to expand its library of Italian Renaissance works.</w:t>
      </w:r>
    </w:p>
    <w:p w14:paraId="26F7ED31" w14:textId="77777777" w:rsidR="00000000" w:rsidRDefault="00000000">
      <w:pPr>
        <w:pStyle w:val="ListParagraph"/>
        <w:numPr>
          <w:ilvl w:val="0"/>
          <w:numId w:val="7"/>
        </w:numPr>
      </w:pPr>
      <w:r>
        <w:t xml:space="preserve">Volume II of Ficino’s </w:t>
      </w:r>
      <w:r>
        <w:rPr>
          <w:i/>
        </w:rPr>
        <w:t>Epistolae</w:t>
      </w:r>
      <w:r>
        <w:t>, ed. Sebastiano Gentile, should appear soon with Olschki.</w:t>
      </w:r>
    </w:p>
    <w:p w14:paraId="10532631" w14:textId="77777777" w:rsidR="00000000" w:rsidRDefault="00000000">
      <w:pPr>
        <w:pStyle w:val="ListParagraph"/>
        <w:numPr>
          <w:ilvl w:val="0"/>
          <w:numId w:val="7"/>
        </w:numPr>
      </w:pPr>
      <w:r>
        <w:lastRenderedPageBreak/>
        <w:t xml:space="preserve">George Buchanan, </w:t>
      </w:r>
      <w:r>
        <w:rPr>
          <w:i/>
        </w:rPr>
        <w:t>Poetic Paraphrase of the Psalms of David</w:t>
      </w:r>
      <w:r>
        <w:t>, ed. and tr. Roger Green, Travaux d’Humanisme et Renaissance (Droz, forthcoming 2011).</w:t>
      </w:r>
    </w:p>
    <w:p w14:paraId="60ECD62A" w14:textId="77777777" w:rsidR="00000000" w:rsidRDefault="00000000">
      <w:pPr>
        <w:pStyle w:val="ListParagraph"/>
        <w:numPr>
          <w:ilvl w:val="0"/>
          <w:numId w:val="7"/>
        </w:numPr>
      </w:pPr>
      <w:r>
        <w:t xml:space="preserve">IANLS </w:t>
      </w:r>
      <w:r>
        <w:rPr>
          <w:i/>
        </w:rPr>
        <w:t>Acta</w:t>
      </w:r>
      <w:r>
        <w:t xml:space="preserve"> from the Hungarian congress (the last to be published by MRTS, with Brill handling the Uppsala </w:t>
      </w:r>
      <w:r>
        <w:rPr>
          <w:i/>
        </w:rPr>
        <w:t>Acta</w:t>
      </w:r>
      <w:r>
        <w:t xml:space="preserve"> onwards).</w:t>
      </w:r>
    </w:p>
    <w:p w14:paraId="78E0FFD4" w14:textId="77777777" w:rsidR="00000000" w:rsidRDefault="00000000">
      <w:pPr>
        <w:ind w:left="360" w:hanging="360"/>
      </w:pPr>
      <w:r>
        <w:t>4.</w:t>
      </w:r>
      <w:r>
        <w:tab/>
        <w:t xml:space="preserve">SNLS on-line neo-Latin anthology: Freya Fitzpatrick’s offering from Swedenborg will soon appear on the website hosted by Warwick University: </w:t>
      </w:r>
    </w:p>
    <w:p w14:paraId="6AC36631" w14:textId="77777777" w:rsidR="00000000" w:rsidRDefault="00000000">
      <w:pPr>
        <w:ind w:firstLine="360"/>
      </w:pPr>
      <w:hyperlink r:id="rId5" w:history="1">
        <w:r>
          <w:rPr>
            <w:rStyle w:val="Hyperlink"/>
          </w:rPr>
          <w:t>http://www2.warwick.ac.uk/fac/arts/ren/snls/snls_teaching_anthology/</w:t>
        </w:r>
      </w:hyperlink>
    </w:p>
    <w:p w14:paraId="65346181" w14:textId="77777777" w:rsidR="00000000" w:rsidRDefault="00000000">
      <w:pPr>
        <w:pStyle w:val="NoSpacing"/>
        <w:ind w:firstLine="360"/>
      </w:pPr>
      <w:r>
        <w:t>We would be grateful for further contributions.</w:t>
      </w:r>
    </w:p>
    <w:p w14:paraId="258D8DCC" w14:textId="77777777" w:rsidR="00000000" w:rsidRDefault="00000000"/>
    <w:p w14:paraId="42858F38" w14:textId="77777777" w:rsidR="00000000" w:rsidRDefault="00000000">
      <w:pPr>
        <w:ind w:left="360" w:hanging="360"/>
      </w:pPr>
      <w:r>
        <w:t>5.</w:t>
      </w:r>
      <w:r>
        <w:tab/>
      </w:r>
      <w:r>
        <w:rPr>
          <w:u w:val="single"/>
        </w:rPr>
        <w:t>SNLS and IANLS</w:t>
      </w:r>
      <w:r>
        <w:t>: Prof. Craig Kallendorf, First Vice-Chairman of the Advisory Board of the IANLS has formally invited the SNLS to affiliate with the Association. This implies the opportunity for representation on the Advisory Board, which is constituted from appointed members and representatives of affiliated societies. The IANLS is especially interested in national societies. SNLS representatives would attend the two meetings of the Advisory Board held on the first and last days of the triennial IANLS congress. At other times the First VC would consult via email.</w:t>
      </w:r>
    </w:p>
    <w:p w14:paraId="18D43575" w14:textId="77777777" w:rsidR="00000000" w:rsidRDefault="00000000">
      <w:pPr>
        <w:ind w:left="360"/>
      </w:pPr>
      <w:r>
        <w:t>Prof. Kallendorf also invited members to consider submitting c. 150 word proposals (email preferred) for the next congress, 5-10 August 2012 in Münster. The deadline for papers and/or panels is 31</w:t>
      </w:r>
      <w:r>
        <w:rPr>
          <w:vertAlign w:val="superscript"/>
        </w:rPr>
        <w:t>st</w:t>
      </w:r>
      <w:r>
        <w:t xml:space="preserve"> March 2011. See www.ianls.org.</w:t>
      </w:r>
    </w:p>
    <w:p w14:paraId="20138260" w14:textId="77777777" w:rsidR="00000000" w:rsidRDefault="00000000">
      <w:pPr>
        <w:ind w:left="360" w:hanging="360"/>
      </w:pPr>
      <w:r>
        <w:t>6.</w:t>
      </w:r>
      <w:r>
        <w:tab/>
      </w:r>
      <w:r>
        <w:rPr>
          <w:u w:val="single"/>
        </w:rPr>
        <w:t>SNLS Conference</w:t>
      </w:r>
      <w:r>
        <w:t>: there was consideration of the desirability of an international conference on a well-focused subject to promote the Society. It was agreed that early Spring 2012 might be a good period to aim for, avoiding the 2012 RSA meeting in late March. The application deadline for MHRA funding (£1500 max.) is 31 July 2011 for March-Sept 2012 events.</w:t>
      </w:r>
    </w:p>
    <w:p w14:paraId="277D718C" w14:textId="77777777" w:rsidR="00000000" w:rsidRDefault="00000000">
      <w:pPr>
        <w:ind w:left="360"/>
      </w:pPr>
      <w:r>
        <w:rPr>
          <w:u w:val="single"/>
        </w:rPr>
        <w:t>Funding Strategies</w:t>
      </w:r>
      <w:r>
        <w:t>: It was agreed that a working party should be convened to take forward funding applications for a variety of possible projects.</w:t>
      </w:r>
    </w:p>
    <w:p w14:paraId="1279C514" w14:textId="77777777" w:rsidR="00000000" w:rsidRDefault="00000000">
      <w:pPr>
        <w:ind w:left="360" w:hanging="360"/>
      </w:pPr>
      <w:r>
        <w:t xml:space="preserve">7. </w:t>
      </w:r>
      <w:r>
        <w:tab/>
      </w:r>
      <w:r>
        <w:rPr>
          <w:u w:val="single"/>
        </w:rPr>
        <w:t>Treasurer’s Report</w:t>
      </w:r>
      <w:r>
        <w:t>: The Treasurer spoke to her annual report, which was distributed. The report was accepted unanimously, and the Treasurer was thanked for her work. She emphasized the need to increase subscription levels. The possibility of on-line payment was discussed, but at present logistical and financial impediments exist. It was noted that the phasing out of chequebooks would necessitate a change in the way subscriptions would be paid. Bank transfer looks the most likely method.</w:t>
      </w:r>
    </w:p>
    <w:p w14:paraId="648A531A" w14:textId="77777777" w:rsidR="00000000" w:rsidRDefault="00000000">
      <w:pPr>
        <w:ind w:left="360"/>
      </w:pPr>
      <w:r>
        <w:rPr>
          <w:u w:val="single"/>
        </w:rPr>
        <w:t>Promotion of the Society</w:t>
      </w:r>
      <w:r>
        <w:t>: It was agreed that the Society should produce flyers to advertise its interests and activities at large events like the RSA and IANLS. The cost was thought to be small, c. £30 / 100 flyers, with economies of scale inviting larger print runs.</w:t>
      </w:r>
    </w:p>
    <w:p w14:paraId="29A2E72F" w14:textId="77777777" w:rsidR="00000000" w:rsidRDefault="00000000">
      <w:pPr>
        <w:rPr>
          <w:u w:val="single"/>
        </w:rPr>
      </w:pPr>
      <w:r>
        <w:t xml:space="preserve">8. </w:t>
      </w:r>
      <w:r>
        <w:rPr>
          <w:u w:val="single"/>
        </w:rPr>
        <w:t>Other Business</w:t>
      </w:r>
    </w:p>
    <w:p w14:paraId="698BCEA3" w14:textId="77777777" w:rsidR="00000000" w:rsidRDefault="00000000">
      <w:pPr>
        <w:ind w:left="360"/>
      </w:pPr>
      <w:r>
        <w:t>(a) Notice was given of a palaeography course at the Central European University, Buda.</w:t>
      </w:r>
    </w:p>
    <w:p w14:paraId="338337E1" w14:textId="77777777" w:rsidR="00000000" w:rsidRDefault="00000000">
      <w:pPr>
        <w:ind w:left="360"/>
      </w:pPr>
      <w:r>
        <w:lastRenderedPageBreak/>
        <w:t xml:space="preserve">(b) LIAS: </w:t>
      </w:r>
      <w:r>
        <w:rPr>
          <w:i/>
          <w:iCs/>
        </w:rPr>
        <w:t>Journal of Early Modern Intellectual Culture and its Sources</w:t>
      </w:r>
      <w:r>
        <w:rPr>
          <w:iCs/>
        </w:rPr>
        <w:t>:</w:t>
      </w:r>
      <w:r>
        <w:t xml:space="preserve"> Ingrid De Smet, who is on the editorial board, drew attention to opportunities for publishing on neo-Latin subjects in this Louvain-based journal.</w:t>
      </w:r>
    </w:p>
    <w:p w14:paraId="4C038575" w14:textId="77777777" w:rsidR="00000000" w:rsidRDefault="00000000">
      <w:pPr>
        <w:ind w:left="360" w:hanging="360"/>
      </w:pPr>
      <w:r>
        <w:t>9.</w:t>
      </w:r>
      <w:r>
        <w:tab/>
        <w:t xml:space="preserve"> </w:t>
      </w:r>
      <w:r>
        <w:rPr>
          <w:u w:val="single"/>
        </w:rPr>
        <w:t>Elections</w:t>
      </w:r>
      <w:r>
        <w:t>: There were no nominations. The current officers, who were willing to continue, were unanimously re-elected. Elizabeth Sandis and Luke Houghton very kindly agreed to serve on the Standing Committee.</w:t>
      </w:r>
    </w:p>
    <w:p w14:paraId="3E23C7B9" w14:textId="77777777" w:rsidR="00000000" w:rsidRDefault="00000000">
      <w:pPr>
        <w:ind w:firstLine="360"/>
      </w:pPr>
      <w:r>
        <w:t>The meeting ended at 4.59pm</w:t>
      </w:r>
    </w:p>
    <w:p w14:paraId="7DB1E576" w14:textId="77777777" w:rsidR="00000000" w:rsidRDefault="00000000">
      <w:r>
        <w:t>The Annual Lecture was given my Dr Gesine Manuwald (UCL), ‘Thomas Campion (1567-1620): an English and Neo-Latin Poet’, and was followed by a drinks reception.</w:t>
      </w:r>
    </w:p>
    <w:p w14:paraId="2CBCD73B" w14:textId="77777777" w:rsidR="00000000" w:rsidRDefault="00000000"/>
    <w:p w14:paraId="6399B38B" w14:textId="77777777" w:rsidR="00000000" w:rsidRDefault="00000000">
      <w:pPr>
        <w:jc w:val="center"/>
      </w:pPr>
      <w:r>
        <w:t>*  *  *</w:t>
      </w:r>
    </w:p>
    <w:p w14:paraId="1A89D5C8" w14:textId="77777777" w:rsidR="00000000" w:rsidRDefault="00000000">
      <w:pPr>
        <w:pStyle w:val="ListParagraph"/>
      </w:pPr>
    </w:p>
    <w:p w14:paraId="34DB1DEB" w14:textId="77777777" w:rsidR="005C02FD" w:rsidRDefault="005C02FD">
      <w:pPr>
        <w:pStyle w:val="ListParagraph"/>
      </w:pPr>
    </w:p>
    <w:sectPr w:rsidR="005C02F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5DA0E3A"/>
    <w:multiLevelType w:val="hybridMultilevel"/>
    <w:tmpl w:val="5DF4AF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21D2EB2"/>
    <w:multiLevelType w:val="hybridMultilevel"/>
    <w:tmpl w:val="82489E68"/>
    <w:lvl w:ilvl="0" w:tplc="57E6836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A170901"/>
    <w:multiLevelType w:val="hybridMultilevel"/>
    <w:tmpl w:val="925C6388"/>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6844D5C"/>
    <w:multiLevelType w:val="hybridMultilevel"/>
    <w:tmpl w:val="96745A2E"/>
    <w:lvl w:ilvl="0" w:tplc="8C5E9B7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A300870"/>
    <w:multiLevelType w:val="hybridMultilevel"/>
    <w:tmpl w:val="E86E5FD8"/>
    <w:lvl w:ilvl="0" w:tplc="5888B002">
      <w:start w:val="3"/>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6E615492"/>
    <w:multiLevelType w:val="hybridMultilevel"/>
    <w:tmpl w:val="CD629F1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76A440B2"/>
    <w:multiLevelType w:val="hybridMultilevel"/>
    <w:tmpl w:val="1310C1B4"/>
    <w:lvl w:ilvl="0" w:tplc="1640D74C">
      <w:start w:val="2"/>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1016275011">
    <w:abstractNumId w:val="0"/>
  </w:num>
  <w:num w:numId="2" w16cid:durableId="1390687452">
    <w:abstractNumId w:val="5"/>
  </w:num>
  <w:num w:numId="3" w16cid:durableId="594554245">
    <w:abstractNumId w:val="3"/>
  </w:num>
  <w:num w:numId="4" w16cid:durableId="2141412989">
    <w:abstractNumId w:val="1"/>
  </w:num>
  <w:num w:numId="5" w16cid:durableId="697006655">
    <w:abstractNumId w:val="2"/>
  </w:num>
  <w:num w:numId="6" w16cid:durableId="525565136">
    <w:abstractNumId w:val="6"/>
  </w:num>
  <w:num w:numId="7" w16cid:durableId="947894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7B80"/>
    <w:rsid w:val="005C02FD"/>
    <w:rsid w:val="00DE7B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833AAF"/>
  <w15:chartTrackingRefBased/>
  <w15:docId w15:val="{B6290E1B-B8AC-4C0D-83B3-1194365697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eastAsia="en-US"/>
    </w:rPr>
  </w:style>
  <w:style w:type="character" w:default="1" w:styleId="DefaultParagraphFont">
    <w:name w:val="Default Paragraph Font"/>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pPr>
      <w:ind w:left="720"/>
      <w:contextualSpacing/>
    </w:pPr>
  </w:style>
  <w:style w:type="paragraph" w:styleId="NoSpacing">
    <w:name w:val="No Spacing"/>
    <w:qFormat/>
    <w:rPr>
      <w:sz w:val="22"/>
      <w:szCs w:val="22"/>
      <w:lang w:eastAsia="en-US"/>
    </w:rPr>
  </w:style>
  <w:style w:type="paragraph" w:styleId="HTMLPreformatted">
    <w:name w:val="HTML Preformatted"/>
    <w:basedOn w:val="Normal"/>
    <w:semiHidden/>
    <w:unhideWhenUsed/>
    <w:pPr>
      <w:pBdr>
        <w:top w:val="single" w:sz="4" w:space="12" w:color="DDDDDD"/>
        <w:left w:val="single" w:sz="4" w:space="12" w:color="DDDDDD"/>
        <w:bottom w:val="single" w:sz="4" w:space="12" w:color="DDDDDD"/>
        <w:right w:val="single" w:sz="4" w:space="12" w:color="DDDDDD"/>
      </w:pBdr>
      <w:shd w:val="clear" w:color="auto" w:fill="F8F4E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24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semiHidden/>
    <w:rPr>
      <w:rFonts w:ascii="Courier New" w:eastAsia="Times New Roman" w:hAnsi="Courier New" w:cs="Courier New"/>
      <w:sz w:val="20"/>
      <w:szCs w:val="20"/>
      <w:shd w:val="clear" w:color="auto" w:fill="F8F4E9"/>
      <w:lang w:eastAsia="en-GB"/>
    </w:rPr>
  </w:style>
  <w:style w:type="character" w:styleId="Hyperlink">
    <w:name w:val="Hyperlink"/>
    <w:basedOn w:val="DefaultParagraphFont"/>
    <w:semiHidden/>
    <w:unhideWhenUsed/>
    <w:rPr>
      <w:color w:val="0000FF"/>
      <w:u w:val="single"/>
    </w:rPr>
  </w:style>
  <w:style w:type="character" w:styleId="CommentReference">
    <w:name w:val="annotation reference"/>
    <w:basedOn w:val="DefaultParagraphFont"/>
    <w:semiHidden/>
    <w:unhideWhenUsed/>
    <w:rPr>
      <w:sz w:val="16"/>
      <w:szCs w:val="16"/>
    </w:rPr>
  </w:style>
  <w:style w:type="paragraph" w:styleId="CommentText">
    <w:name w:val="annotation text"/>
    <w:basedOn w:val="Normal"/>
    <w:semiHidden/>
    <w:unhideWhenUsed/>
    <w:rPr>
      <w:sz w:val="20"/>
      <w:szCs w:val="20"/>
    </w:rPr>
  </w:style>
  <w:style w:type="character" w:customStyle="1" w:styleId="CommentTextChar">
    <w:name w:val="Comment Text Char"/>
    <w:basedOn w:val="DefaultParagraphFont"/>
    <w:semiHidden/>
    <w:rPr>
      <w:lang w:eastAsia="en-US"/>
    </w:rPr>
  </w:style>
  <w:style w:type="paragraph" w:styleId="CommentSubject">
    <w:name w:val="annotation subject"/>
    <w:basedOn w:val="CommentText"/>
    <w:next w:val="CommentText"/>
    <w:semiHidden/>
    <w:unhideWhenUsed/>
    <w:rPr>
      <w:b/>
      <w:bCs/>
    </w:rPr>
  </w:style>
  <w:style w:type="character" w:customStyle="1" w:styleId="CommentSubjectChar">
    <w:name w:val="Comment Subject Char"/>
    <w:basedOn w:val="CommentTextChar"/>
    <w:semiHidden/>
    <w:rPr>
      <w:b/>
      <w:bCs/>
      <w:lang w:eastAsia="en-US"/>
    </w:rPr>
  </w:style>
  <w:style w:type="paragraph" w:styleId="BalloonText">
    <w:name w:val="Balloon Text"/>
    <w:basedOn w:val="Normal"/>
    <w:semiHidden/>
    <w:unhideWhenUsed/>
    <w:pPr>
      <w:spacing w:after="0" w:line="240" w:lineRule="auto"/>
    </w:pPr>
    <w:rPr>
      <w:rFonts w:ascii="Tahoma" w:hAnsi="Tahoma" w:cs="Tahoma"/>
      <w:sz w:val="16"/>
      <w:szCs w:val="16"/>
    </w:rPr>
  </w:style>
  <w:style w:type="character" w:customStyle="1" w:styleId="BalloonTextChar">
    <w:name w:val="Balloon Text Char"/>
    <w:basedOn w:val="DefaultParagraphFont"/>
    <w:semiHidden/>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2.warwick.ac.uk/fac/arts/ren/snls/snls_teaching_anthology/"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916</Words>
  <Characters>5224</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Society for Neo-Latin Studies</vt:lpstr>
    </vt:vector>
  </TitlesOfParts>
  <Company/>
  <LinksUpToDate>false</LinksUpToDate>
  <CharactersWithSpaces>6128</CharactersWithSpaces>
  <SharedDoc>false</SharedDoc>
  <HLinks>
    <vt:vector size="6" baseType="variant">
      <vt:variant>
        <vt:i4>7798819</vt:i4>
      </vt:variant>
      <vt:variant>
        <vt:i4>0</vt:i4>
      </vt:variant>
      <vt:variant>
        <vt:i4>0</vt:i4>
      </vt:variant>
      <vt:variant>
        <vt:i4>5</vt:i4>
      </vt:variant>
      <vt:variant>
        <vt:lpwstr>http://www2.warwick.ac.uk/fac/arts/ren/snls/snls_teaching_anthology/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Society for Neo-Latin Studies</dc:title>
  <dc:subject/>
  <dc:creator>Andrew</dc:creator>
  <cp:keywords/>
  <cp:lastModifiedBy>Knight, Sarah M. (Prof.)</cp:lastModifiedBy>
  <cp:revision>2</cp:revision>
  <dcterms:created xsi:type="dcterms:W3CDTF">2024-04-04T07:59:00Z</dcterms:created>
  <dcterms:modified xsi:type="dcterms:W3CDTF">2024-04-04T07:59:00Z</dcterms:modified>
</cp:coreProperties>
</file>