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53453" w:rsidRPr="00EA5ECD" w:rsidRDefault="00403C18" w:rsidP="00720D91">
      <w:pPr>
        <w:jc w:val="both"/>
        <w:rPr>
          <w:rFonts w:ascii="Times" w:hAnsi="Times" w:cs="Arial"/>
        </w:rPr>
      </w:pPr>
      <w:r w:rsidRPr="00EA5ECD">
        <w:rPr>
          <w:rFonts w:ascii="Times" w:hAnsi="Times" w:cs="Arial"/>
        </w:rPr>
        <w:t>Renaissance Europe I</w:t>
      </w:r>
      <w:r w:rsidR="00EA5ECD" w:rsidRPr="00EA5ECD">
        <w:rPr>
          <w:rFonts w:ascii="Times" w:hAnsi="Times" w:cs="Arial"/>
        </w:rPr>
        <w:t>I</w:t>
      </w:r>
      <w:r w:rsidRPr="00EA5ECD">
        <w:rPr>
          <w:rFonts w:ascii="Times" w:hAnsi="Times" w:cs="Arial"/>
        </w:rPr>
        <w:t xml:space="preserve">: </w:t>
      </w:r>
      <w:r w:rsidR="00EA5ECD" w:rsidRPr="00EA5ECD">
        <w:rPr>
          <w:rFonts w:ascii="Times" w:hAnsi="Times" w:cs="Arial"/>
        </w:rPr>
        <w:t xml:space="preserve">Movement, Revolution, and Conflict </w:t>
      </w:r>
      <w:r w:rsidRPr="00EA5ECD">
        <w:rPr>
          <w:rFonts w:ascii="Times" w:hAnsi="Times" w:cs="Arial"/>
        </w:rPr>
        <w:t>(RS20</w:t>
      </w:r>
      <w:r w:rsidR="00EA5ECD" w:rsidRPr="00EA5ECD">
        <w:rPr>
          <w:rFonts w:ascii="Times" w:hAnsi="Times" w:cs="Arial"/>
        </w:rPr>
        <w:t>1</w:t>
      </w:r>
      <w:r w:rsidRPr="00EA5ECD">
        <w:rPr>
          <w:rFonts w:ascii="Times" w:hAnsi="Times" w:cs="Arial"/>
        </w:rPr>
        <w:t>/RS30</w:t>
      </w:r>
      <w:r w:rsidR="00EA5ECD" w:rsidRPr="00EA5ECD">
        <w:rPr>
          <w:rFonts w:ascii="Times" w:hAnsi="Times" w:cs="Arial"/>
        </w:rPr>
        <w:t>1</w:t>
      </w:r>
      <w:r w:rsidRPr="00EA5ECD">
        <w:rPr>
          <w:rFonts w:ascii="Times" w:hAnsi="Times" w:cs="Arial"/>
        </w:rPr>
        <w:t>)</w:t>
      </w:r>
    </w:p>
    <w:p w:rsidR="00403C18" w:rsidRPr="00474F0E" w:rsidRDefault="00403C18" w:rsidP="00720D91">
      <w:pPr>
        <w:jc w:val="both"/>
        <w:rPr>
          <w:rFonts w:ascii="Times" w:hAnsi="Times"/>
          <w:sz w:val="22"/>
          <w:szCs w:val="22"/>
        </w:rPr>
      </w:pPr>
    </w:p>
    <w:p w:rsidR="00403C18" w:rsidRPr="00474F0E" w:rsidRDefault="00403C18" w:rsidP="00720D91">
      <w:pPr>
        <w:jc w:val="both"/>
        <w:rPr>
          <w:rFonts w:ascii="Times" w:hAnsi="Times"/>
          <w:b/>
          <w:sz w:val="22"/>
          <w:szCs w:val="22"/>
        </w:rPr>
      </w:pPr>
      <w:r w:rsidRPr="00474F0E">
        <w:rPr>
          <w:rFonts w:ascii="Times" w:hAnsi="Times"/>
          <w:b/>
          <w:sz w:val="22"/>
          <w:szCs w:val="22"/>
        </w:rPr>
        <w:t xml:space="preserve">Week 3: </w:t>
      </w:r>
      <w:r w:rsidR="00EA5ECD">
        <w:rPr>
          <w:rFonts w:ascii="Times" w:hAnsi="Times"/>
          <w:b/>
          <w:sz w:val="22"/>
          <w:szCs w:val="22"/>
        </w:rPr>
        <w:t>Libraries and the Circulation of Books</w:t>
      </w:r>
      <w:r w:rsidR="009A5274" w:rsidRPr="00474F0E">
        <w:rPr>
          <w:rFonts w:ascii="Times" w:hAnsi="Times"/>
          <w:b/>
          <w:sz w:val="22"/>
          <w:szCs w:val="22"/>
        </w:rPr>
        <w:t xml:space="preserve"> (Prof. David Lines)</w:t>
      </w:r>
    </w:p>
    <w:p w:rsidR="00403C18" w:rsidRPr="00474F0E" w:rsidRDefault="00403C18" w:rsidP="00720D91">
      <w:pPr>
        <w:jc w:val="both"/>
        <w:rPr>
          <w:rFonts w:ascii="Times" w:hAnsi="Times"/>
          <w:b/>
          <w:sz w:val="22"/>
          <w:szCs w:val="22"/>
        </w:rPr>
      </w:pPr>
    </w:p>
    <w:p w:rsidR="00EA5ECD" w:rsidRDefault="00403C18" w:rsidP="00720D91">
      <w:pPr>
        <w:jc w:val="both"/>
        <w:rPr>
          <w:rFonts w:ascii="Times" w:hAnsi="Times"/>
          <w:sz w:val="22"/>
          <w:szCs w:val="22"/>
        </w:rPr>
      </w:pPr>
      <w:r w:rsidRPr="00474F0E">
        <w:rPr>
          <w:rFonts w:ascii="Times" w:hAnsi="Times"/>
          <w:sz w:val="22"/>
          <w:szCs w:val="22"/>
        </w:rPr>
        <w:t xml:space="preserve">In addition to </w:t>
      </w:r>
      <w:r w:rsidR="00EA5ECD">
        <w:rPr>
          <w:rFonts w:ascii="Times" w:hAnsi="Times"/>
          <w:sz w:val="22"/>
          <w:szCs w:val="22"/>
        </w:rPr>
        <w:t xml:space="preserve">helping us think about the mobility of people and about places (such as inns) that served as places of social and cultural encounter, this unit also explores the circulation of books and other objects. Throughout Europe, Renaissance men of science and letters were intensely interested in collecting </w:t>
      </w:r>
      <w:r w:rsidR="0064262D">
        <w:rPr>
          <w:rFonts w:ascii="Times" w:hAnsi="Times"/>
          <w:sz w:val="22"/>
          <w:szCs w:val="22"/>
        </w:rPr>
        <w:t xml:space="preserve">and exchanging all kinds of objects </w:t>
      </w:r>
      <w:r w:rsidR="004C71BF">
        <w:rPr>
          <w:rFonts w:ascii="Times" w:hAnsi="Times"/>
          <w:sz w:val="22"/>
          <w:szCs w:val="22"/>
        </w:rPr>
        <w:t>of</w:t>
      </w:r>
      <w:r w:rsidR="0064262D">
        <w:rPr>
          <w:rFonts w:ascii="Times" w:hAnsi="Times"/>
          <w:sz w:val="22"/>
          <w:szCs w:val="22"/>
        </w:rPr>
        <w:t xml:space="preserve"> cultural value. This was the period in which the first museums of natural history were formed and in which library collections developed on an unprecedented scale. </w:t>
      </w:r>
    </w:p>
    <w:p w:rsidR="0064262D" w:rsidRDefault="0064262D" w:rsidP="00720D91">
      <w:pPr>
        <w:ind w:firstLine="720"/>
        <w:jc w:val="both"/>
        <w:rPr>
          <w:rFonts w:ascii="Times" w:hAnsi="Times"/>
          <w:sz w:val="22"/>
          <w:szCs w:val="22"/>
        </w:rPr>
      </w:pPr>
      <w:r>
        <w:rPr>
          <w:rFonts w:ascii="Times" w:hAnsi="Times"/>
          <w:sz w:val="22"/>
          <w:szCs w:val="22"/>
        </w:rPr>
        <w:t xml:space="preserve">The lecture will focus on general initiatives to collect books in the fifteenth and sixteenth centuries, including the formation of the Laurenziana Library in Florence and the Vatican Library in Rome. It will then turn to the case of Bologna in the same period—it will consider where teachers and students got their books and what forms of private book collecting may have aided them. Finally, it will concentrate on the library and natural history museum of Ulisse Aldrovandi (1522–1605), whose collection is among the best-documented </w:t>
      </w:r>
      <w:r w:rsidR="002765CA">
        <w:rPr>
          <w:rFonts w:ascii="Times" w:hAnsi="Times"/>
          <w:sz w:val="22"/>
          <w:szCs w:val="22"/>
        </w:rPr>
        <w:t>of</w:t>
      </w:r>
      <w:r>
        <w:rPr>
          <w:rFonts w:ascii="Times" w:hAnsi="Times"/>
          <w:sz w:val="22"/>
          <w:szCs w:val="22"/>
        </w:rPr>
        <w:t xml:space="preserve"> the period. We shall also consider other contemporary collections, such as that of Gian Vincenzo Pinelli, and the extent to which book-collectors were part of a wider network of scholars, printers, booksellers, etc. How, precisely, did  books travel? What was the function of an annual event such as the Frankfurt Book Fair?</w:t>
      </w:r>
    </w:p>
    <w:p w:rsidR="00403C18" w:rsidRPr="00474F0E" w:rsidRDefault="0064262D" w:rsidP="00720D91">
      <w:pPr>
        <w:ind w:firstLine="720"/>
        <w:jc w:val="both"/>
        <w:rPr>
          <w:rFonts w:ascii="Times" w:hAnsi="Times"/>
          <w:sz w:val="22"/>
          <w:szCs w:val="22"/>
        </w:rPr>
      </w:pPr>
      <w:r>
        <w:rPr>
          <w:rFonts w:ascii="Times" w:hAnsi="Times"/>
          <w:sz w:val="22"/>
          <w:szCs w:val="22"/>
        </w:rPr>
        <w:t xml:space="preserve">In the seminar </w:t>
      </w:r>
      <w:r w:rsidR="00093436">
        <w:rPr>
          <w:rFonts w:ascii="Times" w:hAnsi="Times"/>
          <w:sz w:val="22"/>
          <w:szCs w:val="22"/>
        </w:rPr>
        <w:t xml:space="preserve">we shall discuss the secondary readings and also think about strategies of book distribution from the other end—in particular, that of printers and booksellers. Here the main example will be the production of Aldus Manutius’ press. Based in Venice, this press was the most famous in the Renaissance period and was continued by Aldus’ heirs. </w:t>
      </w:r>
    </w:p>
    <w:p w:rsidR="001666BF" w:rsidRPr="00474F0E" w:rsidRDefault="001666BF" w:rsidP="001666BF">
      <w:pPr>
        <w:jc w:val="both"/>
        <w:rPr>
          <w:rFonts w:ascii="Times" w:hAnsi="Times"/>
          <w:sz w:val="22"/>
          <w:szCs w:val="22"/>
        </w:rPr>
      </w:pPr>
    </w:p>
    <w:p w:rsidR="001666BF" w:rsidRPr="00474F0E" w:rsidRDefault="001666BF" w:rsidP="001666BF">
      <w:pPr>
        <w:jc w:val="both"/>
        <w:rPr>
          <w:rFonts w:ascii="Times" w:hAnsi="Times"/>
          <w:sz w:val="22"/>
          <w:szCs w:val="22"/>
        </w:rPr>
      </w:pPr>
    </w:p>
    <w:p w:rsidR="001666BF" w:rsidRPr="00474F0E" w:rsidRDefault="000D4BD3" w:rsidP="001666BF">
      <w:pPr>
        <w:jc w:val="both"/>
        <w:rPr>
          <w:rFonts w:ascii="Times" w:hAnsi="Times"/>
          <w:sz w:val="22"/>
          <w:szCs w:val="22"/>
        </w:rPr>
      </w:pPr>
      <w:r>
        <w:rPr>
          <w:rFonts w:ascii="Times" w:hAnsi="Times"/>
          <w:sz w:val="22"/>
          <w:szCs w:val="22"/>
          <w:u w:val="single"/>
        </w:rPr>
        <w:t>Essential</w:t>
      </w:r>
      <w:r w:rsidR="001666BF" w:rsidRPr="00474F0E">
        <w:rPr>
          <w:rFonts w:ascii="Times" w:hAnsi="Times"/>
          <w:sz w:val="22"/>
          <w:szCs w:val="22"/>
          <w:u w:val="single"/>
        </w:rPr>
        <w:t xml:space="preserve"> Readings</w:t>
      </w:r>
    </w:p>
    <w:p w:rsidR="001666BF" w:rsidRPr="00474F0E" w:rsidRDefault="001666BF" w:rsidP="001666BF">
      <w:pPr>
        <w:jc w:val="both"/>
        <w:rPr>
          <w:rFonts w:ascii="Times" w:hAnsi="Times"/>
          <w:sz w:val="22"/>
          <w:szCs w:val="22"/>
        </w:rPr>
      </w:pPr>
    </w:p>
    <w:p w:rsidR="007812C6" w:rsidRPr="00035FF6" w:rsidRDefault="007812C6" w:rsidP="007812C6">
      <w:pPr>
        <w:jc w:val="both"/>
        <w:rPr>
          <w:rFonts w:ascii="Times" w:hAnsi="Times"/>
          <w:sz w:val="22"/>
          <w:szCs w:val="22"/>
        </w:rPr>
      </w:pPr>
      <w:r>
        <w:rPr>
          <w:rFonts w:ascii="Times" w:hAnsi="Times"/>
          <w:sz w:val="22"/>
          <w:szCs w:val="22"/>
        </w:rPr>
        <w:t xml:space="preserve">Martin Lowry, </w:t>
      </w:r>
      <w:r>
        <w:rPr>
          <w:rFonts w:ascii="Times" w:hAnsi="Times"/>
          <w:i/>
          <w:sz w:val="22"/>
          <w:szCs w:val="22"/>
        </w:rPr>
        <w:t xml:space="preserve">The World of Aldus Manutius: Business and Scholarship in Renaissance Venice </w:t>
      </w:r>
      <w:r>
        <w:rPr>
          <w:rFonts w:ascii="Times" w:hAnsi="Times"/>
          <w:sz w:val="22"/>
          <w:szCs w:val="22"/>
        </w:rPr>
        <w:t xml:space="preserve">(Ithaca, NY: Cornell University Press, 1979), </w:t>
      </w:r>
      <w:r w:rsidRPr="007812C6">
        <w:rPr>
          <w:rFonts w:ascii="Times" w:hAnsi="Times"/>
          <w:sz w:val="22"/>
          <w:szCs w:val="22"/>
        </w:rPr>
        <w:t>pp. 1–71 (PDF)</w:t>
      </w:r>
      <w:r>
        <w:rPr>
          <w:rFonts w:ascii="Times" w:hAnsi="Times"/>
          <w:sz w:val="22"/>
          <w:szCs w:val="22"/>
        </w:rPr>
        <w:t xml:space="preserve"> </w:t>
      </w:r>
    </w:p>
    <w:p w:rsidR="007812C6" w:rsidRDefault="007812C6" w:rsidP="00261BE3">
      <w:pPr>
        <w:rPr>
          <w:rFonts w:ascii="Times" w:hAnsi="Times"/>
          <w:sz w:val="22"/>
          <w:szCs w:val="22"/>
        </w:rPr>
      </w:pPr>
    </w:p>
    <w:p w:rsidR="007812C6" w:rsidRPr="00465CE5" w:rsidRDefault="00111B33" w:rsidP="00261BE3">
      <w:pPr>
        <w:rPr>
          <w:rFonts w:ascii="Times" w:hAnsi="Times"/>
          <w:sz w:val="22"/>
          <w:szCs w:val="22"/>
        </w:rPr>
      </w:pPr>
      <w:r>
        <w:rPr>
          <w:rFonts w:ascii="Times" w:hAnsi="Times"/>
          <w:sz w:val="22"/>
          <w:szCs w:val="22"/>
        </w:rPr>
        <w:t xml:space="preserve">Aldus Manutius, </w:t>
      </w:r>
      <w:r>
        <w:rPr>
          <w:rFonts w:ascii="Times" w:hAnsi="Times"/>
          <w:sz w:val="22"/>
          <w:szCs w:val="22"/>
        </w:rPr>
        <w:t xml:space="preserve">in </w:t>
      </w:r>
      <w:r>
        <w:rPr>
          <w:rFonts w:ascii="Times" w:hAnsi="Times"/>
          <w:i/>
          <w:sz w:val="22"/>
          <w:szCs w:val="22"/>
        </w:rPr>
        <w:t>Humanism and the Latin Classics</w:t>
      </w:r>
      <w:r>
        <w:rPr>
          <w:rFonts w:ascii="Times" w:hAnsi="Times"/>
          <w:sz w:val="22"/>
          <w:szCs w:val="22"/>
        </w:rPr>
        <w:t>, pp. ix-xxxi (</w:t>
      </w:r>
      <w:r w:rsidR="00465CE5">
        <w:rPr>
          <w:rFonts w:ascii="Times" w:hAnsi="Times"/>
          <w:sz w:val="22"/>
          <w:szCs w:val="22"/>
        </w:rPr>
        <w:t xml:space="preserve">Introduction, </w:t>
      </w:r>
      <w:r>
        <w:rPr>
          <w:rFonts w:ascii="Times" w:hAnsi="Times"/>
          <w:sz w:val="22"/>
          <w:szCs w:val="22"/>
        </w:rPr>
        <w:t xml:space="preserve">in PDF above) and 188–193 and </w:t>
      </w:r>
      <w:r w:rsidR="00465CE5">
        <w:rPr>
          <w:rFonts w:ascii="Times" w:hAnsi="Times"/>
          <w:sz w:val="22"/>
          <w:szCs w:val="22"/>
        </w:rPr>
        <w:t xml:space="preserve">364–65 (preface to Niccolò Perotti, </w:t>
      </w:r>
      <w:r w:rsidR="00465CE5">
        <w:rPr>
          <w:rFonts w:ascii="Times" w:hAnsi="Times"/>
          <w:i/>
          <w:sz w:val="22"/>
          <w:szCs w:val="22"/>
        </w:rPr>
        <w:t>Cornucopiae</w:t>
      </w:r>
      <w:r w:rsidR="00465CE5">
        <w:rPr>
          <w:rFonts w:ascii="Times" w:hAnsi="Times"/>
          <w:sz w:val="22"/>
          <w:szCs w:val="22"/>
        </w:rPr>
        <w:t>)</w:t>
      </w:r>
    </w:p>
    <w:p w:rsidR="00111B33" w:rsidRDefault="00111B33" w:rsidP="00261BE3">
      <w:pPr>
        <w:rPr>
          <w:rFonts w:ascii="Times" w:hAnsi="Times"/>
          <w:sz w:val="22"/>
          <w:szCs w:val="22"/>
        </w:rPr>
      </w:pPr>
    </w:p>
    <w:p w:rsidR="00111B33" w:rsidRPr="00111B33" w:rsidRDefault="00111B33" w:rsidP="00261BE3">
      <w:pPr>
        <w:rPr>
          <w:rFonts w:ascii="Times" w:hAnsi="Times"/>
          <w:sz w:val="22"/>
          <w:szCs w:val="22"/>
          <w:u w:val="single"/>
        </w:rPr>
      </w:pPr>
      <w:r>
        <w:rPr>
          <w:rFonts w:ascii="Times" w:hAnsi="Times"/>
          <w:sz w:val="22"/>
          <w:szCs w:val="22"/>
          <w:u w:val="single"/>
        </w:rPr>
        <w:t xml:space="preserve">Choose </w:t>
      </w:r>
      <w:r w:rsidRPr="00111B33">
        <w:rPr>
          <w:rFonts w:ascii="Times" w:hAnsi="Times"/>
          <w:b/>
          <w:sz w:val="22"/>
          <w:szCs w:val="22"/>
          <w:u w:val="single"/>
        </w:rPr>
        <w:t>one</w:t>
      </w:r>
      <w:r>
        <w:rPr>
          <w:rFonts w:ascii="Times" w:hAnsi="Times"/>
          <w:sz w:val="22"/>
          <w:szCs w:val="22"/>
          <w:u w:val="single"/>
        </w:rPr>
        <w:t xml:space="preserve"> of the following:</w:t>
      </w:r>
    </w:p>
    <w:p w:rsidR="007812C6" w:rsidRDefault="007812C6" w:rsidP="00261BE3">
      <w:pPr>
        <w:rPr>
          <w:rFonts w:ascii="Times" w:hAnsi="Times"/>
          <w:sz w:val="22"/>
          <w:szCs w:val="22"/>
        </w:rPr>
      </w:pPr>
    </w:p>
    <w:p w:rsidR="00111B33" w:rsidRDefault="000D4BD3" w:rsidP="00261BE3">
      <w:pPr>
        <w:rPr>
          <w:rFonts w:ascii="Times New Roman" w:eastAsia="Times New Roman" w:hAnsi="Times New Roman" w:cs="Times New Roman"/>
        </w:rPr>
      </w:pPr>
      <w:r>
        <w:rPr>
          <w:rFonts w:ascii="Times" w:hAnsi="Times"/>
          <w:sz w:val="22"/>
          <w:szCs w:val="22"/>
        </w:rPr>
        <w:t xml:space="preserve">Aldus Manutius, </w:t>
      </w:r>
      <w:r w:rsidR="00261BE3">
        <w:rPr>
          <w:rFonts w:ascii="Times" w:hAnsi="Times"/>
          <w:sz w:val="22"/>
          <w:szCs w:val="22"/>
        </w:rPr>
        <w:t xml:space="preserve">in </w:t>
      </w:r>
      <w:r w:rsidR="00261BE3">
        <w:rPr>
          <w:rFonts w:ascii="Times" w:hAnsi="Times"/>
          <w:i/>
          <w:sz w:val="22"/>
          <w:szCs w:val="22"/>
        </w:rPr>
        <w:t xml:space="preserve">The Greek Classics </w:t>
      </w:r>
      <w:r w:rsidR="00261BE3">
        <w:rPr>
          <w:rFonts w:ascii="Times" w:hAnsi="Times"/>
          <w:sz w:val="22"/>
          <w:szCs w:val="22"/>
        </w:rPr>
        <w:t>(</w:t>
      </w:r>
      <w:r w:rsidR="00261BE3" w:rsidRPr="00261BE3">
        <w:rPr>
          <w:rFonts w:ascii="Trebuchet MS" w:eastAsia="Times New Roman" w:hAnsi="Trebuchet MS" w:cs="Times New Roman"/>
          <w:color w:val="444444"/>
          <w:sz w:val="19"/>
          <w:szCs w:val="19"/>
          <w:shd w:val="clear" w:color="auto" w:fill="FFFFFF"/>
        </w:rPr>
        <w:t>PA3621.G66</w:t>
      </w:r>
      <w:r w:rsidR="00261BE3">
        <w:rPr>
          <w:rFonts w:ascii="Times New Roman" w:eastAsia="Times New Roman" w:hAnsi="Times New Roman" w:cs="Times New Roman"/>
        </w:rPr>
        <w:t>)</w:t>
      </w:r>
      <w:r w:rsidR="00111B33">
        <w:rPr>
          <w:rFonts w:ascii="Times New Roman" w:eastAsia="Times New Roman" w:hAnsi="Times New Roman" w:cs="Times New Roman"/>
        </w:rPr>
        <w:t>, pp. 10–17 and 326–27</w:t>
      </w:r>
      <w:r w:rsidR="00465CE5">
        <w:rPr>
          <w:rFonts w:ascii="Times New Roman" w:eastAsia="Times New Roman" w:hAnsi="Times New Roman" w:cs="Times New Roman"/>
        </w:rPr>
        <w:t xml:space="preserve"> (preface to Aristotle’s </w:t>
      </w:r>
      <w:r w:rsidR="00465CE5">
        <w:rPr>
          <w:rFonts w:ascii="Times New Roman" w:eastAsia="Times New Roman" w:hAnsi="Times New Roman" w:cs="Times New Roman"/>
          <w:i/>
        </w:rPr>
        <w:t>Organon</w:t>
      </w:r>
      <w:r w:rsidR="00465CE5">
        <w:rPr>
          <w:rFonts w:ascii="Times New Roman" w:eastAsia="Times New Roman" w:hAnsi="Times New Roman" w:cs="Times New Roman"/>
        </w:rPr>
        <w:t>)</w:t>
      </w:r>
      <w:r w:rsidR="00111B33">
        <w:rPr>
          <w:rFonts w:ascii="Times New Roman" w:eastAsia="Times New Roman" w:hAnsi="Times New Roman" w:cs="Times New Roman"/>
        </w:rPr>
        <w:t>.</w:t>
      </w:r>
    </w:p>
    <w:p w:rsidR="00111B33" w:rsidRDefault="00111B33" w:rsidP="00261BE3">
      <w:pPr>
        <w:rPr>
          <w:rFonts w:ascii="Times New Roman" w:eastAsia="Times New Roman" w:hAnsi="Times New Roman" w:cs="Times New Roman"/>
        </w:rPr>
      </w:pPr>
    </w:p>
    <w:p w:rsidR="000D4BD3" w:rsidRPr="00465CE5" w:rsidRDefault="00111B33" w:rsidP="00465CE5">
      <w:pPr>
        <w:rPr>
          <w:rFonts w:ascii="Times New Roman" w:eastAsia="Times New Roman" w:hAnsi="Times New Roman" w:cs="Times New Roman"/>
        </w:rPr>
      </w:pPr>
      <w:r>
        <w:rPr>
          <w:rFonts w:ascii="Times" w:hAnsi="Times"/>
          <w:sz w:val="22"/>
          <w:szCs w:val="22"/>
        </w:rPr>
        <w:t>Aldus Manutius, in</w:t>
      </w:r>
      <w:r>
        <w:rPr>
          <w:rFonts w:ascii="Times" w:hAnsi="Times"/>
          <w:sz w:val="22"/>
          <w:szCs w:val="22"/>
        </w:rPr>
        <w:t xml:space="preserve"> </w:t>
      </w:r>
      <w:r>
        <w:rPr>
          <w:rFonts w:ascii="Times" w:hAnsi="Times"/>
          <w:i/>
          <w:sz w:val="22"/>
          <w:szCs w:val="22"/>
        </w:rPr>
        <w:t>Humanism and the Latin Classics</w:t>
      </w:r>
      <w:r>
        <w:rPr>
          <w:rFonts w:ascii="Times" w:hAnsi="Times"/>
          <w:sz w:val="22"/>
          <w:szCs w:val="22"/>
        </w:rPr>
        <w:t xml:space="preserve"> </w:t>
      </w:r>
      <w:r>
        <w:rPr>
          <w:rFonts w:ascii="Times" w:hAnsi="Times"/>
          <w:sz w:val="22"/>
          <w:szCs w:val="22"/>
        </w:rPr>
        <w:t>(</w:t>
      </w:r>
      <w:r w:rsidRPr="00035FF6">
        <w:rPr>
          <w:rFonts w:ascii="Trebuchet MS" w:eastAsia="Times New Roman" w:hAnsi="Trebuchet MS" w:cs="Times New Roman"/>
          <w:color w:val="444444"/>
          <w:sz w:val="19"/>
          <w:szCs w:val="19"/>
          <w:shd w:val="clear" w:color="auto" w:fill="FFFFFF"/>
        </w:rPr>
        <w:t> PA6163.M36</w:t>
      </w:r>
      <w:r>
        <w:rPr>
          <w:rFonts w:ascii="Times New Roman" w:eastAsia="Times New Roman" w:hAnsi="Times New Roman" w:cs="Times New Roman"/>
        </w:rPr>
        <w:t>)</w:t>
      </w:r>
      <w:r>
        <w:rPr>
          <w:rFonts w:ascii="Times New Roman" w:eastAsia="Times New Roman" w:hAnsi="Times New Roman" w:cs="Times New Roman"/>
        </w:rPr>
        <w:t xml:space="preserve">, pp. </w:t>
      </w:r>
      <w:r w:rsidR="00465CE5">
        <w:rPr>
          <w:rFonts w:ascii="Times New Roman" w:eastAsia="Times New Roman" w:hAnsi="Times New Roman" w:cs="Times New Roman"/>
        </w:rPr>
        <w:t xml:space="preserve">244–253 and 377–78 (‘Warning to the Typographers of Lyons’, 1503) </w:t>
      </w:r>
    </w:p>
    <w:p w:rsidR="004A6BB0" w:rsidRDefault="004A6BB0" w:rsidP="001666BF">
      <w:pPr>
        <w:jc w:val="both"/>
        <w:rPr>
          <w:rFonts w:ascii="Times" w:hAnsi="Times"/>
          <w:sz w:val="22"/>
          <w:szCs w:val="22"/>
        </w:rPr>
      </w:pPr>
    </w:p>
    <w:p w:rsidR="000D4BD3" w:rsidRPr="00474F0E" w:rsidRDefault="000D4BD3" w:rsidP="001666BF">
      <w:pPr>
        <w:jc w:val="both"/>
        <w:rPr>
          <w:rFonts w:ascii="Times" w:hAnsi="Times"/>
          <w:sz w:val="22"/>
          <w:szCs w:val="22"/>
        </w:rPr>
      </w:pPr>
    </w:p>
    <w:p w:rsidR="004A6BB0" w:rsidRPr="00474F0E" w:rsidRDefault="000D4BD3" w:rsidP="001666BF">
      <w:pPr>
        <w:jc w:val="both"/>
        <w:rPr>
          <w:rFonts w:ascii="Times" w:hAnsi="Times"/>
          <w:sz w:val="22"/>
          <w:szCs w:val="22"/>
        </w:rPr>
      </w:pPr>
      <w:r>
        <w:rPr>
          <w:rFonts w:ascii="Times" w:hAnsi="Times"/>
          <w:sz w:val="22"/>
          <w:szCs w:val="22"/>
          <w:u w:val="single"/>
        </w:rPr>
        <w:t>Suggested</w:t>
      </w:r>
      <w:r w:rsidR="004A6BB0" w:rsidRPr="00474F0E">
        <w:rPr>
          <w:rFonts w:ascii="Times" w:hAnsi="Times"/>
          <w:sz w:val="22"/>
          <w:szCs w:val="22"/>
          <w:u w:val="single"/>
        </w:rPr>
        <w:t xml:space="preserve"> Readings</w:t>
      </w:r>
    </w:p>
    <w:p w:rsidR="004A6BB0" w:rsidRPr="00474F0E" w:rsidRDefault="004A6BB0" w:rsidP="001666BF">
      <w:pPr>
        <w:jc w:val="both"/>
        <w:rPr>
          <w:rFonts w:ascii="Times" w:hAnsi="Times"/>
          <w:sz w:val="22"/>
          <w:szCs w:val="22"/>
        </w:rPr>
      </w:pPr>
    </w:p>
    <w:p w:rsidR="00035FF6" w:rsidRDefault="00035FF6" w:rsidP="001666BF">
      <w:pPr>
        <w:jc w:val="both"/>
        <w:rPr>
          <w:rFonts w:ascii="Times" w:hAnsi="Times"/>
          <w:sz w:val="22"/>
          <w:szCs w:val="22"/>
        </w:rPr>
      </w:pPr>
      <w:r>
        <w:rPr>
          <w:rFonts w:ascii="Times" w:hAnsi="Times"/>
          <w:sz w:val="22"/>
          <w:szCs w:val="22"/>
        </w:rPr>
        <w:t xml:space="preserve">Martin Davies, </w:t>
      </w:r>
      <w:r>
        <w:rPr>
          <w:rFonts w:ascii="Times" w:hAnsi="Times"/>
          <w:i/>
          <w:sz w:val="22"/>
          <w:szCs w:val="22"/>
        </w:rPr>
        <w:t xml:space="preserve">Aldus Manutius: Printer and Publisher of Renaissance Venice </w:t>
      </w:r>
      <w:r>
        <w:rPr>
          <w:rFonts w:ascii="Times" w:hAnsi="Times"/>
          <w:sz w:val="22"/>
          <w:szCs w:val="22"/>
        </w:rPr>
        <w:t>(London: The British Library, 1995).</w:t>
      </w:r>
    </w:p>
    <w:p w:rsidR="00A05345" w:rsidRDefault="00A05345" w:rsidP="001666BF">
      <w:pPr>
        <w:jc w:val="both"/>
        <w:rPr>
          <w:rFonts w:ascii="Times" w:hAnsi="Times"/>
          <w:sz w:val="22"/>
          <w:szCs w:val="22"/>
        </w:rPr>
      </w:pPr>
    </w:p>
    <w:p w:rsidR="00A05345" w:rsidRPr="00A05345" w:rsidRDefault="00A05345" w:rsidP="001666BF">
      <w:pPr>
        <w:jc w:val="both"/>
        <w:rPr>
          <w:rFonts w:ascii="Times" w:hAnsi="Times"/>
          <w:sz w:val="22"/>
          <w:szCs w:val="22"/>
        </w:rPr>
      </w:pPr>
      <w:r w:rsidRPr="00A05345">
        <w:rPr>
          <w:rFonts w:ascii="Times" w:hAnsi="Times"/>
          <w:sz w:val="22"/>
          <w:szCs w:val="22"/>
        </w:rPr>
        <w:t xml:space="preserve">Craig Kallendorf, ‘Aldo Manuzio’, online in the </w:t>
      </w:r>
      <w:r w:rsidRPr="00A05345">
        <w:rPr>
          <w:rFonts w:ascii="Times" w:hAnsi="Times"/>
          <w:i/>
          <w:sz w:val="22"/>
          <w:szCs w:val="22"/>
        </w:rPr>
        <w:t xml:space="preserve">Oxford Bibliographies </w:t>
      </w:r>
      <w:r w:rsidRPr="00A05345">
        <w:rPr>
          <w:rFonts w:ascii="Times" w:hAnsi="Times"/>
          <w:sz w:val="22"/>
          <w:szCs w:val="22"/>
        </w:rPr>
        <w:t xml:space="preserve">project (see </w:t>
      </w:r>
      <w:hyperlink r:id="rId4" w:history="1">
        <w:r w:rsidRPr="00294237">
          <w:rPr>
            <w:rStyle w:val="Hyperlink"/>
            <w:rFonts w:ascii="Times" w:hAnsi="Times"/>
            <w:sz w:val="22"/>
            <w:szCs w:val="22"/>
          </w:rPr>
          <w:t>https://webcat.warwick.ac.uk/search~S1?/dManuzio%2C+Aldo%2C+1449+or+1450-1515./dmanuzio+aldo+++++1449+or+++++1450+++++1515/-3%2C-1%2C0%2CB/frameset&amp;FF=dmanuzio+aldo+++++1449+or+++++1450+++++1515&amp;1%2C%2C10</w:t>
        </w:r>
      </w:hyperlink>
      <w:r>
        <w:rPr>
          <w:rFonts w:ascii="Times" w:hAnsi="Times"/>
          <w:sz w:val="22"/>
          <w:szCs w:val="22"/>
        </w:rPr>
        <w:t xml:space="preserve"> )</w:t>
      </w:r>
    </w:p>
    <w:p w:rsidR="00035FF6" w:rsidRPr="00A05345" w:rsidRDefault="00035FF6" w:rsidP="001666BF">
      <w:pPr>
        <w:jc w:val="both"/>
        <w:rPr>
          <w:rFonts w:ascii="Times" w:hAnsi="Times"/>
          <w:sz w:val="22"/>
          <w:szCs w:val="22"/>
        </w:rPr>
      </w:pPr>
    </w:p>
    <w:p w:rsidR="00321DAD" w:rsidRPr="00321DAD" w:rsidRDefault="00321DAD" w:rsidP="001666BF">
      <w:pPr>
        <w:jc w:val="both"/>
        <w:rPr>
          <w:rFonts w:ascii="Times" w:hAnsi="Times"/>
          <w:sz w:val="22"/>
          <w:szCs w:val="22"/>
        </w:rPr>
      </w:pPr>
      <w:r>
        <w:rPr>
          <w:rFonts w:ascii="Times" w:hAnsi="Times"/>
          <w:sz w:val="22"/>
          <w:szCs w:val="22"/>
        </w:rPr>
        <w:t xml:space="preserve">Berthold L. Ullman and Philip A. Stadter, </w:t>
      </w:r>
      <w:r>
        <w:rPr>
          <w:rFonts w:ascii="Times" w:hAnsi="Times"/>
          <w:i/>
          <w:sz w:val="22"/>
          <w:szCs w:val="22"/>
        </w:rPr>
        <w:t xml:space="preserve">The Public Library of Renaissance Florence: Niccolò Niccoli, Cosimo de’ Medici, and the Library of San Marco </w:t>
      </w:r>
      <w:r>
        <w:rPr>
          <w:rFonts w:ascii="Times" w:hAnsi="Times"/>
          <w:sz w:val="22"/>
          <w:szCs w:val="22"/>
        </w:rPr>
        <w:t>(Padua: Antenore, 1972); also available as e-book.</w:t>
      </w:r>
    </w:p>
    <w:p w:rsidR="00321DAD" w:rsidRDefault="00321DAD" w:rsidP="001666BF">
      <w:pPr>
        <w:jc w:val="both"/>
        <w:rPr>
          <w:rFonts w:ascii="Times" w:hAnsi="Times"/>
          <w:sz w:val="22"/>
          <w:szCs w:val="22"/>
        </w:rPr>
      </w:pPr>
    </w:p>
    <w:p w:rsidR="000D4BD3" w:rsidRPr="00D8586F" w:rsidRDefault="006424E1" w:rsidP="001666BF">
      <w:pPr>
        <w:jc w:val="both"/>
        <w:rPr>
          <w:rFonts w:ascii="Times" w:hAnsi="Times"/>
          <w:sz w:val="22"/>
          <w:szCs w:val="22"/>
        </w:rPr>
      </w:pPr>
      <w:r w:rsidRPr="00D8586F">
        <w:rPr>
          <w:rFonts w:ascii="Times" w:hAnsi="Times"/>
          <w:sz w:val="22"/>
          <w:szCs w:val="22"/>
        </w:rPr>
        <w:t xml:space="preserve">Caroline Duroselle-Melish and David A. Lines, ‘The Library of Ulisse Aldrovandi († 1605): Acquiring and Organizing Books in Sixteenth-Century Bologna’, </w:t>
      </w:r>
      <w:r w:rsidRPr="00D8586F">
        <w:rPr>
          <w:rFonts w:ascii="Times" w:hAnsi="Times"/>
          <w:i/>
          <w:sz w:val="22"/>
          <w:szCs w:val="22"/>
        </w:rPr>
        <w:t>The Library: The Transactions of the Bibliographical Society</w:t>
      </w:r>
      <w:r w:rsidRPr="00D8586F">
        <w:rPr>
          <w:rFonts w:ascii="Times" w:hAnsi="Times"/>
          <w:sz w:val="22"/>
          <w:szCs w:val="22"/>
        </w:rPr>
        <w:t>, 7</w:t>
      </w:r>
      <w:r w:rsidRPr="00D8586F">
        <w:rPr>
          <w:rFonts w:ascii="Times" w:hAnsi="Times"/>
          <w:sz w:val="22"/>
          <w:szCs w:val="22"/>
          <w:vertAlign w:val="superscript"/>
        </w:rPr>
        <w:t>th</w:t>
      </w:r>
      <w:r w:rsidRPr="00D8586F">
        <w:rPr>
          <w:rFonts w:ascii="Times" w:hAnsi="Times"/>
          <w:sz w:val="22"/>
          <w:szCs w:val="22"/>
        </w:rPr>
        <w:t xml:space="preserve"> Series, 16.2 (June 2015), 133–161; PDF available at </w:t>
      </w:r>
      <w:hyperlink r:id="rId5" w:history="1">
        <w:r w:rsidRPr="00D8586F">
          <w:rPr>
            <w:rStyle w:val="Hyperlink"/>
            <w:rFonts w:ascii="Times" w:hAnsi="Times"/>
            <w:sz w:val="22"/>
            <w:szCs w:val="22"/>
          </w:rPr>
          <w:t>https://www.academia.edu/13860828/The_Library_of_Ulisse_Aldrovandi_1605_Acquiring_and_Organizing_Books_in_Sixteenth-Century_Bologna</w:t>
        </w:r>
      </w:hyperlink>
      <w:r w:rsidRPr="00D8586F">
        <w:rPr>
          <w:rFonts w:ascii="Times" w:hAnsi="Times"/>
          <w:sz w:val="22"/>
          <w:szCs w:val="22"/>
        </w:rPr>
        <w:t xml:space="preserve"> </w:t>
      </w:r>
    </w:p>
    <w:p w:rsidR="006424E1" w:rsidRDefault="006424E1" w:rsidP="001666BF">
      <w:pPr>
        <w:jc w:val="both"/>
        <w:rPr>
          <w:rFonts w:ascii="Times" w:hAnsi="Times"/>
          <w:sz w:val="22"/>
          <w:szCs w:val="22"/>
        </w:rPr>
      </w:pPr>
    </w:p>
    <w:p w:rsidR="000D4BD3" w:rsidRPr="00474F0E" w:rsidRDefault="000D4BD3" w:rsidP="001666BF">
      <w:pPr>
        <w:jc w:val="both"/>
        <w:rPr>
          <w:rFonts w:ascii="Times" w:hAnsi="Times"/>
          <w:sz w:val="22"/>
          <w:szCs w:val="22"/>
        </w:rPr>
      </w:pPr>
      <w:r>
        <w:rPr>
          <w:rFonts w:ascii="Times" w:hAnsi="Times"/>
          <w:sz w:val="22"/>
          <w:szCs w:val="22"/>
        </w:rPr>
        <w:t xml:space="preserve">Paula Findlen, </w:t>
      </w:r>
      <w:r w:rsidR="00D8586F">
        <w:rPr>
          <w:rFonts w:ascii="Times" w:hAnsi="Times"/>
          <w:i/>
          <w:sz w:val="22"/>
          <w:szCs w:val="22"/>
        </w:rPr>
        <w:t xml:space="preserve">Possessing Nature: Museums, Collecting, and Scientific Culture in Early Modern Italy </w:t>
      </w:r>
      <w:r w:rsidR="00D8586F" w:rsidRPr="00D8586F">
        <w:rPr>
          <w:rFonts w:ascii="Times" w:hAnsi="Times"/>
          <w:sz w:val="22"/>
          <w:szCs w:val="22"/>
        </w:rPr>
        <w:t>(Berkeley: University of California Press, 1994);</w:t>
      </w:r>
      <w:r w:rsidR="00D8586F">
        <w:rPr>
          <w:rFonts w:ascii="Times" w:hAnsi="Times"/>
          <w:i/>
          <w:sz w:val="22"/>
          <w:szCs w:val="22"/>
        </w:rPr>
        <w:t xml:space="preserve"> </w:t>
      </w:r>
      <w:r w:rsidR="00D8586F">
        <w:rPr>
          <w:rFonts w:ascii="Times" w:hAnsi="Times"/>
          <w:sz w:val="22"/>
          <w:szCs w:val="22"/>
        </w:rPr>
        <w:t>ch. 1</w:t>
      </w:r>
      <w:r>
        <w:rPr>
          <w:rFonts w:ascii="Times" w:hAnsi="Times"/>
          <w:sz w:val="22"/>
          <w:szCs w:val="22"/>
        </w:rPr>
        <w:t xml:space="preserve"> </w:t>
      </w:r>
      <w:r w:rsidR="00D8586F">
        <w:rPr>
          <w:rFonts w:ascii="Times" w:hAnsi="Times"/>
          <w:sz w:val="22"/>
          <w:szCs w:val="22"/>
        </w:rPr>
        <w:t xml:space="preserve">is </w:t>
      </w:r>
      <w:r>
        <w:rPr>
          <w:rFonts w:ascii="Times" w:hAnsi="Times"/>
          <w:sz w:val="22"/>
          <w:szCs w:val="22"/>
        </w:rPr>
        <w:t>on Aldrovandi’s museum</w:t>
      </w:r>
      <w:r w:rsidR="00D8586F">
        <w:rPr>
          <w:rFonts w:ascii="Times" w:hAnsi="Times"/>
          <w:sz w:val="22"/>
          <w:szCs w:val="22"/>
        </w:rPr>
        <w:t>.</w:t>
      </w:r>
    </w:p>
    <w:p w:rsidR="00474F0E" w:rsidRPr="00474F0E" w:rsidRDefault="00474F0E" w:rsidP="001666BF">
      <w:pPr>
        <w:jc w:val="both"/>
        <w:rPr>
          <w:rFonts w:ascii="Times" w:hAnsi="Times"/>
          <w:sz w:val="22"/>
          <w:szCs w:val="22"/>
        </w:rPr>
      </w:pPr>
    </w:p>
    <w:p w:rsidR="00474F0E" w:rsidRPr="000D4BD3" w:rsidRDefault="00474F0E" w:rsidP="001666BF">
      <w:pPr>
        <w:jc w:val="both"/>
        <w:rPr>
          <w:rFonts w:ascii="Times" w:hAnsi="Times"/>
        </w:rPr>
      </w:pPr>
    </w:p>
    <w:sectPr w:rsidR="00474F0E" w:rsidRPr="000D4BD3" w:rsidSect="00C15435">
      <w:pgSz w:w="11900" w:h="16840"/>
      <w:pgMar w:top="1134"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9"/>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3C18"/>
    <w:rsid w:val="00035FF6"/>
    <w:rsid w:val="00093436"/>
    <w:rsid w:val="000D4BD3"/>
    <w:rsid w:val="00111B33"/>
    <w:rsid w:val="001666BF"/>
    <w:rsid w:val="00180F97"/>
    <w:rsid w:val="001E60D5"/>
    <w:rsid w:val="00261BE3"/>
    <w:rsid w:val="002765CA"/>
    <w:rsid w:val="002C4E34"/>
    <w:rsid w:val="00321DAD"/>
    <w:rsid w:val="00403C18"/>
    <w:rsid w:val="00465CE5"/>
    <w:rsid w:val="00474F0E"/>
    <w:rsid w:val="004A6BB0"/>
    <w:rsid w:val="004C71BF"/>
    <w:rsid w:val="0058518D"/>
    <w:rsid w:val="005D75A8"/>
    <w:rsid w:val="006424E1"/>
    <w:rsid w:val="0064262D"/>
    <w:rsid w:val="00720D91"/>
    <w:rsid w:val="007812C6"/>
    <w:rsid w:val="007C7814"/>
    <w:rsid w:val="008E3B31"/>
    <w:rsid w:val="00997CA1"/>
    <w:rsid w:val="009A5274"/>
    <w:rsid w:val="00A05345"/>
    <w:rsid w:val="00B31441"/>
    <w:rsid w:val="00C15435"/>
    <w:rsid w:val="00D8586F"/>
    <w:rsid w:val="00E370DC"/>
    <w:rsid w:val="00E40C24"/>
    <w:rsid w:val="00EA5E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1EFB7B"/>
  <w14:defaultImageDpi w14:val="32767"/>
  <w15:chartTrackingRefBased/>
  <w15:docId w15:val="{8ECC7481-DED1-3C40-A729-A777799E9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D75A8"/>
    <w:rPr>
      <w:color w:val="0563C1" w:themeColor="hyperlink"/>
      <w:u w:val="single"/>
    </w:rPr>
  </w:style>
  <w:style w:type="character" w:styleId="UnresolvedMention">
    <w:name w:val="Unresolved Mention"/>
    <w:basedOn w:val="DefaultParagraphFont"/>
    <w:uiPriority w:val="99"/>
    <w:rsid w:val="005D75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40699583">
      <w:bodyDiv w:val="1"/>
      <w:marLeft w:val="0"/>
      <w:marRight w:val="0"/>
      <w:marTop w:val="0"/>
      <w:marBottom w:val="0"/>
      <w:divBdr>
        <w:top w:val="none" w:sz="0" w:space="0" w:color="auto"/>
        <w:left w:val="none" w:sz="0" w:space="0" w:color="auto"/>
        <w:bottom w:val="none" w:sz="0" w:space="0" w:color="auto"/>
        <w:right w:val="none" w:sz="0" w:space="0" w:color="auto"/>
      </w:divBdr>
    </w:div>
    <w:div w:id="1911495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academia.edu/13860828/The_Library_of_Ulisse_Aldrovandi_1605_Acquiring_and_Organizing_Books_in_Sixteenth-Century_Bologna" TargetMode="External"/><Relationship Id="rId4" Type="http://schemas.openxmlformats.org/officeDocument/2006/relationships/hyperlink" Target="https://webcat.warwick.ac.uk/search~S1?/dManuzio%2C+Aldo%2C+1449+or+1450-1515./dmanuzio+aldo+++++1449+or+++++1450+++++1515/-3%2C-1%2C0%2CB/frameset&amp;FF=dmanuzio+aldo+++++1449+or+++++1450+++++1515&amp;1%2C%2C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283</TotalTime>
  <Pages>1</Pages>
  <Words>608</Words>
  <Characters>3469</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Lines, David</dc:creator>
  <cp:keywords/>
  <dc:description/>
  <cp:lastModifiedBy>Lines, David</cp:lastModifiedBy>
  <cp:revision>11</cp:revision>
  <dcterms:created xsi:type="dcterms:W3CDTF">2019-09-07T13:10:00Z</dcterms:created>
  <dcterms:modified xsi:type="dcterms:W3CDTF">2020-01-14T12:43:00Z</dcterms:modified>
</cp:coreProperties>
</file>