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0048E2" w14:textId="658B7A6C" w:rsidR="00BA45BF" w:rsidRPr="000F440C" w:rsidRDefault="00403C18" w:rsidP="006A2BEF">
      <w:pPr>
        <w:jc w:val="center"/>
        <w:rPr>
          <w:rFonts w:ascii="Times" w:hAnsi="Times" w:cs="Arial"/>
          <w:sz w:val="22"/>
          <w:szCs w:val="22"/>
        </w:rPr>
      </w:pPr>
      <w:r w:rsidRPr="000F440C">
        <w:rPr>
          <w:rFonts w:ascii="Times" w:hAnsi="Times" w:cs="Arial"/>
          <w:sz w:val="22"/>
          <w:szCs w:val="22"/>
        </w:rPr>
        <w:t>Renaissance Europe I: Foundations and Forms (RS200/RS300)</w:t>
      </w:r>
    </w:p>
    <w:p w14:paraId="32E4620B" w14:textId="632BFDFA" w:rsidR="00403C18" w:rsidRPr="000F440C" w:rsidRDefault="00403C18" w:rsidP="006A2BEF">
      <w:pPr>
        <w:jc w:val="center"/>
        <w:rPr>
          <w:rFonts w:ascii="Times" w:hAnsi="Times"/>
          <w:sz w:val="22"/>
          <w:szCs w:val="22"/>
        </w:rPr>
      </w:pPr>
    </w:p>
    <w:p w14:paraId="67C5FC52" w14:textId="39B7C1C6" w:rsidR="00403C18" w:rsidRPr="00E72902" w:rsidRDefault="004611A2" w:rsidP="006A2BEF">
      <w:pPr>
        <w:jc w:val="center"/>
        <w:rPr>
          <w:rFonts w:ascii="Times" w:hAnsi="Times"/>
          <w:b/>
          <w:sz w:val="22"/>
          <w:szCs w:val="22"/>
        </w:rPr>
      </w:pPr>
      <w:r w:rsidRPr="00E72902">
        <w:rPr>
          <w:rFonts w:ascii="Times" w:hAnsi="Times"/>
          <w:b/>
          <w:sz w:val="22"/>
          <w:szCs w:val="22"/>
        </w:rPr>
        <w:t xml:space="preserve">Week </w:t>
      </w:r>
      <w:r w:rsidR="00513ACB">
        <w:rPr>
          <w:rFonts w:ascii="Times" w:hAnsi="Times"/>
          <w:b/>
          <w:sz w:val="22"/>
          <w:szCs w:val="22"/>
        </w:rPr>
        <w:t>7</w:t>
      </w:r>
      <w:r w:rsidRPr="00E72902">
        <w:rPr>
          <w:rFonts w:ascii="Times" w:hAnsi="Times"/>
          <w:b/>
          <w:sz w:val="22"/>
          <w:szCs w:val="22"/>
        </w:rPr>
        <w:t>: Renaissance Painting (</w:t>
      </w:r>
      <w:r w:rsidR="00282ADA">
        <w:rPr>
          <w:rFonts w:ascii="Times" w:hAnsi="Times"/>
          <w:b/>
          <w:sz w:val="22"/>
          <w:szCs w:val="22"/>
        </w:rPr>
        <w:t xml:space="preserve">Dr </w:t>
      </w:r>
      <w:r w:rsidR="00BB1E79" w:rsidRPr="00E72902">
        <w:rPr>
          <w:rFonts w:ascii="Times" w:hAnsi="Times"/>
          <w:b/>
          <w:sz w:val="22"/>
          <w:szCs w:val="22"/>
        </w:rPr>
        <w:t>Claudia Daniotti</w:t>
      </w:r>
      <w:r w:rsidRPr="00E72902">
        <w:rPr>
          <w:rFonts w:ascii="Times" w:hAnsi="Times"/>
          <w:b/>
          <w:sz w:val="22"/>
          <w:szCs w:val="22"/>
        </w:rPr>
        <w:t>)</w:t>
      </w:r>
    </w:p>
    <w:p w14:paraId="623E5E09" w14:textId="77777777" w:rsidR="00BA45BF" w:rsidRPr="00E72902" w:rsidRDefault="00BA45BF" w:rsidP="00A17D93">
      <w:pPr>
        <w:jc w:val="both"/>
        <w:rPr>
          <w:rFonts w:ascii="Times" w:hAnsi="Times"/>
          <w:sz w:val="22"/>
          <w:szCs w:val="22"/>
        </w:rPr>
      </w:pPr>
    </w:p>
    <w:p w14:paraId="03355F8F" w14:textId="55B88922" w:rsidR="003338D1" w:rsidRDefault="00322BA3" w:rsidP="00A17D93">
      <w:pPr>
        <w:jc w:val="both"/>
        <w:rPr>
          <w:rFonts w:ascii="Times" w:hAnsi="Times"/>
          <w:sz w:val="22"/>
          <w:szCs w:val="22"/>
        </w:rPr>
      </w:pPr>
      <w:r w:rsidRPr="00E72902">
        <w:rPr>
          <w:rFonts w:ascii="Times" w:hAnsi="Times"/>
          <w:sz w:val="22"/>
          <w:szCs w:val="22"/>
        </w:rPr>
        <w:t xml:space="preserve">When it comes to </w:t>
      </w:r>
      <w:r w:rsidR="003338D1" w:rsidRPr="00E72902">
        <w:rPr>
          <w:rFonts w:ascii="Times" w:hAnsi="Times"/>
          <w:sz w:val="22"/>
          <w:szCs w:val="22"/>
        </w:rPr>
        <w:t xml:space="preserve">Renaissance </w:t>
      </w:r>
      <w:r w:rsidR="000A7BE8" w:rsidRPr="00E72902">
        <w:rPr>
          <w:rFonts w:ascii="Times" w:hAnsi="Times"/>
          <w:sz w:val="22"/>
          <w:szCs w:val="22"/>
        </w:rPr>
        <w:t>painting</w:t>
      </w:r>
      <w:r w:rsidR="00980684" w:rsidRPr="00E72902">
        <w:rPr>
          <w:rFonts w:ascii="Times" w:hAnsi="Times"/>
          <w:sz w:val="22"/>
          <w:szCs w:val="22"/>
        </w:rPr>
        <w:t>, artworks</w:t>
      </w:r>
      <w:r w:rsidR="00403C18" w:rsidRPr="00E72902">
        <w:rPr>
          <w:rFonts w:ascii="Times" w:hAnsi="Times"/>
          <w:sz w:val="22"/>
          <w:szCs w:val="22"/>
        </w:rPr>
        <w:t xml:space="preserve"> </w:t>
      </w:r>
      <w:r w:rsidRPr="00E72902">
        <w:rPr>
          <w:rFonts w:ascii="Times" w:hAnsi="Times"/>
          <w:sz w:val="22"/>
          <w:szCs w:val="22"/>
        </w:rPr>
        <w:t>testify</w:t>
      </w:r>
      <w:r w:rsidR="00AD761D" w:rsidRPr="00E72902">
        <w:rPr>
          <w:rFonts w:ascii="Times" w:hAnsi="Times"/>
          <w:sz w:val="22"/>
          <w:szCs w:val="22"/>
        </w:rPr>
        <w:t xml:space="preserve"> to </w:t>
      </w:r>
      <w:r w:rsidR="00980684" w:rsidRPr="00E72902">
        <w:rPr>
          <w:rFonts w:ascii="Times" w:hAnsi="Times"/>
          <w:sz w:val="22"/>
          <w:szCs w:val="22"/>
        </w:rPr>
        <w:t>a</w:t>
      </w:r>
      <w:r w:rsidR="00AD761D" w:rsidRPr="00E72902">
        <w:rPr>
          <w:rFonts w:ascii="Times" w:hAnsi="Times"/>
          <w:sz w:val="22"/>
          <w:szCs w:val="22"/>
        </w:rPr>
        <w:t xml:space="preserve"> great </w:t>
      </w:r>
      <w:r w:rsidRPr="00E72902">
        <w:rPr>
          <w:rFonts w:ascii="Times" w:hAnsi="Times"/>
          <w:sz w:val="22"/>
          <w:szCs w:val="22"/>
        </w:rPr>
        <w:t xml:space="preserve">variety of models and </w:t>
      </w:r>
      <w:r w:rsidR="00980684" w:rsidRPr="00E72902">
        <w:rPr>
          <w:rFonts w:ascii="Times" w:hAnsi="Times"/>
          <w:sz w:val="22"/>
          <w:szCs w:val="22"/>
        </w:rPr>
        <w:t>interpretations</w:t>
      </w:r>
      <w:r w:rsidR="00AF39EE" w:rsidRPr="00E72902">
        <w:rPr>
          <w:rFonts w:ascii="Times" w:hAnsi="Times"/>
          <w:sz w:val="22"/>
          <w:szCs w:val="22"/>
        </w:rPr>
        <w:t>.</w:t>
      </w:r>
      <w:r w:rsidR="0086503E" w:rsidRPr="00E72902">
        <w:rPr>
          <w:rFonts w:ascii="Times" w:hAnsi="Times"/>
          <w:sz w:val="22"/>
          <w:szCs w:val="22"/>
        </w:rPr>
        <w:t xml:space="preserve"> </w:t>
      </w:r>
      <w:r w:rsidR="004F5F37" w:rsidRPr="00E72902">
        <w:rPr>
          <w:rFonts w:ascii="Times" w:hAnsi="Times"/>
          <w:sz w:val="22"/>
          <w:szCs w:val="22"/>
        </w:rPr>
        <w:t>Q</w:t>
      </w:r>
      <w:r w:rsidR="002830B6" w:rsidRPr="00E72902">
        <w:rPr>
          <w:rFonts w:ascii="Times" w:hAnsi="Times"/>
          <w:sz w:val="22"/>
          <w:szCs w:val="22"/>
        </w:rPr>
        <w:t xml:space="preserve">uestions of </w:t>
      </w:r>
      <w:r w:rsidR="0086503E" w:rsidRPr="00E72902">
        <w:rPr>
          <w:rFonts w:ascii="Times" w:hAnsi="Times"/>
          <w:sz w:val="22"/>
          <w:szCs w:val="22"/>
        </w:rPr>
        <w:t xml:space="preserve">patronage, </w:t>
      </w:r>
      <w:r w:rsidR="003338D1" w:rsidRPr="00E72902">
        <w:rPr>
          <w:rFonts w:ascii="Times" w:hAnsi="Times"/>
          <w:sz w:val="22"/>
          <w:szCs w:val="22"/>
        </w:rPr>
        <w:t>market</w:t>
      </w:r>
      <w:r w:rsidR="0086503E" w:rsidRPr="00E72902">
        <w:rPr>
          <w:rFonts w:ascii="Times" w:hAnsi="Times"/>
          <w:sz w:val="22"/>
          <w:szCs w:val="22"/>
        </w:rPr>
        <w:t xml:space="preserve">, and </w:t>
      </w:r>
      <w:r w:rsidR="003338D1" w:rsidRPr="00E72902">
        <w:rPr>
          <w:rFonts w:ascii="Times" w:hAnsi="Times"/>
          <w:sz w:val="22"/>
          <w:szCs w:val="22"/>
        </w:rPr>
        <w:t>social status</w:t>
      </w:r>
      <w:r w:rsidR="0086503E" w:rsidRPr="00E72902">
        <w:rPr>
          <w:rFonts w:ascii="Times" w:hAnsi="Times"/>
          <w:sz w:val="22"/>
          <w:szCs w:val="22"/>
        </w:rPr>
        <w:t xml:space="preserve"> </w:t>
      </w:r>
      <w:r w:rsidR="00493B69" w:rsidRPr="00E72902">
        <w:rPr>
          <w:rFonts w:ascii="Times" w:hAnsi="Times"/>
          <w:sz w:val="22"/>
          <w:szCs w:val="22"/>
        </w:rPr>
        <w:t xml:space="preserve">influenced </w:t>
      </w:r>
      <w:r w:rsidR="003338D1" w:rsidRPr="00E72902">
        <w:rPr>
          <w:rFonts w:ascii="Times" w:hAnsi="Times"/>
          <w:sz w:val="22"/>
          <w:szCs w:val="22"/>
        </w:rPr>
        <w:t>the perception of painting</w:t>
      </w:r>
      <w:r w:rsidR="004F5F37" w:rsidRPr="00E72902">
        <w:rPr>
          <w:rFonts w:ascii="Times" w:hAnsi="Times"/>
          <w:sz w:val="22"/>
          <w:szCs w:val="22"/>
        </w:rPr>
        <w:t xml:space="preserve"> </w:t>
      </w:r>
      <w:r w:rsidR="00493B69" w:rsidRPr="00E72902">
        <w:rPr>
          <w:rFonts w:ascii="Times" w:hAnsi="Times"/>
          <w:sz w:val="22"/>
          <w:szCs w:val="22"/>
        </w:rPr>
        <w:t xml:space="preserve">differently </w:t>
      </w:r>
      <w:r w:rsidR="002830B6" w:rsidRPr="00E72902">
        <w:rPr>
          <w:rFonts w:ascii="Times" w:hAnsi="Times"/>
          <w:sz w:val="22"/>
          <w:szCs w:val="22"/>
        </w:rPr>
        <w:t>over time</w:t>
      </w:r>
      <w:r w:rsidR="00403C18" w:rsidRPr="00E72902">
        <w:rPr>
          <w:rFonts w:ascii="Times" w:hAnsi="Times"/>
          <w:sz w:val="22"/>
          <w:szCs w:val="22"/>
        </w:rPr>
        <w:t xml:space="preserve">. </w:t>
      </w:r>
      <w:r w:rsidR="0086503E" w:rsidRPr="00E72902">
        <w:rPr>
          <w:rFonts w:ascii="Times" w:hAnsi="Times"/>
          <w:sz w:val="22"/>
          <w:szCs w:val="22"/>
        </w:rPr>
        <w:t>On</w:t>
      </w:r>
      <w:r w:rsidR="00AD761D" w:rsidRPr="00E72902">
        <w:rPr>
          <w:rFonts w:ascii="Times" w:hAnsi="Times"/>
          <w:sz w:val="22"/>
          <w:szCs w:val="22"/>
        </w:rPr>
        <w:t xml:space="preserve"> the </w:t>
      </w:r>
      <w:r w:rsidR="004F5F37" w:rsidRPr="00E72902">
        <w:rPr>
          <w:rFonts w:ascii="Times" w:hAnsi="Times"/>
          <w:sz w:val="22"/>
          <w:szCs w:val="22"/>
        </w:rPr>
        <w:t xml:space="preserve">practical side, </w:t>
      </w:r>
      <w:r w:rsidR="00AD761D" w:rsidRPr="00E72902">
        <w:rPr>
          <w:rFonts w:ascii="Times" w:hAnsi="Times"/>
          <w:sz w:val="22"/>
          <w:szCs w:val="22"/>
        </w:rPr>
        <w:t>painting was a</w:t>
      </w:r>
      <w:r w:rsidR="0086503E" w:rsidRPr="00E72902">
        <w:rPr>
          <w:rFonts w:ascii="Times" w:hAnsi="Times"/>
          <w:sz w:val="22"/>
          <w:szCs w:val="22"/>
        </w:rPr>
        <w:t xml:space="preserve"> craft </w:t>
      </w:r>
      <w:r w:rsidR="00493B69" w:rsidRPr="00E72902">
        <w:rPr>
          <w:rFonts w:ascii="Times" w:hAnsi="Times"/>
          <w:sz w:val="22"/>
          <w:szCs w:val="22"/>
        </w:rPr>
        <w:t xml:space="preserve">shaped </w:t>
      </w:r>
      <w:r w:rsidR="0086503E" w:rsidRPr="00E72902">
        <w:rPr>
          <w:rFonts w:ascii="Times" w:hAnsi="Times"/>
          <w:sz w:val="22"/>
          <w:szCs w:val="22"/>
        </w:rPr>
        <w:t>by technological constraints and developments</w:t>
      </w:r>
      <w:r w:rsidR="00AD761D" w:rsidRPr="00E72902">
        <w:rPr>
          <w:rFonts w:ascii="Times" w:hAnsi="Times"/>
          <w:sz w:val="22"/>
          <w:szCs w:val="22"/>
        </w:rPr>
        <w:t xml:space="preserve"> </w:t>
      </w:r>
      <w:r w:rsidR="00980684" w:rsidRPr="00E72902">
        <w:rPr>
          <w:rFonts w:ascii="Times" w:hAnsi="Times"/>
          <w:sz w:val="22"/>
          <w:szCs w:val="22"/>
        </w:rPr>
        <w:t>and</w:t>
      </w:r>
      <w:r w:rsidR="00AD761D" w:rsidRPr="00E72902">
        <w:rPr>
          <w:rFonts w:ascii="Times" w:hAnsi="Times"/>
          <w:sz w:val="22"/>
          <w:szCs w:val="22"/>
        </w:rPr>
        <w:t xml:space="preserve"> workshop practice</w:t>
      </w:r>
      <w:r w:rsidR="002830B6" w:rsidRPr="00E72902">
        <w:rPr>
          <w:rFonts w:ascii="Times" w:hAnsi="Times"/>
          <w:sz w:val="22"/>
          <w:szCs w:val="22"/>
        </w:rPr>
        <w:t>s</w:t>
      </w:r>
      <w:r w:rsidR="0086503E" w:rsidRPr="00E72902">
        <w:rPr>
          <w:rFonts w:ascii="Times" w:hAnsi="Times"/>
          <w:sz w:val="22"/>
          <w:szCs w:val="22"/>
        </w:rPr>
        <w:t xml:space="preserve">. </w:t>
      </w:r>
      <w:r w:rsidR="00980684" w:rsidRPr="00E72902">
        <w:rPr>
          <w:rFonts w:ascii="Times" w:hAnsi="Times"/>
          <w:sz w:val="22"/>
          <w:szCs w:val="22"/>
        </w:rPr>
        <w:t>Contemporary s</w:t>
      </w:r>
      <w:r w:rsidR="003338D1" w:rsidRPr="00E72902">
        <w:rPr>
          <w:rFonts w:ascii="Times" w:hAnsi="Times"/>
          <w:sz w:val="22"/>
          <w:szCs w:val="22"/>
        </w:rPr>
        <w:t>cholarship on Renaissance painting has emb</w:t>
      </w:r>
      <w:r w:rsidR="00AD761D" w:rsidRPr="00E72902">
        <w:rPr>
          <w:rFonts w:ascii="Times" w:hAnsi="Times"/>
          <w:sz w:val="22"/>
          <w:szCs w:val="22"/>
        </w:rPr>
        <w:t>race</w:t>
      </w:r>
      <w:r w:rsidR="004F5F37" w:rsidRPr="00E72902">
        <w:rPr>
          <w:rFonts w:ascii="Times" w:hAnsi="Times"/>
          <w:sz w:val="22"/>
          <w:szCs w:val="22"/>
        </w:rPr>
        <w:t>d all of these</w:t>
      </w:r>
      <w:r w:rsidR="004C1B31" w:rsidRPr="00E72902">
        <w:rPr>
          <w:rFonts w:ascii="Times" w:hAnsi="Times"/>
          <w:sz w:val="22"/>
          <w:szCs w:val="22"/>
        </w:rPr>
        <w:t xml:space="preserve"> different aspects</w:t>
      </w:r>
      <w:r w:rsidR="00980684" w:rsidRPr="00E72902">
        <w:rPr>
          <w:rFonts w:ascii="Times" w:hAnsi="Times"/>
          <w:sz w:val="22"/>
          <w:szCs w:val="22"/>
        </w:rPr>
        <w:t xml:space="preserve"> and </w:t>
      </w:r>
      <w:r w:rsidR="004C1B31" w:rsidRPr="00E72902">
        <w:rPr>
          <w:rFonts w:ascii="Times" w:hAnsi="Times"/>
          <w:sz w:val="22"/>
          <w:szCs w:val="22"/>
        </w:rPr>
        <w:t>thus</w:t>
      </w:r>
      <w:r w:rsidR="004F5F37" w:rsidRPr="00E72902">
        <w:rPr>
          <w:rFonts w:ascii="Times" w:hAnsi="Times"/>
          <w:sz w:val="22"/>
          <w:szCs w:val="22"/>
        </w:rPr>
        <w:t xml:space="preserve"> has</w:t>
      </w:r>
      <w:r w:rsidR="007F5A90" w:rsidRPr="00E72902">
        <w:rPr>
          <w:rFonts w:ascii="Times" w:hAnsi="Times"/>
          <w:sz w:val="22"/>
          <w:szCs w:val="22"/>
        </w:rPr>
        <w:t xml:space="preserve"> </w:t>
      </w:r>
      <w:r w:rsidR="004C1B31" w:rsidRPr="00E72902">
        <w:rPr>
          <w:rFonts w:ascii="Times" w:hAnsi="Times"/>
          <w:sz w:val="22"/>
          <w:szCs w:val="22"/>
        </w:rPr>
        <w:t>moved away from previous narratives centred on ‘progress’ and ‘realism’. C</w:t>
      </w:r>
      <w:r w:rsidR="002830B6" w:rsidRPr="00E72902">
        <w:rPr>
          <w:rFonts w:ascii="Times" w:hAnsi="Times"/>
          <w:sz w:val="22"/>
          <w:szCs w:val="22"/>
        </w:rPr>
        <w:t>atalogue entries</w:t>
      </w:r>
      <w:r w:rsidR="004C1B31" w:rsidRPr="00E72902">
        <w:rPr>
          <w:rFonts w:ascii="Times" w:hAnsi="Times"/>
          <w:sz w:val="22"/>
          <w:szCs w:val="22"/>
        </w:rPr>
        <w:t xml:space="preserve">, </w:t>
      </w:r>
      <w:r w:rsidR="00980684" w:rsidRPr="00E72902">
        <w:rPr>
          <w:rFonts w:ascii="Times" w:hAnsi="Times"/>
          <w:sz w:val="22"/>
          <w:szCs w:val="22"/>
        </w:rPr>
        <w:t>in particular</w:t>
      </w:r>
      <w:r w:rsidR="004C1B31" w:rsidRPr="00E72902">
        <w:rPr>
          <w:rFonts w:ascii="Times" w:hAnsi="Times"/>
          <w:sz w:val="22"/>
          <w:szCs w:val="22"/>
        </w:rPr>
        <w:t>,</w:t>
      </w:r>
      <w:r w:rsidR="00AD761D" w:rsidRPr="00E72902">
        <w:rPr>
          <w:rFonts w:ascii="Times" w:hAnsi="Times"/>
          <w:sz w:val="22"/>
          <w:szCs w:val="22"/>
        </w:rPr>
        <w:t xml:space="preserve"> </w:t>
      </w:r>
      <w:r w:rsidR="002830B6" w:rsidRPr="00E72902">
        <w:rPr>
          <w:rFonts w:ascii="Times" w:hAnsi="Times"/>
          <w:sz w:val="22"/>
          <w:szCs w:val="22"/>
        </w:rPr>
        <w:t>reflect</w:t>
      </w:r>
      <w:r w:rsidR="00A66A3E" w:rsidRPr="00E72902">
        <w:rPr>
          <w:rFonts w:ascii="Times" w:hAnsi="Times"/>
          <w:sz w:val="22"/>
          <w:szCs w:val="22"/>
        </w:rPr>
        <w:t xml:space="preserve"> how</w:t>
      </w:r>
      <w:r w:rsidR="004F5F37" w:rsidRPr="00E72902">
        <w:rPr>
          <w:rFonts w:ascii="Times" w:hAnsi="Times"/>
          <w:sz w:val="22"/>
          <w:szCs w:val="22"/>
        </w:rPr>
        <w:t xml:space="preserve"> multiple</w:t>
      </w:r>
      <w:r w:rsidR="00A66A3E" w:rsidRPr="00E72902">
        <w:rPr>
          <w:rFonts w:ascii="Times" w:hAnsi="Times"/>
          <w:sz w:val="22"/>
          <w:szCs w:val="22"/>
        </w:rPr>
        <w:t xml:space="preserve"> </w:t>
      </w:r>
      <w:r w:rsidR="002830B6" w:rsidRPr="00E72902">
        <w:rPr>
          <w:rFonts w:ascii="Times" w:hAnsi="Times"/>
          <w:sz w:val="22"/>
          <w:szCs w:val="22"/>
        </w:rPr>
        <w:t xml:space="preserve">components </w:t>
      </w:r>
      <w:r w:rsidR="00A66A3E" w:rsidRPr="00E72902">
        <w:rPr>
          <w:rFonts w:ascii="Times" w:hAnsi="Times"/>
          <w:sz w:val="22"/>
          <w:szCs w:val="22"/>
        </w:rPr>
        <w:t xml:space="preserve">of </w:t>
      </w:r>
      <w:r w:rsidR="002830B6" w:rsidRPr="00E72902">
        <w:rPr>
          <w:rFonts w:ascii="Times" w:hAnsi="Times"/>
          <w:sz w:val="22"/>
          <w:szCs w:val="22"/>
        </w:rPr>
        <w:t>a painting</w:t>
      </w:r>
      <w:r w:rsidR="00A66A3E" w:rsidRPr="00E72902">
        <w:rPr>
          <w:rFonts w:ascii="Times" w:hAnsi="Times"/>
          <w:sz w:val="22"/>
          <w:szCs w:val="22"/>
        </w:rPr>
        <w:t xml:space="preserve"> contribute to its understanding</w:t>
      </w:r>
      <w:r w:rsidR="004C1B31" w:rsidRPr="00E72902">
        <w:rPr>
          <w:rFonts w:ascii="Times" w:hAnsi="Times"/>
          <w:sz w:val="22"/>
          <w:szCs w:val="22"/>
        </w:rPr>
        <w:t xml:space="preserve">. </w:t>
      </w:r>
    </w:p>
    <w:p w14:paraId="790FE13D" w14:textId="7C3C2C42" w:rsidR="00981BA4" w:rsidRPr="00AB25DC" w:rsidRDefault="00F35652" w:rsidP="00981BA4">
      <w:pPr>
        <w:ind w:firstLine="720"/>
        <w:jc w:val="both"/>
        <w:rPr>
          <w:rFonts w:ascii="Times" w:hAnsi="Times"/>
          <w:color w:val="000000" w:themeColor="text1"/>
          <w:sz w:val="22"/>
          <w:szCs w:val="22"/>
        </w:rPr>
      </w:pPr>
      <w:r>
        <w:rPr>
          <w:rFonts w:ascii="Times" w:hAnsi="Times"/>
          <w:sz w:val="22"/>
          <w:szCs w:val="22"/>
        </w:rPr>
        <w:t xml:space="preserve">This week’s lecture comprises three parts. </w:t>
      </w:r>
      <w:r w:rsidRPr="00E72902">
        <w:rPr>
          <w:rFonts w:ascii="Times" w:hAnsi="Times"/>
          <w:sz w:val="22"/>
          <w:szCs w:val="22"/>
        </w:rPr>
        <w:t xml:space="preserve">First, it examines the techniques and materials used, as taught by sources of the time, such as </w:t>
      </w:r>
      <w:r w:rsidRPr="00E72902">
        <w:rPr>
          <w:rFonts w:ascii="Times" w:hAnsi="Times"/>
          <w:i/>
          <w:sz w:val="22"/>
          <w:szCs w:val="22"/>
        </w:rPr>
        <w:t>The</w:t>
      </w:r>
      <w:r w:rsidRPr="000F440C">
        <w:rPr>
          <w:rFonts w:ascii="Times" w:hAnsi="Times"/>
          <w:sz w:val="22"/>
          <w:szCs w:val="22"/>
        </w:rPr>
        <w:t xml:space="preserve"> </w:t>
      </w:r>
      <w:r w:rsidRPr="000F440C">
        <w:rPr>
          <w:rFonts w:ascii="Times" w:hAnsi="Times"/>
          <w:i/>
          <w:sz w:val="22"/>
          <w:szCs w:val="22"/>
        </w:rPr>
        <w:t xml:space="preserve">Book of the Art </w:t>
      </w:r>
      <w:r w:rsidRPr="000F440C">
        <w:rPr>
          <w:rFonts w:ascii="Times" w:hAnsi="Times"/>
          <w:sz w:val="22"/>
          <w:szCs w:val="22"/>
        </w:rPr>
        <w:t xml:space="preserve">by the Italian painter Cennino Cennini (1370-1427), the earliest technical treatise to survive from the period, and discovered by contemporary scientific analyses. Second, it looks at the subjects depicted in paintings, and how they vary depending on the geographical and chronological context; for instance, it examines the diffusion of mythological subjects and its relationship with the renewed study of classical texts. </w:t>
      </w:r>
      <w:r w:rsidRPr="00AB25DC">
        <w:rPr>
          <w:rFonts w:ascii="Times" w:hAnsi="Times"/>
          <w:color w:val="000000" w:themeColor="text1"/>
          <w:sz w:val="22"/>
          <w:szCs w:val="22"/>
        </w:rPr>
        <w:t>Lastly, the lecture addresses the history of collecting and selling paintings, and the impact that this had in the way that people approached artworks at the time and in how we think about Renaissance painting now.</w:t>
      </w:r>
      <w:r w:rsidR="009A01F7">
        <w:rPr>
          <w:rFonts w:ascii="Times" w:hAnsi="Times"/>
          <w:color w:val="000000" w:themeColor="text1"/>
          <w:sz w:val="22"/>
          <w:szCs w:val="22"/>
        </w:rPr>
        <w:t xml:space="preserve"> The readings from Leon Battista Alberti’s </w:t>
      </w:r>
      <w:r w:rsidR="009A01F7">
        <w:rPr>
          <w:rFonts w:ascii="Times" w:hAnsi="Times"/>
          <w:i/>
          <w:color w:val="000000" w:themeColor="text1"/>
          <w:sz w:val="22"/>
          <w:szCs w:val="22"/>
        </w:rPr>
        <w:t>On Painting</w:t>
      </w:r>
      <w:r w:rsidR="009A01F7">
        <w:rPr>
          <w:rFonts w:ascii="Times" w:hAnsi="Times"/>
          <w:color w:val="000000" w:themeColor="text1"/>
          <w:sz w:val="22"/>
          <w:szCs w:val="22"/>
        </w:rPr>
        <w:t xml:space="preserve"> and Giorgio Vasari’s </w:t>
      </w:r>
      <w:r w:rsidR="009A01F7">
        <w:rPr>
          <w:rFonts w:ascii="Times" w:hAnsi="Times"/>
          <w:i/>
          <w:color w:val="000000" w:themeColor="text1"/>
          <w:sz w:val="22"/>
          <w:szCs w:val="22"/>
        </w:rPr>
        <w:t xml:space="preserve">Lives of the Artists </w:t>
      </w:r>
      <w:r w:rsidR="009A01F7">
        <w:rPr>
          <w:rFonts w:ascii="Times" w:hAnsi="Times"/>
          <w:color w:val="000000" w:themeColor="text1"/>
          <w:sz w:val="22"/>
          <w:szCs w:val="22"/>
        </w:rPr>
        <w:t xml:space="preserve">(see ‘Primary Readings’ below) will help us understand how Renaissance people read paintings, and </w:t>
      </w:r>
      <w:r w:rsidR="00696303">
        <w:rPr>
          <w:rFonts w:ascii="Times" w:hAnsi="Times"/>
          <w:color w:val="000000" w:themeColor="text1"/>
          <w:sz w:val="22"/>
          <w:szCs w:val="22"/>
        </w:rPr>
        <w:t xml:space="preserve">in what their approach </w:t>
      </w:r>
      <w:r w:rsidR="00827E2C">
        <w:rPr>
          <w:rFonts w:ascii="Times" w:hAnsi="Times"/>
          <w:color w:val="000000" w:themeColor="text1"/>
          <w:sz w:val="22"/>
          <w:szCs w:val="22"/>
        </w:rPr>
        <w:t xml:space="preserve">is different from ours. </w:t>
      </w:r>
    </w:p>
    <w:p w14:paraId="41D8255B" w14:textId="4EBE02CA" w:rsidR="001666BF" w:rsidRDefault="00474F0E" w:rsidP="00981BA4">
      <w:pPr>
        <w:ind w:firstLine="720"/>
        <w:jc w:val="both"/>
        <w:rPr>
          <w:rFonts w:ascii="Times" w:hAnsi="Times"/>
          <w:sz w:val="22"/>
          <w:szCs w:val="22"/>
        </w:rPr>
      </w:pPr>
      <w:r w:rsidRPr="000F440C">
        <w:rPr>
          <w:rFonts w:ascii="Times" w:hAnsi="Times"/>
          <w:b/>
          <w:sz w:val="22"/>
          <w:szCs w:val="22"/>
        </w:rPr>
        <w:t>Assignment</w:t>
      </w:r>
      <w:r w:rsidRPr="000F440C">
        <w:rPr>
          <w:rFonts w:ascii="Times" w:hAnsi="Times"/>
          <w:sz w:val="22"/>
          <w:szCs w:val="22"/>
        </w:rPr>
        <w:t xml:space="preserve">: </w:t>
      </w:r>
      <w:r w:rsidR="00666272" w:rsidRPr="000F440C">
        <w:rPr>
          <w:rFonts w:ascii="Times" w:hAnsi="Times"/>
          <w:sz w:val="22"/>
          <w:szCs w:val="22"/>
        </w:rPr>
        <w:t>from the list of catalogue entries provided</w:t>
      </w:r>
      <w:r w:rsidR="00FC2D7E" w:rsidRPr="000F440C">
        <w:rPr>
          <w:rFonts w:ascii="Times" w:hAnsi="Times"/>
          <w:sz w:val="22"/>
          <w:szCs w:val="22"/>
        </w:rPr>
        <w:t xml:space="preserve"> </w:t>
      </w:r>
      <w:r w:rsidR="009A4126">
        <w:rPr>
          <w:rFonts w:ascii="Times" w:hAnsi="Times"/>
          <w:sz w:val="22"/>
          <w:szCs w:val="22"/>
        </w:rPr>
        <w:t>below</w:t>
      </w:r>
      <w:r w:rsidR="00666272" w:rsidRPr="000F440C">
        <w:rPr>
          <w:rFonts w:ascii="Times" w:hAnsi="Times"/>
          <w:sz w:val="22"/>
          <w:szCs w:val="22"/>
        </w:rPr>
        <w:t xml:space="preserve">, </w:t>
      </w:r>
      <w:r w:rsidR="001248AC" w:rsidRPr="000F440C">
        <w:rPr>
          <w:rFonts w:ascii="Times" w:hAnsi="Times"/>
          <w:sz w:val="22"/>
          <w:szCs w:val="22"/>
        </w:rPr>
        <w:t xml:space="preserve">choose one and </w:t>
      </w:r>
      <w:r w:rsidR="0006233B" w:rsidRPr="000F440C">
        <w:rPr>
          <w:rFonts w:ascii="Times" w:hAnsi="Times"/>
          <w:sz w:val="22"/>
          <w:szCs w:val="22"/>
        </w:rPr>
        <w:t>describe</w:t>
      </w:r>
      <w:r w:rsidR="001248AC" w:rsidRPr="000F440C">
        <w:rPr>
          <w:rFonts w:ascii="Times" w:hAnsi="Times"/>
          <w:sz w:val="22"/>
          <w:szCs w:val="22"/>
        </w:rPr>
        <w:t>, in writing, their content and structure.</w:t>
      </w:r>
      <w:r w:rsidR="008605A5" w:rsidRPr="000F440C">
        <w:rPr>
          <w:rFonts w:ascii="Times" w:hAnsi="Times"/>
          <w:sz w:val="22"/>
          <w:szCs w:val="22"/>
        </w:rPr>
        <w:t xml:space="preserve"> </w:t>
      </w:r>
      <w:r w:rsidR="00677C62" w:rsidRPr="000F440C">
        <w:rPr>
          <w:rFonts w:ascii="Times" w:hAnsi="Times"/>
          <w:sz w:val="22"/>
          <w:szCs w:val="22"/>
        </w:rPr>
        <w:t xml:space="preserve">Is there any order in the way </w:t>
      </w:r>
      <w:r w:rsidR="001C3EA2" w:rsidRPr="000F440C">
        <w:rPr>
          <w:rFonts w:ascii="Times" w:hAnsi="Times"/>
          <w:sz w:val="22"/>
          <w:szCs w:val="22"/>
        </w:rPr>
        <w:t>the entry</w:t>
      </w:r>
      <w:r w:rsidR="00677C62" w:rsidRPr="000F440C">
        <w:rPr>
          <w:rFonts w:ascii="Times" w:hAnsi="Times"/>
          <w:sz w:val="22"/>
          <w:szCs w:val="22"/>
        </w:rPr>
        <w:t xml:space="preserve"> discuss</w:t>
      </w:r>
      <w:r w:rsidR="001C3EA2" w:rsidRPr="000F440C">
        <w:rPr>
          <w:rFonts w:ascii="Times" w:hAnsi="Times"/>
          <w:sz w:val="22"/>
          <w:szCs w:val="22"/>
        </w:rPr>
        <w:t>es the</w:t>
      </w:r>
      <w:r w:rsidR="00677C62" w:rsidRPr="000F440C">
        <w:rPr>
          <w:rFonts w:ascii="Times" w:hAnsi="Times"/>
          <w:sz w:val="22"/>
          <w:szCs w:val="22"/>
        </w:rPr>
        <w:t xml:space="preserve"> painting? What is, in your opinion, the function of a catalogue entry</w:t>
      </w:r>
      <w:r w:rsidR="00E86203" w:rsidRPr="000F440C">
        <w:rPr>
          <w:rFonts w:ascii="Times" w:hAnsi="Times"/>
          <w:sz w:val="22"/>
          <w:szCs w:val="22"/>
        </w:rPr>
        <w:t>:</w:t>
      </w:r>
      <w:r w:rsidR="00677C62" w:rsidRPr="000F440C">
        <w:rPr>
          <w:rFonts w:ascii="Times" w:hAnsi="Times"/>
          <w:sz w:val="22"/>
          <w:szCs w:val="22"/>
        </w:rPr>
        <w:t xml:space="preserve"> by who and in which context are they used?</w:t>
      </w:r>
      <w:r w:rsidR="00677C62" w:rsidRPr="000F440C">
        <w:rPr>
          <w:rFonts w:ascii="Times" w:hAnsi="Times"/>
          <w:b/>
          <w:sz w:val="22"/>
          <w:szCs w:val="22"/>
        </w:rPr>
        <w:t xml:space="preserve"> </w:t>
      </w:r>
      <w:r w:rsidR="008605A5" w:rsidRPr="000F440C">
        <w:rPr>
          <w:rFonts w:ascii="Times" w:hAnsi="Times"/>
          <w:sz w:val="22"/>
          <w:szCs w:val="22"/>
        </w:rPr>
        <w:t xml:space="preserve">To help you with terms related to the painting’s iconography or technique that you </w:t>
      </w:r>
      <w:r w:rsidR="001A61F2" w:rsidRPr="000F440C">
        <w:rPr>
          <w:rFonts w:ascii="Times" w:hAnsi="Times"/>
          <w:sz w:val="22"/>
          <w:szCs w:val="22"/>
        </w:rPr>
        <w:t>might be</w:t>
      </w:r>
      <w:r w:rsidR="008605A5" w:rsidRPr="000F440C">
        <w:rPr>
          <w:rFonts w:ascii="Times" w:hAnsi="Times"/>
          <w:sz w:val="22"/>
          <w:szCs w:val="22"/>
        </w:rPr>
        <w:t xml:space="preserve"> unfamiliar with, use the Oxford </w:t>
      </w:r>
      <w:r w:rsidR="008605A5" w:rsidRPr="00E72902">
        <w:rPr>
          <w:rFonts w:ascii="Times" w:hAnsi="Times"/>
          <w:sz w:val="22"/>
          <w:szCs w:val="22"/>
        </w:rPr>
        <w:t>Dict</w:t>
      </w:r>
      <w:r w:rsidR="00BB1E79" w:rsidRPr="00E72902">
        <w:rPr>
          <w:rFonts w:ascii="Times" w:hAnsi="Times"/>
          <w:sz w:val="22"/>
          <w:szCs w:val="22"/>
        </w:rPr>
        <w:t>i</w:t>
      </w:r>
      <w:r w:rsidR="008605A5" w:rsidRPr="00E72902">
        <w:rPr>
          <w:rFonts w:ascii="Times" w:hAnsi="Times"/>
          <w:sz w:val="22"/>
          <w:szCs w:val="22"/>
        </w:rPr>
        <w:t>onary of Art and Artists (4th edn, electronic resource) and the Grove Art Online (digital database, both</w:t>
      </w:r>
      <w:r w:rsidR="008605A5" w:rsidRPr="000F440C">
        <w:rPr>
          <w:rFonts w:ascii="Times" w:hAnsi="Times"/>
          <w:sz w:val="22"/>
          <w:szCs w:val="22"/>
        </w:rPr>
        <w:t xml:space="preserve"> in the Warwick Library). </w:t>
      </w:r>
      <w:r w:rsidR="001A3A2F" w:rsidRPr="000F440C">
        <w:rPr>
          <w:rFonts w:ascii="Times" w:hAnsi="Times"/>
          <w:sz w:val="22"/>
          <w:szCs w:val="22"/>
        </w:rPr>
        <w:t>Based on your model for a catalogue entry</w:t>
      </w:r>
      <w:r w:rsidR="00677C62" w:rsidRPr="000F440C">
        <w:rPr>
          <w:rFonts w:ascii="Times" w:hAnsi="Times"/>
          <w:sz w:val="22"/>
          <w:szCs w:val="22"/>
        </w:rPr>
        <w:t xml:space="preserve">, draft a list of bibliographical resources that you </w:t>
      </w:r>
      <w:r w:rsidR="001A3A2F" w:rsidRPr="000F440C">
        <w:rPr>
          <w:rFonts w:ascii="Times" w:hAnsi="Times"/>
          <w:sz w:val="22"/>
          <w:szCs w:val="22"/>
        </w:rPr>
        <w:t>would use if</w:t>
      </w:r>
      <w:r w:rsidR="00677C62" w:rsidRPr="000F440C">
        <w:rPr>
          <w:rFonts w:ascii="Times" w:hAnsi="Times"/>
          <w:sz w:val="22"/>
          <w:szCs w:val="22"/>
        </w:rPr>
        <w:t xml:space="preserve"> you had to write </w:t>
      </w:r>
      <w:r w:rsidR="001A3A2F" w:rsidRPr="000F440C">
        <w:rPr>
          <w:rFonts w:ascii="Times" w:hAnsi="Times"/>
          <w:sz w:val="22"/>
          <w:szCs w:val="22"/>
        </w:rPr>
        <w:t>a new one</w:t>
      </w:r>
      <w:r w:rsidR="00677C62" w:rsidRPr="000F440C">
        <w:rPr>
          <w:rFonts w:ascii="Times" w:hAnsi="Times"/>
          <w:sz w:val="22"/>
          <w:szCs w:val="22"/>
        </w:rPr>
        <w:t xml:space="preserve"> for a </w:t>
      </w:r>
      <w:r w:rsidR="00F33740" w:rsidRPr="000F440C">
        <w:rPr>
          <w:rFonts w:ascii="Times" w:hAnsi="Times"/>
          <w:sz w:val="22"/>
          <w:szCs w:val="22"/>
        </w:rPr>
        <w:t>painting</w:t>
      </w:r>
      <w:r w:rsidR="00677C62" w:rsidRPr="000F440C">
        <w:rPr>
          <w:rFonts w:ascii="Times" w:hAnsi="Times"/>
          <w:sz w:val="22"/>
          <w:szCs w:val="22"/>
        </w:rPr>
        <w:t>; try to find examples</w:t>
      </w:r>
      <w:r w:rsidR="001C3EA2" w:rsidRPr="000F440C">
        <w:rPr>
          <w:rFonts w:ascii="Times" w:hAnsi="Times"/>
          <w:sz w:val="22"/>
          <w:szCs w:val="22"/>
        </w:rPr>
        <w:t xml:space="preserve"> of editions</w:t>
      </w:r>
      <w:r w:rsidR="00677C62" w:rsidRPr="000F440C">
        <w:rPr>
          <w:rFonts w:ascii="Times" w:hAnsi="Times"/>
          <w:sz w:val="22"/>
          <w:szCs w:val="22"/>
        </w:rPr>
        <w:t xml:space="preserve"> from the Warwick Library.</w:t>
      </w:r>
    </w:p>
    <w:p w14:paraId="6A7DEEB9" w14:textId="77777777" w:rsidR="00981BA4" w:rsidRPr="000F440C" w:rsidRDefault="00981BA4" w:rsidP="00981BA4">
      <w:pPr>
        <w:ind w:firstLine="720"/>
        <w:jc w:val="both"/>
        <w:rPr>
          <w:rFonts w:ascii="Times" w:hAnsi="Times"/>
          <w:sz w:val="22"/>
          <w:szCs w:val="22"/>
        </w:rPr>
      </w:pPr>
    </w:p>
    <w:p w14:paraId="45478AB0" w14:textId="64A06C8F" w:rsidR="001666BF" w:rsidRPr="000F440C" w:rsidRDefault="001666BF" w:rsidP="00A17D93">
      <w:pPr>
        <w:jc w:val="both"/>
        <w:rPr>
          <w:rFonts w:ascii="Times" w:hAnsi="Times"/>
          <w:sz w:val="22"/>
          <w:szCs w:val="22"/>
        </w:rPr>
      </w:pPr>
    </w:p>
    <w:p w14:paraId="797195FE" w14:textId="223A3BBE" w:rsidR="001666BF" w:rsidRPr="000F440C" w:rsidRDefault="001666BF" w:rsidP="00A17D93">
      <w:pPr>
        <w:jc w:val="both"/>
        <w:rPr>
          <w:rFonts w:ascii="Times" w:hAnsi="Times"/>
          <w:sz w:val="22"/>
          <w:szCs w:val="22"/>
        </w:rPr>
      </w:pPr>
      <w:r w:rsidRPr="000F440C">
        <w:rPr>
          <w:rFonts w:ascii="Times" w:hAnsi="Times"/>
          <w:sz w:val="22"/>
          <w:szCs w:val="22"/>
          <w:u w:val="single"/>
        </w:rPr>
        <w:t>Primary Readings</w:t>
      </w:r>
      <w:r w:rsidRPr="000F440C">
        <w:rPr>
          <w:rFonts w:ascii="Times" w:hAnsi="Times"/>
          <w:sz w:val="22"/>
          <w:szCs w:val="22"/>
        </w:rPr>
        <w:t xml:space="preserve"> (an asterisk </w:t>
      </w:r>
      <w:proofErr w:type="gramStart"/>
      <w:r w:rsidRPr="000F440C">
        <w:rPr>
          <w:rFonts w:ascii="Times" w:hAnsi="Times"/>
          <w:sz w:val="22"/>
          <w:szCs w:val="22"/>
        </w:rPr>
        <w:t>marks</w:t>
      </w:r>
      <w:proofErr w:type="gramEnd"/>
      <w:r w:rsidRPr="000F440C">
        <w:rPr>
          <w:rFonts w:ascii="Times" w:hAnsi="Times"/>
          <w:sz w:val="22"/>
          <w:szCs w:val="22"/>
        </w:rPr>
        <w:t xml:space="preserve"> mandatory readings)</w:t>
      </w:r>
    </w:p>
    <w:p w14:paraId="7402FF72" w14:textId="320E9D6B" w:rsidR="001666BF" w:rsidRPr="000F440C" w:rsidRDefault="001666BF" w:rsidP="00A17D93">
      <w:pPr>
        <w:jc w:val="both"/>
        <w:rPr>
          <w:rFonts w:ascii="Times" w:hAnsi="Times"/>
          <w:sz w:val="22"/>
          <w:szCs w:val="22"/>
        </w:rPr>
      </w:pPr>
    </w:p>
    <w:p w14:paraId="75B9E603" w14:textId="613DC625" w:rsidR="001666BF" w:rsidRPr="000F440C" w:rsidRDefault="00FC2D7E" w:rsidP="00A17D93">
      <w:pPr>
        <w:jc w:val="both"/>
        <w:rPr>
          <w:rFonts w:ascii="Times" w:hAnsi="Times"/>
          <w:sz w:val="22"/>
          <w:szCs w:val="22"/>
        </w:rPr>
      </w:pPr>
      <w:r w:rsidRPr="000F440C">
        <w:rPr>
          <w:rFonts w:ascii="Times" w:hAnsi="Times"/>
          <w:sz w:val="22"/>
          <w:szCs w:val="22"/>
        </w:rPr>
        <w:t>Cennino Cennini</w:t>
      </w:r>
      <w:r w:rsidR="001666BF" w:rsidRPr="000F440C">
        <w:rPr>
          <w:rFonts w:ascii="Times" w:hAnsi="Times"/>
          <w:sz w:val="22"/>
          <w:szCs w:val="22"/>
        </w:rPr>
        <w:t xml:space="preserve">, </w:t>
      </w:r>
      <w:r w:rsidR="00A82F7F" w:rsidRPr="000F440C">
        <w:rPr>
          <w:rFonts w:ascii="Times" w:hAnsi="Times"/>
          <w:i/>
          <w:sz w:val="22"/>
          <w:szCs w:val="22"/>
        </w:rPr>
        <w:t>The Book of the Art</w:t>
      </w:r>
      <w:r w:rsidR="001666BF" w:rsidRPr="000F440C">
        <w:rPr>
          <w:rFonts w:ascii="Times" w:hAnsi="Times"/>
          <w:i/>
          <w:sz w:val="22"/>
          <w:szCs w:val="22"/>
        </w:rPr>
        <w:t xml:space="preserve"> </w:t>
      </w:r>
      <w:r w:rsidR="00A82F7F" w:rsidRPr="000F440C">
        <w:rPr>
          <w:rFonts w:ascii="Times" w:hAnsi="Times"/>
          <w:sz w:val="22"/>
          <w:szCs w:val="22"/>
        </w:rPr>
        <w:t>(extracts,</w:t>
      </w:r>
      <w:r w:rsidR="001666BF" w:rsidRPr="000F440C">
        <w:rPr>
          <w:rFonts w:ascii="Times" w:hAnsi="Times"/>
          <w:sz w:val="22"/>
          <w:szCs w:val="22"/>
        </w:rPr>
        <w:t xml:space="preserve"> see PDF on website)</w:t>
      </w:r>
    </w:p>
    <w:p w14:paraId="42DD1CBD" w14:textId="77777777" w:rsidR="00474F0E" w:rsidRPr="000F440C" w:rsidRDefault="00474F0E" w:rsidP="00A17D93">
      <w:pPr>
        <w:jc w:val="both"/>
        <w:rPr>
          <w:rFonts w:ascii="Times" w:hAnsi="Times"/>
          <w:sz w:val="22"/>
          <w:szCs w:val="22"/>
        </w:rPr>
      </w:pPr>
    </w:p>
    <w:p w14:paraId="46510906" w14:textId="7527ADBA" w:rsidR="001666BF" w:rsidRPr="000F440C" w:rsidRDefault="001666BF" w:rsidP="00A17D93">
      <w:pPr>
        <w:jc w:val="both"/>
        <w:rPr>
          <w:rFonts w:ascii="Times" w:hAnsi="Times"/>
          <w:sz w:val="22"/>
          <w:szCs w:val="22"/>
        </w:rPr>
      </w:pPr>
      <w:r w:rsidRPr="000F440C">
        <w:rPr>
          <w:rFonts w:ascii="Times" w:hAnsi="Times"/>
          <w:sz w:val="22"/>
          <w:szCs w:val="22"/>
        </w:rPr>
        <w:t>*</w:t>
      </w:r>
      <w:r w:rsidR="00A82F7F" w:rsidRPr="000F440C">
        <w:rPr>
          <w:rFonts w:ascii="Times" w:hAnsi="Times"/>
          <w:sz w:val="22"/>
          <w:szCs w:val="22"/>
        </w:rPr>
        <w:t>Leon Battista Alberti</w:t>
      </w:r>
      <w:r w:rsidRPr="000F440C">
        <w:rPr>
          <w:rFonts w:ascii="Times" w:hAnsi="Times"/>
          <w:sz w:val="22"/>
          <w:szCs w:val="22"/>
        </w:rPr>
        <w:t xml:space="preserve">, </w:t>
      </w:r>
      <w:r w:rsidR="00060F26" w:rsidRPr="000F440C">
        <w:rPr>
          <w:rFonts w:ascii="Times" w:hAnsi="Times"/>
          <w:i/>
          <w:sz w:val="22"/>
          <w:szCs w:val="22"/>
        </w:rPr>
        <w:t xml:space="preserve">On Painting </w:t>
      </w:r>
      <w:r w:rsidR="00060F26" w:rsidRPr="000F440C">
        <w:rPr>
          <w:rFonts w:ascii="Times" w:hAnsi="Times"/>
          <w:sz w:val="22"/>
          <w:szCs w:val="22"/>
        </w:rPr>
        <w:t>(</w:t>
      </w:r>
      <w:r w:rsidR="006E060F">
        <w:rPr>
          <w:rFonts w:ascii="Times" w:hAnsi="Times"/>
          <w:sz w:val="22"/>
          <w:szCs w:val="22"/>
        </w:rPr>
        <w:t>Book II</w:t>
      </w:r>
      <w:r w:rsidR="004A2A7F">
        <w:rPr>
          <w:rFonts w:ascii="Times" w:hAnsi="Times"/>
          <w:sz w:val="22"/>
          <w:szCs w:val="22"/>
        </w:rPr>
        <w:t>; pp. 44-73 of Rocco Sinisgalli’s edition, 20</w:t>
      </w:r>
      <w:r w:rsidR="008635C9">
        <w:rPr>
          <w:rFonts w:ascii="Times" w:hAnsi="Times"/>
          <w:sz w:val="22"/>
          <w:szCs w:val="22"/>
        </w:rPr>
        <w:t>1</w:t>
      </w:r>
      <w:bookmarkStart w:id="0" w:name="_GoBack"/>
      <w:bookmarkEnd w:id="0"/>
      <w:r w:rsidR="004A2A7F">
        <w:rPr>
          <w:rFonts w:ascii="Times" w:hAnsi="Times"/>
          <w:sz w:val="22"/>
          <w:szCs w:val="22"/>
        </w:rPr>
        <w:t>1</w:t>
      </w:r>
      <w:r w:rsidR="00951DAB">
        <w:rPr>
          <w:rFonts w:ascii="Times" w:hAnsi="Times"/>
          <w:sz w:val="22"/>
          <w:szCs w:val="22"/>
        </w:rPr>
        <w:t xml:space="preserve">. </w:t>
      </w:r>
      <w:r w:rsidR="00951DAB">
        <w:rPr>
          <w:rFonts w:ascii="Times" w:hAnsi="Times"/>
          <w:b/>
          <w:sz w:val="22"/>
          <w:szCs w:val="22"/>
        </w:rPr>
        <w:t>E</w:t>
      </w:r>
      <w:r w:rsidR="004A2A7F" w:rsidRPr="004A2A7F">
        <w:rPr>
          <w:rFonts w:ascii="Times" w:hAnsi="Times"/>
          <w:b/>
          <w:sz w:val="22"/>
          <w:szCs w:val="22"/>
        </w:rPr>
        <w:t>-</w:t>
      </w:r>
      <w:r w:rsidR="00951DAB">
        <w:rPr>
          <w:rFonts w:ascii="Times" w:hAnsi="Times"/>
          <w:b/>
          <w:sz w:val="22"/>
          <w:szCs w:val="22"/>
        </w:rPr>
        <w:t>B</w:t>
      </w:r>
      <w:r w:rsidR="004A2A7F" w:rsidRPr="004A2A7F">
        <w:rPr>
          <w:rFonts w:ascii="Times" w:hAnsi="Times"/>
          <w:b/>
          <w:sz w:val="22"/>
          <w:szCs w:val="22"/>
        </w:rPr>
        <w:t>ook</w:t>
      </w:r>
      <w:r w:rsidR="004A2A7F">
        <w:rPr>
          <w:rFonts w:ascii="Times" w:hAnsi="Times"/>
          <w:sz w:val="22"/>
          <w:szCs w:val="22"/>
        </w:rPr>
        <w:t>)</w:t>
      </w:r>
    </w:p>
    <w:p w14:paraId="5391B657" w14:textId="180D1454" w:rsidR="00180F97" w:rsidRPr="000F440C" w:rsidRDefault="00180F97" w:rsidP="00A17D93">
      <w:pPr>
        <w:jc w:val="both"/>
        <w:rPr>
          <w:rFonts w:ascii="Times" w:hAnsi="Times"/>
          <w:sz w:val="22"/>
          <w:szCs w:val="22"/>
        </w:rPr>
      </w:pPr>
    </w:p>
    <w:p w14:paraId="48D1A37F" w14:textId="6E84C197" w:rsidR="00180F97" w:rsidRPr="000F440C" w:rsidRDefault="009F0C78" w:rsidP="00A17D93">
      <w:pPr>
        <w:jc w:val="both"/>
        <w:rPr>
          <w:rFonts w:ascii="Times" w:hAnsi="Times"/>
          <w:sz w:val="22"/>
          <w:szCs w:val="22"/>
        </w:rPr>
      </w:pPr>
      <w:r w:rsidRPr="000F440C">
        <w:rPr>
          <w:rFonts w:ascii="Times" w:hAnsi="Times"/>
          <w:sz w:val="22"/>
          <w:szCs w:val="22"/>
        </w:rPr>
        <w:t>*Giorgio Vasari</w:t>
      </w:r>
      <w:r w:rsidR="00A82F7F" w:rsidRPr="000F440C">
        <w:rPr>
          <w:rFonts w:ascii="Times" w:hAnsi="Times"/>
          <w:sz w:val="22"/>
          <w:szCs w:val="22"/>
        </w:rPr>
        <w:t xml:space="preserve">, </w:t>
      </w:r>
      <w:r w:rsidRPr="000F440C">
        <w:rPr>
          <w:rFonts w:ascii="Times" w:hAnsi="Times"/>
          <w:i/>
          <w:sz w:val="22"/>
          <w:szCs w:val="22"/>
        </w:rPr>
        <w:t>The Lives of the Artists</w:t>
      </w:r>
      <w:r w:rsidR="00FC2D7E" w:rsidRPr="000F440C">
        <w:rPr>
          <w:rFonts w:ascii="Times" w:hAnsi="Times"/>
          <w:sz w:val="22"/>
          <w:szCs w:val="22"/>
        </w:rPr>
        <w:t xml:space="preserve"> (</w:t>
      </w:r>
      <w:r w:rsidR="00951DAB">
        <w:rPr>
          <w:rFonts w:ascii="Times" w:hAnsi="Times"/>
          <w:sz w:val="22"/>
          <w:szCs w:val="22"/>
        </w:rPr>
        <w:t>Life of Leonardo da Vinci, pp. 284-298 of Julia Conaway Bondanella’s edition, 1998.</w:t>
      </w:r>
      <w:r w:rsidR="00060F26" w:rsidRPr="000F440C">
        <w:rPr>
          <w:rFonts w:ascii="Times" w:hAnsi="Times"/>
          <w:sz w:val="22"/>
          <w:szCs w:val="22"/>
        </w:rPr>
        <w:t xml:space="preserve"> </w:t>
      </w:r>
      <w:r w:rsidR="00951DAB" w:rsidRPr="00951DAB">
        <w:rPr>
          <w:rFonts w:ascii="Times" w:hAnsi="Times"/>
          <w:b/>
          <w:sz w:val="22"/>
          <w:szCs w:val="22"/>
        </w:rPr>
        <w:t>E-Book</w:t>
      </w:r>
      <w:r w:rsidRPr="000F440C">
        <w:rPr>
          <w:rFonts w:ascii="Times" w:hAnsi="Times"/>
          <w:sz w:val="22"/>
          <w:szCs w:val="22"/>
        </w:rPr>
        <w:t>)</w:t>
      </w:r>
      <w:r w:rsidR="00AF39EE" w:rsidRPr="000F440C">
        <w:rPr>
          <w:rFonts w:ascii="Times" w:hAnsi="Times"/>
          <w:sz w:val="22"/>
          <w:szCs w:val="22"/>
        </w:rPr>
        <w:t xml:space="preserve"> </w:t>
      </w:r>
    </w:p>
    <w:p w14:paraId="191D8099" w14:textId="1BDB35BE" w:rsidR="004A6BB0" w:rsidRDefault="004A6BB0" w:rsidP="00A17D93">
      <w:pPr>
        <w:jc w:val="both"/>
        <w:rPr>
          <w:rFonts w:ascii="Times" w:hAnsi="Times"/>
          <w:sz w:val="22"/>
          <w:szCs w:val="22"/>
        </w:rPr>
      </w:pPr>
    </w:p>
    <w:p w14:paraId="573D6FDD" w14:textId="77777777" w:rsidR="000F440C" w:rsidRPr="000F440C" w:rsidRDefault="000F440C" w:rsidP="00A17D93">
      <w:pPr>
        <w:jc w:val="both"/>
        <w:rPr>
          <w:rFonts w:ascii="Times" w:hAnsi="Times"/>
          <w:sz w:val="22"/>
          <w:szCs w:val="22"/>
        </w:rPr>
      </w:pPr>
    </w:p>
    <w:p w14:paraId="43A96A6D" w14:textId="6613CEBA" w:rsidR="004A6BB0" w:rsidRPr="000F440C" w:rsidRDefault="004A6BB0" w:rsidP="00A17D93">
      <w:pPr>
        <w:jc w:val="both"/>
        <w:rPr>
          <w:rFonts w:ascii="Times" w:hAnsi="Times"/>
          <w:sz w:val="22"/>
          <w:szCs w:val="22"/>
        </w:rPr>
      </w:pPr>
      <w:r w:rsidRPr="000F440C">
        <w:rPr>
          <w:rFonts w:ascii="Times" w:hAnsi="Times"/>
          <w:sz w:val="22"/>
          <w:szCs w:val="22"/>
          <w:u w:val="single"/>
        </w:rPr>
        <w:t>Secondary Readings</w:t>
      </w:r>
    </w:p>
    <w:p w14:paraId="5F8CBA5F" w14:textId="77777777" w:rsidR="00A34FB8" w:rsidRPr="00CF0070" w:rsidRDefault="00A34FB8" w:rsidP="00A17D93">
      <w:pPr>
        <w:jc w:val="both"/>
        <w:rPr>
          <w:rFonts w:ascii="Times" w:hAnsi="Times"/>
          <w:color w:val="000000" w:themeColor="text1"/>
          <w:sz w:val="22"/>
          <w:szCs w:val="22"/>
          <w:lang w:val="it-IT"/>
        </w:rPr>
      </w:pPr>
    </w:p>
    <w:p w14:paraId="58A24726" w14:textId="6AF94E0B" w:rsidR="004E40F7" w:rsidRPr="009D3F73" w:rsidRDefault="00A17D93" w:rsidP="00A17D93">
      <w:pPr>
        <w:jc w:val="both"/>
        <w:rPr>
          <w:rFonts w:ascii="Times" w:hAnsi="Times"/>
          <w:b/>
          <w:color w:val="000000" w:themeColor="text1"/>
          <w:sz w:val="22"/>
          <w:szCs w:val="22"/>
        </w:rPr>
      </w:pPr>
      <w:r w:rsidRPr="009D3F73">
        <w:rPr>
          <w:rFonts w:ascii="Times" w:hAnsi="Times"/>
          <w:color w:val="000000" w:themeColor="text1"/>
          <w:sz w:val="22"/>
          <w:szCs w:val="22"/>
          <w:lang w:val="it-IT"/>
        </w:rPr>
        <w:t xml:space="preserve">Michael </w:t>
      </w:r>
      <w:r w:rsidR="004E40F7" w:rsidRPr="009D3F73">
        <w:rPr>
          <w:rFonts w:ascii="Times" w:hAnsi="Times"/>
          <w:color w:val="000000" w:themeColor="text1"/>
          <w:sz w:val="22"/>
          <w:szCs w:val="22"/>
          <w:lang w:val="it-IT"/>
        </w:rPr>
        <w:t>Baxandall</w:t>
      </w:r>
      <w:r w:rsidRPr="009D3F73">
        <w:rPr>
          <w:rFonts w:ascii="Times" w:hAnsi="Times"/>
          <w:color w:val="000000" w:themeColor="text1"/>
          <w:sz w:val="22"/>
          <w:szCs w:val="22"/>
          <w:lang w:val="it-IT"/>
        </w:rPr>
        <w:t xml:space="preserve">, </w:t>
      </w:r>
      <w:r w:rsidRPr="009D3F73">
        <w:rPr>
          <w:rFonts w:ascii="Times" w:hAnsi="Times"/>
          <w:i/>
          <w:color w:val="000000" w:themeColor="text1"/>
          <w:sz w:val="22"/>
          <w:szCs w:val="22"/>
          <w:lang w:val="it-IT"/>
        </w:rPr>
        <w:t xml:space="preserve">Giotto and the Orators: </w:t>
      </w:r>
      <w:r w:rsidR="00DE76CF" w:rsidRPr="009D3F73">
        <w:rPr>
          <w:rFonts w:ascii="Times" w:hAnsi="Times"/>
          <w:bCs/>
          <w:i/>
          <w:color w:val="000000" w:themeColor="text1"/>
          <w:sz w:val="22"/>
          <w:szCs w:val="22"/>
          <w:lang w:val="it-IT"/>
        </w:rPr>
        <w:t>Humanist Observers of Painting in Italy and the Discovery of Pictorial C</w:t>
      </w:r>
      <w:r w:rsidRPr="009D3F73">
        <w:rPr>
          <w:rFonts w:ascii="Times" w:hAnsi="Times"/>
          <w:bCs/>
          <w:i/>
          <w:color w:val="000000" w:themeColor="text1"/>
          <w:sz w:val="22"/>
          <w:szCs w:val="22"/>
          <w:lang w:val="it-IT"/>
        </w:rPr>
        <w:t xml:space="preserve">omposition (1350-1450) </w:t>
      </w:r>
      <w:r w:rsidRPr="009D3F73">
        <w:rPr>
          <w:rFonts w:ascii="Times" w:hAnsi="Times"/>
          <w:bCs/>
          <w:color w:val="000000" w:themeColor="text1"/>
          <w:sz w:val="22"/>
          <w:szCs w:val="22"/>
          <w:lang w:val="it-IT"/>
        </w:rPr>
        <w:t xml:space="preserve">(Oxford: Clarendon, 1971)  </w:t>
      </w:r>
    </w:p>
    <w:p w14:paraId="141BBE4B" w14:textId="77777777" w:rsidR="004E40F7" w:rsidRPr="009D3F73" w:rsidRDefault="004E40F7" w:rsidP="00A17D93">
      <w:pPr>
        <w:jc w:val="both"/>
        <w:rPr>
          <w:rFonts w:ascii="Times" w:hAnsi="Times"/>
          <w:color w:val="000000" w:themeColor="text1"/>
          <w:sz w:val="22"/>
          <w:szCs w:val="22"/>
          <w:lang w:val="it-IT"/>
        </w:rPr>
      </w:pPr>
    </w:p>
    <w:p w14:paraId="6FC5DF59" w14:textId="7933F740" w:rsidR="00460019" w:rsidRPr="009D3F73" w:rsidRDefault="00A17D93" w:rsidP="00460019">
      <w:pPr>
        <w:jc w:val="both"/>
        <w:rPr>
          <w:rFonts w:ascii="Times" w:hAnsi="Times"/>
          <w:b/>
          <w:color w:val="000000" w:themeColor="text1"/>
          <w:sz w:val="22"/>
          <w:szCs w:val="22"/>
          <w:lang w:val="it-IT"/>
        </w:rPr>
      </w:pPr>
      <w:r w:rsidRPr="009D3F73">
        <w:rPr>
          <w:rFonts w:ascii="Times" w:hAnsi="Times"/>
          <w:color w:val="000000" w:themeColor="text1"/>
          <w:sz w:val="22"/>
          <w:szCs w:val="22"/>
          <w:lang w:val="it-IT"/>
        </w:rPr>
        <w:t xml:space="preserve">Michael Baxandall, </w:t>
      </w:r>
      <w:r w:rsidR="00DE76CF" w:rsidRPr="009D3F73">
        <w:rPr>
          <w:rFonts w:ascii="Times" w:hAnsi="Times"/>
          <w:bCs/>
          <w:i/>
          <w:color w:val="000000" w:themeColor="text1"/>
          <w:sz w:val="22"/>
          <w:szCs w:val="22"/>
          <w:lang w:val="it-IT"/>
        </w:rPr>
        <w:t>Painting and E</w:t>
      </w:r>
      <w:r w:rsidRPr="009D3F73">
        <w:rPr>
          <w:rFonts w:ascii="Times" w:hAnsi="Times"/>
          <w:bCs/>
          <w:i/>
          <w:color w:val="000000" w:themeColor="text1"/>
          <w:sz w:val="22"/>
          <w:szCs w:val="22"/>
          <w:lang w:val="it-IT"/>
        </w:rPr>
        <w:t>xperie</w:t>
      </w:r>
      <w:r w:rsidR="00DE76CF" w:rsidRPr="009D3F73">
        <w:rPr>
          <w:rFonts w:ascii="Times" w:hAnsi="Times"/>
          <w:bCs/>
          <w:i/>
          <w:color w:val="000000" w:themeColor="text1"/>
          <w:sz w:val="22"/>
          <w:szCs w:val="22"/>
          <w:lang w:val="it-IT"/>
        </w:rPr>
        <w:t>nce in Fifteenth C</w:t>
      </w:r>
      <w:r w:rsidRPr="009D3F73">
        <w:rPr>
          <w:rFonts w:ascii="Times" w:hAnsi="Times"/>
          <w:bCs/>
          <w:i/>
          <w:color w:val="000000" w:themeColor="text1"/>
          <w:sz w:val="22"/>
          <w:szCs w:val="22"/>
          <w:lang w:val="it-IT"/>
        </w:rPr>
        <w:t>entury Italy</w:t>
      </w:r>
      <w:r w:rsidR="00DE76CF" w:rsidRPr="009D3F73">
        <w:rPr>
          <w:rFonts w:ascii="Times" w:hAnsi="Times"/>
          <w:bCs/>
          <w:i/>
          <w:color w:val="000000" w:themeColor="text1"/>
          <w:sz w:val="22"/>
          <w:szCs w:val="22"/>
          <w:lang w:val="it-IT"/>
        </w:rPr>
        <w:t>: a Primer in the S</w:t>
      </w:r>
      <w:r w:rsidRPr="009D3F73">
        <w:rPr>
          <w:rFonts w:ascii="Times" w:hAnsi="Times"/>
          <w:bCs/>
          <w:i/>
          <w:color w:val="000000" w:themeColor="text1"/>
          <w:sz w:val="22"/>
          <w:szCs w:val="22"/>
          <w:lang w:val="it-IT"/>
        </w:rPr>
        <w:t xml:space="preserve">ocial </w:t>
      </w:r>
      <w:r w:rsidR="00DE76CF" w:rsidRPr="009D3F73">
        <w:rPr>
          <w:rFonts w:ascii="Times" w:hAnsi="Times"/>
          <w:bCs/>
          <w:i/>
          <w:color w:val="000000" w:themeColor="text1"/>
          <w:sz w:val="22"/>
          <w:szCs w:val="22"/>
          <w:lang w:val="it-IT"/>
        </w:rPr>
        <w:t>H</w:t>
      </w:r>
      <w:r w:rsidRPr="009D3F73">
        <w:rPr>
          <w:rFonts w:ascii="Times" w:hAnsi="Times"/>
          <w:bCs/>
          <w:i/>
          <w:color w:val="000000" w:themeColor="text1"/>
          <w:sz w:val="22"/>
          <w:szCs w:val="22"/>
          <w:lang w:val="it-IT"/>
        </w:rPr>
        <w:t xml:space="preserve">istory of </w:t>
      </w:r>
      <w:r w:rsidR="00DE76CF" w:rsidRPr="009D3F73">
        <w:rPr>
          <w:rFonts w:ascii="Times" w:hAnsi="Times"/>
          <w:bCs/>
          <w:i/>
          <w:color w:val="000000" w:themeColor="text1"/>
          <w:sz w:val="22"/>
          <w:szCs w:val="22"/>
          <w:lang w:val="it-IT"/>
        </w:rPr>
        <w:t>Pictorial S</w:t>
      </w:r>
      <w:r w:rsidRPr="009D3F73">
        <w:rPr>
          <w:rFonts w:ascii="Times" w:hAnsi="Times"/>
          <w:bCs/>
          <w:i/>
          <w:color w:val="000000" w:themeColor="text1"/>
          <w:sz w:val="22"/>
          <w:szCs w:val="22"/>
          <w:lang w:val="it-IT"/>
        </w:rPr>
        <w:t xml:space="preserve">tyle </w:t>
      </w:r>
      <w:r w:rsidRPr="009D3F73">
        <w:rPr>
          <w:rFonts w:ascii="Times" w:hAnsi="Times"/>
          <w:color w:val="000000" w:themeColor="text1"/>
          <w:sz w:val="22"/>
          <w:szCs w:val="22"/>
          <w:lang w:val="it-IT"/>
        </w:rPr>
        <w:t>(Oxford: Clarendon, 1972)  </w:t>
      </w:r>
    </w:p>
    <w:p w14:paraId="1416FE4C" w14:textId="77777777" w:rsidR="00460019" w:rsidRPr="009D3F73" w:rsidRDefault="00460019" w:rsidP="00460019">
      <w:pPr>
        <w:jc w:val="both"/>
        <w:rPr>
          <w:rFonts w:ascii="Times" w:hAnsi="Times"/>
          <w:b/>
          <w:color w:val="000000" w:themeColor="text1"/>
          <w:sz w:val="22"/>
          <w:szCs w:val="22"/>
          <w:lang w:val="it-IT"/>
        </w:rPr>
      </w:pPr>
    </w:p>
    <w:p w14:paraId="5CED4D42" w14:textId="56191735" w:rsidR="00460019" w:rsidRPr="009D3F73" w:rsidRDefault="00401B67" w:rsidP="00460019">
      <w:pPr>
        <w:jc w:val="both"/>
        <w:rPr>
          <w:rFonts w:ascii="Times" w:hAnsi="Times"/>
          <w:color w:val="000000" w:themeColor="text1"/>
          <w:sz w:val="22"/>
          <w:szCs w:val="22"/>
          <w:lang w:val="it-IT"/>
        </w:rPr>
      </w:pPr>
      <w:r w:rsidRPr="009D3F73">
        <w:rPr>
          <w:rFonts w:ascii="Times" w:hAnsi="Times"/>
          <w:bCs/>
          <w:color w:val="000000" w:themeColor="text1"/>
          <w:sz w:val="22"/>
          <w:szCs w:val="22"/>
          <w:lang w:val="it-IT"/>
        </w:rPr>
        <w:t>Scott Nethersole</w:t>
      </w:r>
      <w:r w:rsidR="00460019" w:rsidRPr="009D3F73">
        <w:rPr>
          <w:rFonts w:ascii="Times" w:hAnsi="Times"/>
          <w:bCs/>
          <w:color w:val="000000" w:themeColor="text1"/>
          <w:sz w:val="22"/>
          <w:szCs w:val="22"/>
          <w:lang w:val="it-IT"/>
        </w:rPr>
        <w:t xml:space="preserve">, </w:t>
      </w:r>
      <w:bookmarkStart w:id="1" w:name="citation"/>
      <w:r w:rsidRPr="009D3F73">
        <w:rPr>
          <w:rFonts w:ascii="Times" w:hAnsi="Times"/>
          <w:bCs/>
          <w:i/>
          <w:color w:val="000000" w:themeColor="text1"/>
          <w:sz w:val="22"/>
          <w:szCs w:val="22"/>
          <w:lang w:val="it-IT"/>
        </w:rPr>
        <w:t>Devotion by Design: Italian Altarpieces before 1500</w:t>
      </w:r>
      <w:r w:rsidRPr="009D3F73">
        <w:rPr>
          <w:rFonts w:ascii="Times" w:hAnsi="Times"/>
          <w:bCs/>
          <w:color w:val="000000" w:themeColor="text1"/>
          <w:sz w:val="22"/>
          <w:szCs w:val="22"/>
          <w:lang w:val="it-IT"/>
        </w:rPr>
        <w:t xml:space="preserve"> (London: National Gallery, 2011)</w:t>
      </w:r>
    </w:p>
    <w:p w14:paraId="0B7F3362" w14:textId="77777777" w:rsidR="00C03F24" w:rsidRPr="009D3F73" w:rsidRDefault="00C03F24" w:rsidP="00460019">
      <w:pPr>
        <w:jc w:val="both"/>
        <w:rPr>
          <w:rFonts w:ascii="Times" w:hAnsi="Times"/>
          <w:color w:val="000000" w:themeColor="text1"/>
          <w:sz w:val="22"/>
          <w:szCs w:val="22"/>
          <w:lang w:val="it-IT"/>
        </w:rPr>
      </w:pPr>
    </w:p>
    <w:p w14:paraId="3225BC31" w14:textId="7D9C2335" w:rsidR="00460019" w:rsidRPr="009D3F73" w:rsidRDefault="00DE31BA" w:rsidP="000F440C">
      <w:pPr>
        <w:jc w:val="both"/>
        <w:rPr>
          <w:rFonts w:ascii="Times" w:hAnsi="Times"/>
          <w:color w:val="000000" w:themeColor="text1"/>
          <w:sz w:val="22"/>
          <w:szCs w:val="22"/>
          <w:lang w:val="it-IT"/>
        </w:rPr>
      </w:pPr>
      <w:r w:rsidRPr="009D3F73">
        <w:rPr>
          <w:rFonts w:ascii="Times" w:hAnsi="Times"/>
          <w:color w:val="000000" w:themeColor="text1"/>
          <w:sz w:val="22"/>
          <w:szCs w:val="22"/>
          <w:lang w:val="it-IT"/>
        </w:rPr>
        <w:t>*</w:t>
      </w:r>
      <w:r w:rsidR="00C03F24" w:rsidRPr="009D3F73">
        <w:rPr>
          <w:rFonts w:ascii="Times" w:hAnsi="Times"/>
          <w:color w:val="000000" w:themeColor="text1"/>
          <w:sz w:val="22"/>
          <w:szCs w:val="22"/>
          <w:lang w:val="it-IT"/>
        </w:rPr>
        <w:t xml:space="preserve">Erwin Panofsky, </w:t>
      </w:r>
      <w:r w:rsidR="00FC2D7E" w:rsidRPr="009D3F73">
        <w:rPr>
          <w:rFonts w:ascii="Times" w:hAnsi="Times"/>
          <w:color w:val="000000" w:themeColor="text1"/>
          <w:sz w:val="22"/>
          <w:szCs w:val="22"/>
          <w:lang w:val="it-IT"/>
        </w:rPr>
        <w:t>‘</w:t>
      </w:r>
      <w:r w:rsidR="00C03F24" w:rsidRPr="009D3F73">
        <w:rPr>
          <w:rFonts w:ascii="Times" w:hAnsi="Times"/>
          <w:color w:val="000000" w:themeColor="text1"/>
          <w:sz w:val="22"/>
          <w:szCs w:val="22"/>
          <w:lang w:val="it-IT"/>
        </w:rPr>
        <w:t>Iconography and Iconology: An Introduction t</w:t>
      </w:r>
      <w:r w:rsidR="00FC2D7E" w:rsidRPr="009D3F73">
        <w:rPr>
          <w:rFonts w:ascii="Times" w:hAnsi="Times"/>
          <w:color w:val="000000" w:themeColor="text1"/>
          <w:sz w:val="22"/>
          <w:szCs w:val="22"/>
          <w:lang w:val="it-IT"/>
        </w:rPr>
        <w:t>o the Study of Renaissance Art’, i</w:t>
      </w:r>
      <w:r w:rsidR="00C03F24" w:rsidRPr="009D3F73">
        <w:rPr>
          <w:rFonts w:ascii="Times" w:hAnsi="Times"/>
          <w:color w:val="000000" w:themeColor="text1"/>
          <w:sz w:val="22"/>
          <w:szCs w:val="22"/>
          <w:lang w:val="it-IT"/>
        </w:rPr>
        <w:t xml:space="preserve">n </w:t>
      </w:r>
      <w:r w:rsidR="00C03F24" w:rsidRPr="009D3F73">
        <w:rPr>
          <w:rFonts w:ascii="Times" w:hAnsi="Times"/>
          <w:i/>
          <w:iCs/>
          <w:color w:val="000000" w:themeColor="text1"/>
          <w:sz w:val="22"/>
          <w:szCs w:val="22"/>
          <w:lang w:val="it-IT"/>
        </w:rPr>
        <w:t>Meaning in the Visual Arts: Papers in and on Art History</w:t>
      </w:r>
      <w:r w:rsidR="00FC2D7E" w:rsidRPr="009D3F73">
        <w:rPr>
          <w:rFonts w:ascii="Times" w:hAnsi="Times"/>
          <w:color w:val="000000" w:themeColor="text1"/>
          <w:sz w:val="22"/>
          <w:szCs w:val="22"/>
          <w:lang w:val="it-IT"/>
        </w:rPr>
        <w:t xml:space="preserve"> (</w:t>
      </w:r>
      <w:r w:rsidR="00C03F24" w:rsidRPr="009D3F73">
        <w:rPr>
          <w:rFonts w:ascii="Times" w:hAnsi="Times"/>
          <w:color w:val="000000" w:themeColor="text1"/>
          <w:sz w:val="22"/>
          <w:szCs w:val="22"/>
          <w:lang w:val="it-IT"/>
        </w:rPr>
        <w:t>N</w:t>
      </w:r>
      <w:r w:rsidR="00FC2D7E" w:rsidRPr="009D3F73">
        <w:rPr>
          <w:rFonts w:ascii="Times" w:hAnsi="Times"/>
          <w:color w:val="000000" w:themeColor="text1"/>
          <w:sz w:val="22"/>
          <w:szCs w:val="22"/>
          <w:lang w:val="it-IT"/>
        </w:rPr>
        <w:t xml:space="preserve">ew </w:t>
      </w:r>
      <w:r w:rsidR="00C03F24" w:rsidRPr="009D3F73">
        <w:rPr>
          <w:rFonts w:ascii="Times" w:hAnsi="Times"/>
          <w:color w:val="000000" w:themeColor="text1"/>
          <w:sz w:val="22"/>
          <w:szCs w:val="22"/>
          <w:lang w:val="it-IT"/>
        </w:rPr>
        <w:t>Y</w:t>
      </w:r>
      <w:r w:rsidR="00FC2D7E" w:rsidRPr="009D3F73">
        <w:rPr>
          <w:rFonts w:ascii="Times" w:hAnsi="Times"/>
          <w:color w:val="000000" w:themeColor="text1"/>
          <w:sz w:val="22"/>
          <w:szCs w:val="22"/>
          <w:lang w:val="it-IT"/>
        </w:rPr>
        <w:t xml:space="preserve">ork: Doubleday, 1955), </w:t>
      </w:r>
      <w:r w:rsidRPr="009D3F73">
        <w:rPr>
          <w:rFonts w:ascii="Times" w:hAnsi="Times"/>
          <w:color w:val="000000" w:themeColor="text1"/>
          <w:sz w:val="22"/>
          <w:szCs w:val="22"/>
          <w:lang w:val="it-IT"/>
        </w:rPr>
        <w:t xml:space="preserve">pp. </w:t>
      </w:r>
      <w:r w:rsidR="00FC2D7E" w:rsidRPr="009D3F73">
        <w:rPr>
          <w:rFonts w:ascii="Times" w:hAnsi="Times"/>
          <w:color w:val="000000" w:themeColor="text1"/>
          <w:sz w:val="22"/>
          <w:szCs w:val="22"/>
          <w:lang w:val="it-IT"/>
        </w:rPr>
        <w:t>26</w:t>
      </w:r>
      <w:r w:rsidR="00CE1C64" w:rsidRPr="009D3F73">
        <w:rPr>
          <w:rFonts w:ascii="Times" w:hAnsi="Times"/>
          <w:color w:val="000000" w:themeColor="text1"/>
          <w:sz w:val="22"/>
          <w:szCs w:val="22"/>
          <w:lang w:val="it-IT"/>
        </w:rPr>
        <w:t>-</w:t>
      </w:r>
      <w:r w:rsidR="00FC2D7E" w:rsidRPr="009D3F73">
        <w:rPr>
          <w:rFonts w:ascii="Times" w:hAnsi="Times"/>
          <w:color w:val="000000" w:themeColor="text1"/>
          <w:sz w:val="22"/>
          <w:szCs w:val="22"/>
          <w:lang w:val="it-IT"/>
        </w:rPr>
        <w:t xml:space="preserve">54 </w:t>
      </w:r>
      <w:bookmarkEnd w:id="1"/>
    </w:p>
    <w:p w14:paraId="1522433C" w14:textId="5E7A1562" w:rsidR="00DE31BA" w:rsidRPr="009D3F73" w:rsidRDefault="00DE31BA" w:rsidP="000F440C">
      <w:pPr>
        <w:jc w:val="both"/>
        <w:rPr>
          <w:rFonts w:ascii="Times" w:hAnsi="Times"/>
          <w:color w:val="000000" w:themeColor="text1"/>
          <w:sz w:val="22"/>
          <w:szCs w:val="22"/>
          <w:lang w:val="it-IT"/>
        </w:rPr>
      </w:pPr>
    </w:p>
    <w:p w14:paraId="5D9B8799" w14:textId="60774584" w:rsidR="00E44403" w:rsidRPr="009D3F73" w:rsidRDefault="00DE31BA" w:rsidP="00DE31BA">
      <w:pPr>
        <w:jc w:val="both"/>
        <w:rPr>
          <w:rFonts w:ascii="Times" w:hAnsi="Times"/>
          <w:sz w:val="22"/>
          <w:szCs w:val="22"/>
        </w:rPr>
      </w:pPr>
      <w:r w:rsidRPr="009D3F73">
        <w:rPr>
          <w:rFonts w:ascii="Times" w:hAnsi="Times"/>
          <w:sz w:val="22"/>
          <w:szCs w:val="22"/>
        </w:rPr>
        <w:t xml:space="preserve">*Patricia L. Reilly, ‘Artists’ Workshops’, in </w:t>
      </w:r>
      <w:r w:rsidRPr="009D3F73">
        <w:rPr>
          <w:rFonts w:ascii="Times" w:hAnsi="Times"/>
          <w:i/>
          <w:sz w:val="22"/>
          <w:szCs w:val="22"/>
        </w:rPr>
        <w:t>The Cambridge Companion to the Italian Renaissance</w:t>
      </w:r>
      <w:r w:rsidRPr="009D3F73">
        <w:rPr>
          <w:rFonts w:ascii="Times" w:hAnsi="Times"/>
          <w:sz w:val="22"/>
          <w:szCs w:val="22"/>
        </w:rPr>
        <w:t>, ed. Michael Wyatt (Cambridge: Cambridge University Press, 2014), pp. 84-99</w:t>
      </w:r>
    </w:p>
    <w:p w14:paraId="5AB2B1BE" w14:textId="77777777" w:rsidR="00981BA4" w:rsidRPr="009D3F73" w:rsidRDefault="00981BA4" w:rsidP="00DE31BA">
      <w:pPr>
        <w:jc w:val="both"/>
        <w:rPr>
          <w:rFonts w:ascii="Times" w:hAnsi="Times"/>
          <w:sz w:val="22"/>
          <w:szCs w:val="22"/>
        </w:rPr>
      </w:pPr>
    </w:p>
    <w:p w14:paraId="3FEF3035" w14:textId="6B4C0E04" w:rsidR="009A4126" w:rsidRDefault="00E44403" w:rsidP="000F440C">
      <w:pPr>
        <w:jc w:val="both"/>
        <w:rPr>
          <w:rFonts w:ascii="Times" w:hAnsi="Times"/>
          <w:color w:val="000000" w:themeColor="text1"/>
          <w:sz w:val="22"/>
          <w:szCs w:val="22"/>
          <w:lang w:val="it-IT"/>
        </w:rPr>
      </w:pPr>
      <w:r w:rsidRPr="009D3F73">
        <w:rPr>
          <w:rFonts w:ascii="Times" w:hAnsi="Times"/>
          <w:color w:val="000000" w:themeColor="text1"/>
          <w:sz w:val="22"/>
          <w:szCs w:val="22"/>
          <w:lang w:val="it-IT"/>
        </w:rPr>
        <w:lastRenderedPageBreak/>
        <w:t xml:space="preserve">Evelyn Welch, </w:t>
      </w:r>
      <w:r w:rsidR="00DA58D7" w:rsidRPr="009D3F73">
        <w:rPr>
          <w:rFonts w:ascii="Times" w:hAnsi="Times"/>
          <w:color w:val="000000" w:themeColor="text1"/>
          <w:sz w:val="22"/>
          <w:szCs w:val="22"/>
          <w:lang w:val="it-IT"/>
        </w:rPr>
        <w:t xml:space="preserve">‘The Domestic Setting’, in </w:t>
      </w:r>
      <w:r w:rsidRPr="009D3F73">
        <w:rPr>
          <w:rFonts w:ascii="Times" w:hAnsi="Times"/>
          <w:i/>
          <w:color w:val="000000" w:themeColor="text1"/>
          <w:sz w:val="22"/>
          <w:szCs w:val="22"/>
          <w:lang w:val="it-IT"/>
        </w:rPr>
        <w:t>Art in Renaissance Italy</w:t>
      </w:r>
      <w:r w:rsidR="00DA58D7" w:rsidRPr="009D3F73">
        <w:rPr>
          <w:rFonts w:ascii="Times" w:hAnsi="Times"/>
          <w:i/>
          <w:color w:val="000000" w:themeColor="text1"/>
          <w:sz w:val="22"/>
          <w:szCs w:val="22"/>
          <w:lang w:val="it-IT"/>
        </w:rPr>
        <w:t>, 1350-1500</w:t>
      </w:r>
      <w:r w:rsidR="00DA58D7" w:rsidRPr="009D3F73">
        <w:rPr>
          <w:rFonts w:ascii="Times" w:hAnsi="Times"/>
          <w:color w:val="000000" w:themeColor="text1"/>
          <w:sz w:val="22"/>
          <w:szCs w:val="22"/>
          <w:lang w:val="it-IT"/>
        </w:rPr>
        <w:t xml:space="preserve"> (Oxford: Oxford University Press, 1997), pp. 277-311</w:t>
      </w:r>
    </w:p>
    <w:p w14:paraId="5FC2A2FE" w14:textId="77777777" w:rsidR="00397D33" w:rsidRPr="00981BA4" w:rsidRDefault="00397D33" w:rsidP="000F440C">
      <w:pPr>
        <w:jc w:val="both"/>
        <w:rPr>
          <w:rFonts w:ascii="Times" w:hAnsi="Times"/>
          <w:color w:val="000000" w:themeColor="text1"/>
          <w:sz w:val="22"/>
          <w:szCs w:val="22"/>
          <w:lang w:val="it-IT"/>
        </w:rPr>
      </w:pPr>
    </w:p>
    <w:p w14:paraId="26F05B5D" w14:textId="77777777" w:rsidR="00D9525C" w:rsidRDefault="00D9525C" w:rsidP="000F440C">
      <w:pPr>
        <w:jc w:val="both"/>
        <w:rPr>
          <w:rFonts w:ascii="Times" w:hAnsi="Times"/>
          <w:sz w:val="22"/>
          <w:szCs w:val="22"/>
          <w:u w:val="single"/>
          <w:lang w:val="it-IT"/>
        </w:rPr>
      </w:pPr>
    </w:p>
    <w:p w14:paraId="56193240" w14:textId="4B877716" w:rsidR="009A4126" w:rsidRDefault="009A4126" w:rsidP="000F440C">
      <w:pPr>
        <w:jc w:val="both"/>
        <w:rPr>
          <w:rFonts w:ascii="Times" w:hAnsi="Times"/>
          <w:sz w:val="22"/>
          <w:szCs w:val="22"/>
          <w:u w:val="single"/>
          <w:lang w:val="it-IT"/>
        </w:rPr>
      </w:pPr>
      <w:r>
        <w:rPr>
          <w:rFonts w:ascii="Times" w:hAnsi="Times"/>
          <w:sz w:val="22"/>
          <w:szCs w:val="22"/>
          <w:u w:val="single"/>
          <w:lang w:val="it-IT"/>
        </w:rPr>
        <w:t xml:space="preserve">Catalogue entries </w:t>
      </w:r>
    </w:p>
    <w:p w14:paraId="66F7FD2C" w14:textId="77777777" w:rsidR="00827E2C" w:rsidRDefault="00827E2C" w:rsidP="000F440C">
      <w:pPr>
        <w:jc w:val="both"/>
        <w:rPr>
          <w:rFonts w:ascii="Times" w:hAnsi="Times"/>
          <w:sz w:val="22"/>
          <w:szCs w:val="22"/>
          <w:u w:val="single"/>
          <w:lang w:val="it-IT"/>
        </w:rPr>
      </w:pPr>
    </w:p>
    <w:p w14:paraId="0FE1BCD2" w14:textId="6DC7FA76" w:rsidR="00827E2C" w:rsidRPr="00827E2C" w:rsidRDefault="00827E2C" w:rsidP="000F440C">
      <w:pPr>
        <w:jc w:val="both"/>
        <w:rPr>
          <w:rFonts w:ascii="Times" w:hAnsi="Times"/>
          <w:sz w:val="22"/>
          <w:szCs w:val="22"/>
          <w:lang w:val="it-IT"/>
        </w:rPr>
      </w:pPr>
      <w:r>
        <w:rPr>
          <w:rFonts w:ascii="Times" w:hAnsi="Times"/>
          <w:sz w:val="22"/>
          <w:szCs w:val="22"/>
          <w:lang w:val="it-IT"/>
        </w:rPr>
        <w:t xml:space="preserve">Master of the Centenar (attr.), </w:t>
      </w:r>
      <w:r>
        <w:rPr>
          <w:rFonts w:ascii="Times" w:hAnsi="Times"/>
          <w:i/>
          <w:sz w:val="22"/>
          <w:szCs w:val="22"/>
          <w:lang w:val="it-IT"/>
        </w:rPr>
        <w:t>Altarpiece of St George</w:t>
      </w:r>
      <w:r>
        <w:rPr>
          <w:rFonts w:ascii="Times" w:hAnsi="Times"/>
          <w:sz w:val="22"/>
          <w:szCs w:val="22"/>
          <w:lang w:val="it-IT"/>
        </w:rPr>
        <w:t>, c. 1400-1425, London, Victoria and Albert Museum</w:t>
      </w:r>
    </w:p>
    <w:p w14:paraId="38FB0C9F" w14:textId="77777777" w:rsidR="00827E2C" w:rsidRPr="00827E2C" w:rsidRDefault="008635C9" w:rsidP="00827E2C">
      <w:hyperlink r:id="rId4" w:history="1">
        <w:r w:rsidR="00827E2C" w:rsidRPr="00827E2C">
          <w:rPr>
            <w:color w:val="0000FF"/>
            <w:u w:val="single"/>
          </w:rPr>
          <w:t>https://collections.vam.ac.uk/item/O17807/altarpiece-of-st-george-altarpiece-master-of-the/</w:t>
        </w:r>
      </w:hyperlink>
    </w:p>
    <w:p w14:paraId="1FA9A8A7" w14:textId="77777777" w:rsidR="009A4126" w:rsidRDefault="009A4126" w:rsidP="000F440C">
      <w:pPr>
        <w:jc w:val="both"/>
        <w:rPr>
          <w:rFonts w:ascii="Times" w:hAnsi="Times"/>
          <w:sz w:val="22"/>
          <w:szCs w:val="22"/>
          <w:u w:val="single"/>
          <w:lang w:val="it-IT"/>
        </w:rPr>
      </w:pPr>
    </w:p>
    <w:p w14:paraId="3290EFC0" w14:textId="5F8CA133" w:rsidR="009A4126" w:rsidRPr="009A4126" w:rsidRDefault="009A4126" w:rsidP="009A4126">
      <w:pPr>
        <w:rPr>
          <w:rFonts w:ascii="Times" w:hAnsi="Times" w:cs="Arial"/>
          <w:sz w:val="22"/>
          <w:szCs w:val="22"/>
        </w:rPr>
      </w:pPr>
      <w:r w:rsidRPr="00E72902">
        <w:rPr>
          <w:rFonts w:ascii="Times" w:hAnsi="Times" w:cs="Arial"/>
          <w:sz w:val="22"/>
          <w:szCs w:val="22"/>
        </w:rPr>
        <w:t xml:space="preserve">Jan Van Eyck, </w:t>
      </w:r>
      <w:r w:rsidRPr="00E72902">
        <w:rPr>
          <w:rFonts w:ascii="Times" w:hAnsi="Times" w:cs="Arial"/>
          <w:i/>
          <w:sz w:val="22"/>
          <w:szCs w:val="22"/>
        </w:rPr>
        <w:t xml:space="preserve">The Arnolfini Portrait, </w:t>
      </w:r>
      <w:r w:rsidRPr="00E72902">
        <w:rPr>
          <w:rFonts w:ascii="Times" w:hAnsi="Times" w:cs="Arial"/>
          <w:sz w:val="22"/>
          <w:szCs w:val="22"/>
        </w:rPr>
        <w:t xml:space="preserve">1434, </w:t>
      </w:r>
      <w:r w:rsidR="000F4E80" w:rsidRPr="00E72902">
        <w:rPr>
          <w:rFonts w:ascii="Times" w:hAnsi="Times" w:cs="Arial"/>
          <w:sz w:val="22"/>
          <w:szCs w:val="22"/>
        </w:rPr>
        <w:t xml:space="preserve">London, </w:t>
      </w:r>
      <w:r w:rsidRPr="00E72902">
        <w:rPr>
          <w:rFonts w:ascii="Times" w:hAnsi="Times" w:cs="Arial"/>
          <w:sz w:val="22"/>
          <w:szCs w:val="22"/>
        </w:rPr>
        <w:t>The National Gallery</w:t>
      </w:r>
    </w:p>
    <w:p w14:paraId="7D4A7343" w14:textId="77777777" w:rsidR="009A4126" w:rsidRPr="009A4126" w:rsidRDefault="008635C9" w:rsidP="009A4126">
      <w:pPr>
        <w:rPr>
          <w:rFonts w:ascii="Times" w:hAnsi="Times" w:cs="Arial"/>
          <w:color w:val="0000FF"/>
          <w:sz w:val="22"/>
          <w:szCs w:val="22"/>
        </w:rPr>
      </w:pPr>
      <w:hyperlink r:id="rId5" w:history="1">
        <w:r w:rsidR="009A4126" w:rsidRPr="009A4126">
          <w:rPr>
            <w:rStyle w:val="Hyperlink"/>
            <w:rFonts w:ascii="Times" w:hAnsi="Times" w:cs="Arial"/>
            <w:color w:val="0000FF"/>
            <w:sz w:val="22"/>
            <w:szCs w:val="22"/>
          </w:rPr>
          <w:t>https://www.nationalgallery.org.uk/paintings/jan-van-eyck-the-arnolfini-portrait</w:t>
        </w:r>
      </w:hyperlink>
    </w:p>
    <w:p w14:paraId="4E849956" w14:textId="7EC61C59" w:rsidR="009A4126" w:rsidRDefault="009A4126" w:rsidP="009A4126">
      <w:pPr>
        <w:rPr>
          <w:rFonts w:ascii="Times" w:hAnsi="Times" w:cs="Arial"/>
          <w:i/>
          <w:sz w:val="22"/>
          <w:szCs w:val="22"/>
        </w:rPr>
      </w:pPr>
    </w:p>
    <w:p w14:paraId="113A72A7" w14:textId="3AF10B7E" w:rsidR="005220CF" w:rsidRPr="005220CF" w:rsidRDefault="005220CF" w:rsidP="009A4126">
      <w:pPr>
        <w:rPr>
          <w:rFonts w:ascii="Times" w:hAnsi="Times" w:cs="Arial"/>
          <w:sz w:val="22"/>
          <w:szCs w:val="22"/>
        </w:rPr>
      </w:pPr>
      <w:r w:rsidRPr="003B0114">
        <w:rPr>
          <w:rFonts w:ascii="Times" w:hAnsi="Times" w:cs="Arial"/>
          <w:sz w:val="22"/>
          <w:szCs w:val="22"/>
        </w:rPr>
        <w:t xml:space="preserve">Hans Memling, </w:t>
      </w:r>
      <w:r w:rsidRPr="003B0114">
        <w:rPr>
          <w:rFonts w:ascii="Times" w:hAnsi="Times" w:cs="Arial"/>
          <w:i/>
          <w:sz w:val="22"/>
          <w:szCs w:val="22"/>
        </w:rPr>
        <w:t>Tommaso di Folco Portinari and Maria Portinari</w:t>
      </w:r>
      <w:r w:rsidRPr="003B0114">
        <w:rPr>
          <w:rFonts w:ascii="Times" w:hAnsi="Times" w:cs="Arial"/>
          <w:sz w:val="22"/>
          <w:szCs w:val="22"/>
        </w:rPr>
        <w:t xml:space="preserve">, c. 1470, New York, </w:t>
      </w:r>
      <w:r w:rsidR="00321717" w:rsidRPr="003B0114">
        <w:rPr>
          <w:rFonts w:ascii="Times" w:hAnsi="Times" w:cs="Arial"/>
          <w:sz w:val="22"/>
          <w:szCs w:val="22"/>
        </w:rPr>
        <w:t>Metropolitan</w:t>
      </w:r>
      <w:r w:rsidR="00321717">
        <w:rPr>
          <w:rFonts w:ascii="Times" w:hAnsi="Times" w:cs="Arial"/>
          <w:sz w:val="22"/>
          <w:szCs w:val="22"/>
        </w:rPr>
        <w:t xml:space="preserve"> Museum of Art</w:t>
      </w:r>
    </w:p>
    <w:p w14:paraId="38BCD45E" w14:textId="77777777" w:rsidR="005220CF" w:rsidRPr="005220CF" w:rsidRDefault="008635C9" w:rsidP="005220CF">
      <w:pPr>
        <w:rPr>
          <w:rFonts w:ascii="Times" w:hAnsi="Times"/>
          <w:color w:val="0432FF"/>
          <w:sz w:val="22"/>
          <w:szCs w:val="22"/>
        </w:rPr>
      </w:pPr>
      <w:hyperlink r:id="rId6" w:history="1">
        <w:r w:rsidR="005220CF" w:rsidRPr="005220CF">
          <w:rPr>
            <w:rStyle w:val="Hyperlink"/>
            <w:rFonts w:ascii="Times" w:hAnsi="Times"/>
            <w:color w:val="0432FF"/>
            <w:sz w:val="22"/>
            <w:szCs w:val="22"/>
          </w:rPr>
          <w:t>https://www.metmuseum.org/art/collection/search/437056</w:t>
        </w:r>
      </w:hyperlink>
    </w:p>
    <w:p w14:paraId="4E0E5E7D" w14:textId="77777777" w:rsidR="005220CF" w:rsidRPr="005220CF" w:rsidRDefault="005220CF" w:rsidP="009A4126">
      <w:pPr>
        <w:rPr>
          <w:rFonts w:ascii="Times" w:hAnsi="Times" w:cs="Arial"/>
          <w:sz w:val="22"/>
          <w:szCs w:val="22"/>
        </w:rPr>
      </w:pPr>
    </w:p>
    <w:p w14:paraId="4FFB58E6" w14:textId="38ECC572" w:rsidR="009A4126" w:rsidRPr="00E06E04" w:rsidRDefault="009A4126" w:rsidP="009A4126">
      <w:pPr>
        <w:rPr>
          <w:rFonts w:ascii="Times" w:hAnsi="Times" w:cs="Arial"/>
          <w:sz w:val="22"/>
          <w:szCs w:val="22"/>
        </w:rPr>
      </w:pPr>
      <w:r w:rsidRPr="00E72902">
        <w:rPr>
          <w:rFonts w:ascii="Times" w:hAnsi="Times" w:cs="Arial"/>
          <w:sz w:val="22"/>
          <w:szCs w:val="22"/>
        </w:rPr>
        <w:t xml:space="preserve">Giovanni Bellini and Titian, </w:t>
      </w:r>
      <w:r w:rsidRPr="00E72902">
        <w:rPr>
          <w:rFonts w:ascii="Times" w:hAnsi="Times" w:cs="Arial"/>
          <w:i/>
          <w:sz w:val="22"/>
          <w:szCs w:val="22"/>
        </w:rPr>
        <w:t xml:space="preserve">The Feast of the Gods, </w:t>
      </w:r>
      <w:r w:rsidRPr="00E72902">
        <w:rPr>
          <w:rFonts w:ascii="Times" w:hAnsi="Times" w:cs="Arial"/>
          <w:sz w:val="22"/>
          <w:szCs w:val="22"/>
        </w:rPr>
        <w:t xml:space="preserve">1514/1529, </w:t>
      </w:r>
      <w:r w:rsidR="000F4E80" w:rsidRPr="00E72902">
        <w:rPr>
          <w:rFonts w:ascii="Times" w:hAnsi="Times" w:cs="Arial"/>
          <w:sz w:val="22"/>
          <w:szCs w:val="22"/>
        </w:rPr>
        <w:t xml:space="preserve">Washington, </w:t>
      </w:r>
      <w:r w:rsidRPr="00E72902">
        <w:rPr>
          <w:rFonts w:ascii="Times" w:hAnsi="Times" w:cs="Arial"/>
          <w:sz w:val="22"/>
          <w:szCs w:val="22"/>
        </w:rPr>
        <w:t xml:space="preserve">National Gallery of </w:t>
      </w:r>
      <w:r w:rsidR="000F4E80" w:rsidRPr="00E72902">
        <w:rPr>
          <w:rFonts w:ascii="Times" w:hAnsi="Times" w:cs="Arial"/>
          <w:sz w:val="22"/>
          <w:szCs w:val="22"/>
        </w:rPr>
        <w:t>Art</w:t>
      </w:r>
    </w:p>
    <w:p w14:paraId="408CEB5A" w14:textId="77777777" w:rsidR="00E06E04" w:rsidRPr="00E06E04" w:rsidRDefault="008635C9" w:rsidP="00E06E04">
      <w:pPr>
        <w:rPr>
          <w:rFonts w:ascii="Times" w:hAnsi="Times"/>
          <w:color w:val="0432FF"/>
          <w:sz w:val="22"/>
          <w:szCs w:val="22"/>
        </w:rPr>
      </w:pPr>
      <w:hyperlink r:id="rId7" w:anchor="overview" w:history="1">
        <w:r w:rsidR="00E06E04" w:rsidRPr="00E06E04">
          <w:rPr>
            <w:rStyle w:val="Hyperlink"/>
            <w:rFonts w:ascii="Times" w:hAnsi="Times"/>
            <w:color w:val="0432FF"/>
            <w:sz w:val="22"/>
            <w:szCs w:val="22"/>
          </w:rPr>
          <w:t>https://www.nga.gov/collection/art-object-page.1138.html#overview</w:t>
        </w:r>
      </w:hyperlink>
    </w:p>
    <w:p w14:paraId="0774246B" w14:textId="77777777" w:rsidR="009A4126" w:rsidRPr="009A4126" w:rsidRDefault="009A4126" w:rsidP="009A4126">
      <w:pPr>
        <w:rPr>
          <w:rFonts w:ascii="Times" w:hAnsi="Times" w:cs="Arial"/>
          <w:sz w:val="22"/>
          <w:szCs w:val="22"/>
        </w:rPr>
      </w:pPr>
    </w:p>
    <w:p w14:paraId="0DA5C077" w14:textId="3AC619CA" w:rsidR="009A4126" w:rsidRPr="009A4126" w:rsidRDefault="009A4126" w:rsidP="009A4126">
      <w:pPr>
        <w:rPr>
          <w:rFonts w:ascii="Times" w:hAnsi="Times" w:cs="Arial"/>
          <w:sz w:val="22"/>
          <w:szCs w:val="22"/>
        </w:rPr>
      </w:pPr>
      <w:r w:rsidRPr="009A4126">
        <w:rPr>
          <w:rFonts w:ascii="Times" w:hAnsi="Times" w:cs="Arial"/>
          <w:sz w:val="22"/>
          <w:szCs w:val="22"/>
        </w:rPr>
        <w:t xml:space="preserve">Hans Holbein The Younger, </w:t>
      </w:r>
      <w:r w:rsidRPr="009A4126">
        <w:rPr>
          <w:rFonts w:ascii="Times" w:hAnsi="Times" w:cs="Arial"/>
          <w:i/>
          <w:sz w:val="22"/>
          <w:szCs w:val="22"/>
        </w:rPr>
        <w:t xml:space="preserve">The Ambassadors, </w:t>
      </w:r>
      <w:r w:rsidRPr="009A4126">
        <w:rPr>
          <w:rFonts w:ascii="Times" w:hAnsi="Times" w:cs="Arial"/>
          <w:sz w:val="22"/>
          <w:szCs w:val="22"/>
        </w:rPr>
        <w:t xml:space="preserve">1533, </w:t>
      </w:r>
      <w:r w:rsidR="000F4E80">
        <w:rPr>
          <w:rFonts w:ascii="Times" w:hAnsi="Times" w:cs="Arial"/>
          <w:sz w:val="22"/>
          <w:szCs w:val="22"/>
        </w:rPr>
        <w:t xml:space="preserve">London, </w:t>
      </w:r>
      <w:r w:rsidRPr="009A4126">
        <w:rPr>
          <w:rFonts w:ascii="Times" w:hAnsi="Times" w:cs="Arial"/>
          <w:sz w:val="22"/>
          <w:szCs w:val="22"/>
        </w:rPr>
        <w:t xml:space="preserve">The National Gallery </w:t>
      </w:r>
    </w:p>
    <w:p w14:paraId="2AD5536C" w14:textId="77777777" w:rsidR="009A4126" w:rsidRPr="009A4126" w:rsidRDefault="008635C9" w:rsidP="009A4126">
      <w:pPr>
        <w:rPr>
          <w:rFonts w:ascii="Times" w:hAnsi="Times" w:cs="Arial"/>
          <w:color w:val="0000FF"/>
          <w:sz w:val="22"/>
          <w:szCs w:val="22"/>
        </w:rPr>
      </w:pPr>
      <w:hyperlink r:id="rId8" w:history="1">
        <w:r w:rsidR="009A4126" w:rsidRPr="009A4126">
          <w:rPr>
            <w:rStyle w:val="Hyperlink"/>
            <w:rFonts w:ascii="Times" w:hAnsi="Times" w:cs="Arial"/>
            <w:color w:val="0000FF"/>
            <w:sz w:val="22"/>
            <w:szCs w:val="22"/>
          </w:rPr>
          <w:t>https://www.nationalgallery.org.uk/paintings/hans-holbein-the-younger-the-ambassadors</w:t>
        </w:r>
      </w:hyperlink>
    </w:p>
    <w:p w14:paraId="54EE26EE" w14:textId="77777777" w:rsidR="009A4126" w:rsidRPr="00674F5A" w:rsidRDefault="009A4126" w:rsidP="009A4126">
      <w:pPr>
        <w:rPr>
          <w:rFonts w:ascii="Times" w:hAnsi="Times" w:cs="Arial"/>
          <w:sz w:val="22"/>
          <w:szCs w:val="22"/>
        </w:rPr>
      </w:pPr>
    </w:p>
    <w:p w14:paraId="4F586A5A" w14:textId="18CC762F" w:rsidR="009A4126" w:rsidRPr="00674F5A" w:rsidRDefault="009A4126" w:rsidP="009A4126">
      <w:pPr>
        <w:rPr>
          <w:rFonts w:ascii="Times" w:hAnsi="Times" w:cs="Arial"/>
          <w:sz w:val="22"/>
          <w:szCs w:val="22"/>
        </w:rPr>
      </w:pPr>
      <w:r w:rsidRPr="00674F5A">
        <w:rPr>
          <w:rFonts w:ascii="Times" w:hAnsi="Times" w:cs="Arial"/>
          <w:sz w:val="22"/>
          <w:szCs w:val="22"/>
        </w:rPr>
        <w:t xml:space="preserve">Bronzino, </w:t>
      </w:r>
      <w:r w:rsidR="00674F5A" w:rsidRPr="00674F5A">
        <w:rPr>
          <w:rFonts w:ascii="Times" w:hAnsi="Times" w:cs="Arial"/>
          <w:i/>
          <w:sz w:val="22"/>
          <w:szCs w:val="22"/>
        </w:rPr>
        <w:t>Virgin and Child with St Elizabeth and St John the Baptist</w:t>
      </w:r>
      <w:r w:rsidRPr="00674F5A">
        <w:rPr>
          <w:rFonts w:ascii="Times" w:hAnsi="Times" w:cs="Arial"/>
          <w:i/>
          <w:sz w:val="22"/>
          <w:szCs w:val="22"/>
        </w:rPr>
        <w:t xml:space="preserve">, </w:t>
      </w:r>
      <w:r w:rsidRPr="00674F5A">
        <w:rPr>
          <w:rFonts w:ascii="Times" w:hAnsi="Times" w:cs="Arial"/>
          <w:sz w:val="22"/>
          <w:szCs w:val="22"/>
        </w:rPr>
        <w:t>c.</w:t>
      </w:r>
      <w:r w:rsidR="000F4E80" w:rsidRPr="00674F5A">
        <w:rPr>
          <w:rFonts w:ascii="Times" w:hAnsi="Times" w:cs="Arial"/>
          <w:sz w:val="22"/>
          <w:szCs w:val="22"/>
        </w:rPr>
        <w:t xml:space="preserve"> </w:t>
      </w:r>
      <w:r w:rsidRPr="00674F5A">
        <w:rPr>
          <w:rFonts w:ascii="Times" w:hAnsi="Times" w:cs="Arial"/>
          <w:sz w:val="22"/>
          <w:szCs w:val="22"/>
        </w:rPr>
        <w:t>154</w:t>
      </w:r>
      <w:r w:rsidR="00674F5A" w:rsidRPr="00674F5A">
        <w:rPr>
          <w:rFonts w:ascii="Times" w:hAnsi="Times" w:cs="Arial"/>
          <w:sz w:val="22"/>
          <w:szCs w:val="22"/>
        </w:rPr>
        <w:t>0-154</w:t>
      </w:r>
      <w:r w:rsidRPr="00674F5A">
        <w:rPr>
          <w:rFonts w:ascii="Times" w:hAnsi="Times" w:cs="Arial"/>
          <w:sz w:val="22"/>
          <w:szCs w:val="22"/>
        </w:rPr>
        <w:t xml:space="preserve">5, </w:t>
      </w:r>
      <w:r w:rsidR="00674F5A" w:rsidRPr="00674F5A">
        <w:rPr>
          <w:rFonts w:ascii="Times" w:hAnsi="Times" w:cs="Arial"/>
          <w:sz w:val="22"/>
          <w:szCs w:val="22"/>
        </w:rPr>
        <w:t>Los Angeles</w:t>
      </w:r>
      <w:r w:rsidR="000F4E80" w:rsidRPr="00674F5A">
        <w:rPr>
          <w:rFonts w:ascii="Times" w:hAnsi="Times" w:cs="Arial"/>
          <w:sz w:val="22"/>
          <w:szCs w:val="22"/>
        </w:rPr>
        <w:t xml:space="preserve">, </w:t>
      </w:r>
      <w:r w:rsidRPr="00674F5A">
        <w:rPr>
          <w:rFonts w:ascii="Times" w:hAnsi="Times" w:cs="Arial"/>
          <w:sz w:val="22"/>
          <w:szCs w:val="22"/>
        </w:rPr>
        <w:t xml:space="preserve">The </w:t>
      </w:r>
      <w:r w:rsidR="00674F5A" w:rsidRPr="00674F5A">
        <w:rPr>
          <w:rFonts w:ascii="Times" w:hAnsi="Times" w:cs="Arial"/>
          <w:sz w:val="22"/>
          <w:szCs w:val="22"/>
        </w:rPr>
        <w:t>J. Paul Getty Museum</w:t>
      </w:r>
    </w:p>
    <w:p w14:paraId="639B57E6" w14:textId="77777777" w:rsidR="00674F5A" w:rsidRPr="00674F5A" w:rsidRDefault="008635C9" w:rsidP="00674F5A">
      <w:pPr>
        <w:rPr>
          <w:rFonts w:ascii="Times" w:hAnsi="Times"/>
          <w:color w:val="0432FF"/>
          <w:sz w:val="22"/>
          <w:szCs w:val="22"/>
        </w:rPr>
      </w:pPr>
      <w:hyperlink r:id="rId9" w:history="1">
        <w:r w:rsidR="00674F5A" w:rsidRPr="00674F5A">
          <w:rPr>
            <w:rStyle w:val="Hyperlink"/>
            <w:rFonts w:ascii="Times" w:hAnsi="Times"/>
            <w:color w:val="0432FF"/>
            <w:sz w:val="22"/>
            <w:szCs w:val="22"/>
          </w:rPr>
          <w:t>http://www.getty.edu/art/collection/objects/340879/agnolo-bronzino-virgin-and-child-with-saint-elizabeth-and-saint-john-the-baptist-italian-about-1540-1545/</w:t>
        </w:r>
      </w:hyperlink>
    </w:p>
    <w:p w14:paraId="05ADCB3D" w14:textId="77777777" w:rsidR="009A4126" w:rsidRPr="00827E2C" w:rsidRDefault="009A4126" w:rsidP="009A4126">
      <w:pPr>
        <w:rPr>
          <w:rFonts w:ascii="Times" w:hAnsi="Times" w:cs="Arial"/>
          <w:sz w:val="22"/>
          <w:szCs w:val="22"/>
        </w:rPr>
      </w:pPr>
    </w:p>
    <w:p w14:paraId="775A9030" w14:textId="39F1A151" w:rsidR="009A4126" w:rsidRPr="00827E2C" w:rsidRDefault="009A4126" w:rsidP="009A4126">
      <w:pPr>
        <w:rPr>
          <w:rFonts w:ascii="Times" w:hAnsi="Times" w:cs="Arial"/>
          <w:sz w:val="22"/>
          <w:szCs w:val="22"/>
        </w:rPr>
      </w:pPr>
      <w:r w:rsidRPr="00827E2C">
        <w:rPr>
          <w:rFonts w:ascii="Times" w:hAnsi="Times" w:cs="Arial"/>
          <w:sz w:val="22"/>
          <w:szCs w:val="22"/>
        </w:rPr>
        <w:t xml:space="preserve">Pieter Brueghel The Elder, </w:t>
      </w:r>
      <w:r w:rsidR="00827E2C" w:rsidRPr="00827E2C">
        <w:rPr>
          <w:rFonts w:ascii="Times" w:hAnsi="Times" w:cs="Arial"/>
          <w:i/>
          <w:sz w:val="22"/>
          <w:szCs w:val="22"/>
        </w:rPr>
        <w:t>Massacre of the Innocents</w:t>
      </w:r>
      <w:r w:rsidRPr="00827E2C">
        <w:rPr>
          <w:rFonts w:ascii="Times" w:hAnsi="Times" w:cs="Arial"/>
          <w:i/>
          <w:sz w:val="22"/>
          <w:szCs w:val="22"/>
        </w:rPr>
        <w:t xml:space="preserve">, </w:t>
      </w:r>
      <w:r w:rsidR="00827E2C" w:rsidRPr="00827E2C">
        <w:rPr>
          <w:rFonts w:ascii="Times" w:hAnsi="Times" w:cs="Arial"/>
          <w:sz w:val="22"/>
          <w:szCs w:val="22"/>
        </w:rPr>
        <w:t xml:space="preserve">c. </w:t>
      </w:r>
      <w:r w:rsidRPr="00827E2C">
        <w:rPr>
          <w:rFonts w:ascii="Times" w:hAnsi="Times" w:cs="Arial"/>
          <w:sz w:val="22"/>
          <w:szCs w:val="22"/>
        </w:rPr>
        <w:t>156</w:t>
      </w:r>
      <w:r w:rsidR="00827E2C" w:rsidRPr="00827E2C">
        <w:rPr>
          <w:rFonts w:ascii="Times" w:hAnsi="Times" w:cs="Arial"/>
          <w:sz w:val="22"/>
          <w:szCs w:val="22"/>
        </w:rPr>
        <w:t>5-1567</w:t>
      </w:r>
      <w:r w:rsidRPr="00827E2C">
        <w:rPr>
          <w:rFonts w:ascii="Times" w:hAnsi="Times" w:cs="Arial"/>
          <w:sz w:val="22"/>
          <w:szCs w:val="22"/>
        </w:rPr>
        <w:t xml:space="preserve">, </w:t>
      </w:r>
      <w:r w:rsidR="00827E2C" w:rsidRPr="00827E2C">
        <w:rPr>
          <w:rFonts w:ascii="Times" w:hAnsi="Times" w:cs="Arial"/>
          <w:sz w:val="22"/>
          <w:szCs w:val="22"/>
        </w:rPr>
        <w:t>Royal Collection</w:t>
      </w:r>
    </w:p>
    <w:p w14:paraId="38FC5367" w14:textId="77777777" w:rsidR="00827E2C" w:rsidRPr="00827E2C" w:rsidRDefault="008635C9" w:rsidP="00827E2C">
      <w:pPr>
        <w:rPr>
          <w:rFonts w:ascii="Times" w:hAnsi="Times"/>
          <w:color w:val="0432FF"/>
          <w:sz w:val="22"/>
          <w:szCs w:val="22"/>
        </w:rPr>
      </w:pPr>
      <w:hyperlink r:id="rId10" w:anchor="/1/collection/405787/massacre-of-the-innocents" w:history="1">
        <w:r w:rsidR="00827E2C" w:rsidRPr="00827E2C">
          <w:rPr>
            <w:rStyle w:val="Hyperlink"/>
            <w:rFonts w:ascii="Times" w:hAnsi="Times"/>
            <w:color w:val="0432FF"/>
            <w:sz w:val="22"/>
            <w:szCs w:val="22"/>
          </w:rPr>
          <w:t>https://www.rct.uk/collection/search#/1/collection/405787/massacre-of-the-innocents</w:t>
        </w:r>
      </w:hyperlink>
    </w:p>
    <w:p w14:paraId="74209741" w14:textId="77777777" w:rsidR="009A4126" w:rsidRPr="00827E2C" w:rsidRDefault="009A4126" w:rsidP="009A4126">
      <w:pPr>
        <w:rPr>
          <w:rFonts w:ascii="Times" w:hAnsi="Times" w:cs="Arial"/>
          <w:sz w:val="22"/>
          <w:szCs w:val="22"/>
        </w:rPr>
      </w:pPr>
    </w:p>
    <w:p w14:paraId="21579359" w14:textId="36F7087F" w:rsidR="009A4126" w:rsidRPr="00827E2C" w:rsidRDefault="009A4126" w:rsidP="009A4126">
      <w:pPr>
        <w:rPr>
          <w:rFonts w:ascii="Times" w:hAnsi="Times" w:cs="Arial"/>
          <w:sz w:val="22"/>
          <w:szCs w:val="22"/>
        </w:rPr>
      </w:pPr>
      <w:r w:rsidRPr="00772AA3">
        <w:rPr>
          <w:rFonts w:ascii="Times" w:hAnsi="Times" w:cs="Arial"/>
          <w:sz w:val="22"/>
          <w:szCs w:val="22"/>
        </w:rPr>
        <w:t xml:space="preserve">Caravaggio, </w:t>
      </w:r>
      <w:r w:rsidRPr="00772AA3">
        <w:rPr>
          <w:rFonts w:ascii="Times" w:hAnsi="Times" w:cs="Arial"/>
          <w:i/>
          <w:sz w:val="22"/>
          <w:szCs w:val="22"/>
        </w:rPr>
        <w:t>The Supper at Emmaus</w:t>
      </w:r>
      <w:r w:rsidRPr="00772AA3">
        <w:rPr>
          <w:rFonts w:ascii="Times" w:hAnsi="Times" w:cs="Arial"/>
          <w:sz w:val="22"/>
          <w:szCs w:val="22"/>
        </w:rPr>
        <w:t xml:space="preserve">, 1601, </w:t>
      </w:r>
      <w:r w:rsidR="00E06E04" w:rsidRPr="00772AA3">
        <w:rPr>
          <w:rFonts w:ascii="Times" w:hAnsi="Times" w:cs="Arial"/>
          <w:sz w:val="22"/>
          <w:szCs w:val="22"/>
        </w:rPr>
        <w:t xml:space="preserve">London, </w:t>
      </w:r>
      <w:r w:rsidRPr="00772AA3">
        <w:rPr>
          <w:rFonts w:ascii="Times" w:hAnsi="Times" w:cs="Arial"/>
          <w:sz w:val="22"/>
          <w:szCs w:val="22"/>
        </w:rPr>
        <w:t>The National Gallery</w:t>
      </w:r>
    </w:p>
    <w:p w14:paraId="37BC8530" w14:textId="7AE64D53" w:rsidR="009A4126" w:rsidRDefault="008635C9" w:rsidP="009A4126">
      <w:pPr>
        <w:rPr>
          <w:rStyle w:val="Hyperlink"/>
          <w:rFonts w:ascii="Times" w:hAnsi="Times"/>
          <w:color w:val="0000FF"/>
          <w:sz w:val="22"/>
          <w:szCs w:val="22"/>
        </w:rPr>
      </w:pPr>
      <w:hyperlink r:id="rId11" w:history="1">
        <w:r w:rsidR="009A4126" w:rsidRPr="009A4126">
          <w:rPr>
            <w:rStyle w:val="Hyperlink"/>
            <w:rFonts w:ascii="Times" w:hAnsi="Times"/>
            <w:color w:val="0000FF"/>
            <w:sz w:val="22"/>
            <w:szCs w:val="22"/>
          </w:rPr>
          <w:t>https://www.nationalgallery.org.uk/paintings/michelangelo-merisi-da-caravaggio-the-supper-at-emmaus</w:t>
        </w:r>
      </w:hyperlink>
    </w:p>
    <w:p w14:paraId="70317424" w14:textId="3441872F" w:rsidR="005220CF" w:rsidRDefault="005220CF" w:rsidP="009A4126">
      <w:pPr>
        <w:rPr>
          <w:rStyle w:val="Hyperlink"/>
          <w:rFonts w:ascii="Times" w:hAnsi="Times"/>
          <w:color w:val="0000FF"/>
          <w:sz w:val="22"/>
          <w:szCs w:val="22"/>
        </w:rPr>
      </w:pPr>
    </w:p>
    <w:p w14:paraId="04AAC957" w14:textId="77777777" w:rsidR="005220CF" w:rsidRPr="00674F5A" w:rsidRDefault="005220CF" w:rsidP="005220CF">
      <w:pPr>
        <w:rPr>
          <w:rFonts w:ascii="Times" w:hAnsi="Times" w:cs="Arial"/>
          <w:sz w:val="22"/>
          <w:szCs w:val="22"/>
        </w:rPr>
      </w:pPr>
      <w:r w:rsidRPr="00674F5A">
        <w:rPr>
          <w:rFonts w:ascii="Times" w:hAnsi="Times" w:cs="Arial"/>
          <w:sz w:val="22"/>
          <w:szCs w:val="22"/>
        </w:rPr>
        <w:t xml:space="preserve">Peter Paul Rubens, </w:t>
      </w:r>
      <w:r>
        <w:rPr>
          <w:rFonts w:ascii="Times" w:hAnsi="Times" w:cs="Arial"/>
          <w:i/>
          <w:sz w:val="22"/>
          <w:szCs w:val="22"/>
        </w:rPr>
        <w:t>Head of Cyrus Brought to Queen Tomyris</w:t>
      </w:r>
      <w:r w:rsidRPr="00674F5A">
        <w:rPr>
          <w:rFonts w:ascii="Times" w:hAnsi="Times" w:cs="Arial"/>
          <w:i/>
          <w:sz w:val="22"/>
          <w:szCs w:val="22"/>
        </w:rPr>
        <w:t xml:space="preserve">, </w:t>
      </w:r>
      <w:r w:rsidRPr="00674F5A">
        <w:rPr>
          <w:rFonts w:ascii="Times" w:hAnsi="Times" w:cs="Arial"/>
          <w:sz w:val="22"/>
          <w:szCs w:val="22"/>
        </w:rPr>
        <w:t>c. 16</w:t>
      </w:r>
      <w:r>
        <w:rPr>
          <w:rFonts w:ascii="Times" w:hAnsi="Times" w:cs="Arial"/>
          <w:sz w:val="22"/>
          <w:szCs w:val="22"/>
        </w:rPr>
        <w:t>22-1623</w:t>
      </w:r>
      <w:r w:rsidRPr="00674F5A">
        <w:rPr>
          <w:rFonts w:ascii="Times" w:hAnsi="Times" w:cs="Arial"/>
          <w:sz w:val="22"/>
          <w:szCs w:val="22"/>
        </w:rPr>
        <w:t xml:space="preserve">, </w:t>
      </w:r>
      <w:r>
        <w:rPr>
          <w:rFonts w:ascii="Times" w:hAnsi="Times" w:cs="Arial"/>
          <w:sz w:val="22"/>
          <w:szCs w:val="22"/>
        </w:rPr>
        <w:t>Boston</w:t>
      </w:r>
      <w:r w:rsidRPr="00674F5A">
        <w:rPr>
          <w:rFonts w:ascii="Times" w:hAnsi="Times" w:cs="Arial"/>
          <w:sz w:val="22"/>
          <w:szCs w:val="22"/>
        </w:rPr>
        <w:t xml:space="preserve">, Museum of </w:t>
      </w:r>
      <w:r>
        <w:rPr>
          <w:rFonts w:ascii="Times" w:hAnsi="Times" w:cs="Arial"/>
          <w:sz w:val="22"/>
          <w:szCs w:val="22"/>
        </w:rPr>
        <w:t xml:space="preserve">Fine </w:t>
      </w:r>
      <w:r w:rsidRPr="00674F5A">
        <w:rPr>
          <w:rFonts w:ascii="Times" w:hAnsi="Times" w:cs="Arial"/>
          <w:sz w:val="22"/>
          <w:szCs w:val="22"/>
        </w:rPr>
        <w:t>Art</w:t>
      </w:r>
      <w:r>
        <w:rPr>
          <w:rFonts w:ascii="Times" w:hAnsi="Times" w:cs="Arial"/>
          <w:sz w:val="22"/>
          <w:szCs w:val="22"/>
        </w:rPr>
        <w:t>s</w:t>
      </w:r>
    </w:p>
    <w:p w14:paraId="26FACE39" w14:textId="77777777" w:rsidR="005220CF" w:rsidRPr="005220CF" w:rsidRDefault="008635C9" w:rsidP="005220CF">
      <w:pPr>
        <w:rPr>
          <w:rFonts w:ascii="Times" w:hAnsi="Times"/>
          <w:sz w:val="22"/>
          <w:szCs w:val="22"/>
        </w:rPr>
      </w:pPr>
      <w:hyperlink r:id="rId12" w:history="1">
        <w:r w:rsidR="005220CF" w:rsidRPr="005220CF">
          <w:rPr>
            <w:rFonts w:ascii="Times" w:hAnsi="Times"/>
            <w:color w:val="0000FF"/>
            <w:sz w:val="22"/>
            <w:szCs w:val="22"/>
            <w:u w:val="single"/>
          </w:rPr>
          <w:t>https://collections.mfa.org/objects/32755</w:t>
        </w:r>
      </w:hyperlink>
    </w:p>
    <w:p w14:paraId="5C10A7DD" w14:textId="0604B21D" w:rsidR="00772AA3" w:rsidRDefault="00772AA3" w:rsidP="009A4126">
      <w:pPr>
        <w:rPr>
          <w:rFonts w:ascii="Times" w:hAnsi="Times"/>
          <w:color w:val="0000FF"/>
          <w:sz w:val="22"/>
          <w:szCs w:val="22"/>
        </w:rPr>
      </w:pPr>
    </w:p>
    <w:p w14:paraId="77C9FB21" w14:textId="77777777" w:rsidR="00772AA3" w:rsidRPr="009A4126" w:rsidRDefault="00772AA3" w:rsidP="00772AA3">
      <w:pPr>
        <w:rPr>
          <w:rFonts w:ascii="Times" w:hAnsi="Times" w:cs="Arial"/>
          <w:sz w:val="22"/>
          <w:szCs w:val="22"/>
        </w:rPr>
      </w:pPr>
      <w:r w:rsidRPr="00772AA3">
        <w:rPr>
          <w:rFonts w:ascii="Times" w:hAnsi="Times" w:cs="Arial"/>
          <w:sz w:val="22"/>
          <w:szCs w:val="22"/>
        </w:rPr>
        <w:t xml:space="preserve">Diego Velázquez, </w:t>
      </w:r>
      <w:r w:rsidRPr="00772AA3">
        <w:rPr>
          <w:rFonts w:ascii="Times" w:hAnsi="Times" w:cs="Arial"/>
          <w:i/>
          <w:sz w:val="22"/>
          <w:szCs w:val="22"/>
        </w:rPr>
        <w:t xml:space="preserve">Portrait of Philip IV of Spain, </w:t>
      </w:r>
      <w:r w:rsidRPr="00772AA3">
        <w:rPr>
          <w:rFonts w:ascii="Times" w:hAnsi="Times" w:cs="Arial"/>
          <w:sz w:val="22"/>
          <w:szCs w:val="22"/>
        </w:rPr>
        <w:t>1623, Madrid, Museo del Prado</w:t>
      </w:r>
    </w:p>
    <w:p w14:paraId="1AB413DB" w14:textId="77777777" w:rsidR="00772AA3" w:rsidRPr="00772AA3" w:rsidRDefault="008635C9" w:rsidP="00772AA3">
      <w:pPr>
        <w:rPr>
          <w:rFonts w:ascii="Times" w:hAnsi="Times"/>
          <w:color w:val="0432FF"/>
          <w:sz w:val="22"/>
          <w:szCs w:val="22"/>
        </w:rPr>
      </w:pPr>
      <w:hyperlink r:id="rId13" w:history="1">
        <w:r w:rsidR="00772AA3" w:rsidRPr="00772AA3">
          <w:rPr>
            <w:rStyle w:val="Hyperlink"/>
            <w:rFonts w:ascii="Times" w:hAnsi="Times"/>
            <w:color w:val="0432FF"/>
            <w:sz w:val="22"/>
            <w:szCs w:val="22"/>
          </w:rPr>
          <w:t>https://www.museodelprado.es/en/the-collection/art-work/philip-iv/d32048ac-2752-4248-a53a-45d9d58b1645</w:t>
        </w:r>
      </w:hyperlink>
    </w:p>
    <w:p w14:paraId="66D4850F" w14:textId="77777777" w:rsidR="009A4126" w:rsidRPr="009A4126" w:rsidRDefault="009A4126" w:rsidP="009A4126">
      <w:pPr>
        <w:rPr>
          <w:rFonts w:ascii="Times" w:hAnsi="Times" w:cs="Arial"/>
          <w:sz w:val="22"/>
          <w:szCs w:val="22"/>
        </w:rPr>
      </w:pPr>
    </w:p>
    <w:p w14:paraId="625D0A79" w14:textId="77777777" w:rsidR="009A4126" w:rsidRPr="00674F5A" w:rsidRDefault="009A4126" w:rsidP="009A4126">
      <w:pPr>
        <w:rPr>
          <w:rStyle w:val="Hyperlink"/>
          <w:rFonts w:ascii="Times" w:hAnsi="Times" w:cs="Arial"/>
          <w:sz w:val="22"/>
          <w:szCs w:val="22"/>
        </w:rPr>
      </w:pPr>
    </w:p>
    <w:p w14:paraId="70E99AD7" w14:textId="77777777" w:rsidR="009A4126" w:rsidRPr="009A4126" w:rsidRDefault="009A4126" w:rsidP="009A4126">
      <w:pPr>
        <w:rPr>
          <w:rFonts w:ascii="Times" w:hAnsi="Times" w:cs="Arial"/>
          <w:sz w:val="22"/>
          <w:szCs w:val="22"/>
        </w:rPr>
      </w:pPr>
    </w:p>
    <w:p w14:paraId="4CE622D1" w14:textId="77777777" w:rsidR="009A4126" w:rsidRPr="009A4126" w:rsidRDefault="009A4126" w:rsidP="009A4126">
      <w:pPr>
        <w:rPr>
          <w:rFonts w:ascii="Times" w:hAnsi="Times" w:cs="Arial"/>
          <w:sz w:val="22"/>
          <w:szCs w:val="22"/>
        </w:rPr>
      </w:pPr>
      <w:r w:rsidRPr="009A4126">
        <w:rPr>
          <w:rFonts w:ascii="Times" w:hAnsi="Times" w:cs="Arial"/>
          <w:sz w:val="22"/>
          <w:szCs w:val="22"/>
        </w:rPr>
        <w:t xml:space="preserve"> </w:t>
      </w:r>
    </w:p>
    <w:p w14:paraId="5F65BDF4" w14:textId="096A7D92" w:rsidR="00674F5A" w:rsidRPr="000F440C" w:rsidRDefault="00674F5A" w:rsidP="00A17D93">
      <w:pPr>
        <w:jc w:val="both"/>
        <w:rPr>
          <w:rFonts w:ascii="Times" w:hAnsi="Times"/>
          <w:sz w:val="22"/>
          <w:szCs w:val="22"/>
          <w:lang w:val="it-IT"/>
        </w:rPr>
      </w:pPr>
    </w:p>
    <w:sectPr w:rsidR="00674F5A" w:rsidRPr="000F440C" w:rsidSect="00C15435">
      <w:pgSz w:w="11900" w:h="16840"/>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Lucida Grande">
    <w:panose1 w:val="020B0600040502020204"/>
    <w:charset w:val="00"/>
    <w:family w:val="swiss"/>
    <w:pitch w:val="variable"/>
    <w:sig w:usb0="E1000AEF" w:usb1="5000A1FF" w:usb2="00000000" w:usb3="00000000" w:csb0="000001B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grammar="clean"/>
  <w:defaultTabStop w:val="720"/>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03C18"/>
    <w:rsid w:val="000352BC"/>
    <w:rsid w:val="00060F26"/>
    <w:rsid w:val="0006233B"/>
    <w:rsid w:val="000A7BE8"/>
    <w:rsid w:val="000F440C"/>
    <w:rsid w:val="000F4E80"/>
    <w:rsid w:val="001003D5"/>
    <w:rsid w:val="001248AC"/>
    <w:rsid w:val="0014664E"/>
    <w:rsid w:val="001666BF"/>
    <w:rsid w:val="00180F97"/>
    <w:rsid w:val="001A3A2F"/>
    <w:rsid w:val="001A61F2"/>
    <w:rsid w:val="001C3EA2"/>
    <w:rsid w:val="001E60D5"/>
    <w:rsid w:val="001E727E"/>
    <w:rsid w:val="0022394C"/>
    <w:rsid w:val="00282ADA"/>
    <w:rsid w:val="002830B6"/>
    <w:rsid w:val="002D2DF1"/>
    <w:rsid w:val="002D66FB"/>
    <w:rsid w:val="00321717"/>
    <w:rsid w:val="00322BA3"/>
    <w:rsid w:val="003338D1"/>
    <w:rsid w:val="00397D33"/>
    <w:rsid w:val="003A62F5"/>
    <w:rsid w:val="003B0114"/>
    <w:rsid w:val="00401B67"/>
    <w:rsid w:val="00403C18"/>
    <w:rsid w:val="00460019"/>
    <w:rsid w:val="004611A2"/>
    <w:rsid w:val="0047072F"/>
    <w:rsid w:val="00474F0E"/>
    <w:rsid w:val="00493B69"/>
    <w:rsid w:val="004A2A7F"/>
    <w:rsid w:val="004A6BB0"/>
    <w:rsid w:val="004A771E"/>
    <w:rsid w:val="004C1B31"/>
    <w:rsid w:val="004E40F7"/>
    <w:rsid w:val="004F5F37"/>
    <w:rsid w:val="00513ACB"/>
    <w:rsid w:val="005220CF"/>
    <w:rsid w:val="00533FAC"/>
    <w:rsid w:val="00573D2C"/>
    <w:rsid w:val="005A326F"/>
    <w:rsid w:val="005E6203"/>
    <w:rsid w:val="00637F77"/>
    <w:rsid w:val="006559E7"/>
    <w:rsid w:val="006633B4"/>
    <w:rsid w:val="00666272"/>
    <w:rsid w:val="00674F5A"/>
    <w:rsid w:val="00677C62"/>
    <w:rsid w:val="00696303"/>
    <w:rsid w:val="006A2BEF"/>
    <w:rsid w:val="006B6550"/>
    <w:rsid w:val="006C7339"/>
    <w:rsid w:val="006E060F"/>
    <w:rsid w:val="006F3B76"/>
    <w:rsid w:val="00720D91"/>
    <w:rsid w:val="00772AA3"/>
    <w:rsid w:val="007C3005"/>
    <w:rsid w:val="007C7814"/>
    <w:rsid w:val="007F5A90"/>
    <w:rsid w:val="00827E2C"/>
    <w:rsid w:val="008605A5"/>
    <w:rsid w:val="008635C9"/>
    <w:rsid w:val="0086503E"/>
    <w:rsid w:val="008B2E1C"/>
    <w:rsid w:val="008B4FDC"/>
    <w:rsid w:val="008B58B3"/>
    <w:rsid w:val="008E3B31"/>
    <w:rsid w:val="0090047B"/>
    <w:rsid w:val="00951DAB"/>
    <w:rsid w:val="009772ED"/>
    <w:rsid w:val="00980684"/>
    <w:rsid w:val="00981BA4"/>
    <w:rsid w:val="009915E3"/>
    <w:rsid w:val="00995B1A"/>
    <w:rsid w:val="00997CA1"/>
    <w:rsid w:val="009A01F7"/>
    <w:rsid w:val="009A3B40"/>
    <w:rsid w:val="009A4126"/>
    <w:rsid w:val="009A5274"/>
    <w:rsid w:val="009D3F73"/>
    <w:rsid w:val="009F0C78"/>
    <w:rsid w:val="00A15A96"/>
    <w:rsid w:val="00A17D93"/>
    <w:rsid w:val="00A34FB8"/>
    <w:rsid w:val="00A66A3E"/>
    <w:rsid w:val="00A82F7F"/>
    <w:rsid w:val="00A90D60"/>
    <w:rsid w:val="00AA27B3"/>
    <w:rsid w:val="00AB049C"/>
    <w:rsid w:val="00AB25DC"/>
    <w:rsid w:val="00AC0E0B"/>
    <w:rsid w:val="00AD761D"/>
    <w:rsid w:val="00AF39EE"/>
    <w:rsid w:val="00AF4D3E"/>
    <w:rsid w:val="00B31441"/>
    <w:rsid w:val="00B97EDA"/>
    <w:rsid w:val="00BA45BF"/>
    <w:rsid w:val="00BB1E79"/>
    <w:rsid w:val="00BE2F61"/>
    <w:rsid w:val="00BE5393"/>
    <w:rsid w:val="00C03F24"/>
    <w:rsid w:val="00C0548B"/>
    <w:rsid w:val="00C15435"/>
    <w:rsid w:val="00C20D1B"/>
    <w:rsid w:val="00CE1C64"/>
    <w:rsid w:val="00CF0070"/>
    <w:rsid w:val="00D455A8"/>
    <w:rsid w:val="00D90FB9"/>
    <w:rsid w:val="00D9525C"/>
    <w:rsid w:val="00DA58D7"/>
    <w:rsid w:val="00DE31BA"/>
    <w:rsid w:val="00DE76CF"/>
    <w:rsid w:val="00DF7C43"/>
    <w:rsid w:val="00E06E04"/>
    <w:rsid w:val="00E10223"/>
    <w:rsid w:val="00E370DC"/>
    <w:rsid w:val="00E40C24"/>
    <w:rsid w:val="00E44403"/>
    <w:rsid w:val="00E72902"/>
    <w:rsid w:val="00E75103"/>
    <w:rsid w:val="00E86203"/>
    <w:rsid w:val="00F2398A"/>
    <w:rsid w:val="00F33740"/>
    <w:rsid w:val="00F35652"/>
    <w:rsid w:val="00F451EE"/>
    <w:rsid w:val="00F76D5D"/>
    <w:rsid w:val="00FA6BF0"/>
    <w:rsid w:val="00FC2D7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71EFB7B"/>
  <w14:defaultImageDpi w14:val="32767"/>
  <w15:docId w15:val="{D1E4F963-ED46-664F-BAE7-79EA71D82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220CF"/>
    <w:rPr>
      <w:rFonts w:ascii="Times New Roman" w:eastAsia="Times New Roman" w:hAnsi="Times New Roman" w:cs="Times New Roman"/>
    </w:rPr>
  </w:style>
  <w:style w:type="paragraph" w:styleId="Heading1">
    <w:name w:val="heading 1"/>
    <w:basedOn w:val="Normal"/>
    <w:next w:val="Normal"/>
    <w:link w:val="Heading1Char"/>
    <w:uiPriority w:val="9"/>
    <w:qFormat/>
    <w:rsid w:val="00A17D93"/>
    <w:pPr>
      <w:keepNext/>
      <w:keepLines/>
      <w:spacing w:before="480"/>
      <w:outlineLvl w:val="0"/>
    </w:pPr>
    <w:rPr>
      <w:rFonts w:asciiTheme="majorHAnsi" w:eastAsiaTheme="majorEastAsia" w:hAnsiTheme="majorHAnsi" w:cstheme="majorBidi"/>
      <w:b/>
      <w:bCs/>
      <w:color w:val="2D4F8E"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0548B"/>
    <w:rPr>
      <w:color w:val="0563C1" w:themeColor="hyperlink"/>
      <w:u w:val="single"/>
    </w:rPr>
  </w:style>
  <w:style w:type="character" w:styleId="FollowedHyperlink">
    <w:name w:val="FollowedHyperlink"/>
    <w:basedOn w:val="DefaultParagraphFont"/>
    <w:uiPriority w:val="99"/>
    <w:semiHidden/>
    <w:unhideWhenUsed/>
    <w:rsid w:val="00C0548B"/>
    <w:rPr>
      <w:color w:val="954F72" w:themeColor="followedHyperlink"/>
      <w:u w:val="single"/>
    </w:rPr>
  </w:style>
  <w:style w:type="character" w:customStyle="1" w:styleId="Heading1Char">
    <w:name w:val="Heading 1 Char"/>
    <w:basedOn w:val="DefaultParagraphFont"/>
    <w:link w:val="Heading1"/>
    <w:uiPriority w:val="9"/>
    <w:rsid w:val="00A17D93"/>
    <w:rPr>
      <w:rFonts w:asciiTheme="majorHAnsi" w:eastAsiaTheme="majorEastAsia" w:hAnsiTheme="majorHAnsi" w:cstheme="majorBidi"/>
      <w:b/>
      <w:bCs/>
      <w:color w:val="2D4F8E" w:themeColor="accent1" w:themeShade="B5"/>
      <w:sz w:val="32"/>
      <w:szCs w:val="32"/>
    </w:rPr>
  </w:style>
  <w:style w:type="paragraph" w:styleId="BalloonText">
    <w:name w:val="Balloon Text"/>
    <w:basedOn w:val="Normal"/>
    <w:link w:val="BalloonTextChar"/>
    <w:uiPriority w:val="99"/>
    <w:semiHidden/>
    <w:unhideWhenUsed/>
    <w:rsid w:val="007F5A9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F5A90"/>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928218">
      <w:bodyDiv w:val="1"/>
      <w:marLeft w:val="0"/>
      <w:marRight w:val="0"/>
      <w:marTop w:val="0"/>
      <w:marBottom w:val="0"/>
      <w:divBdr>
        <w:top w:val="none" w:sz="0" w:space="0" w:color="auto"/>
        <w:left w:val="none" w:sz="0" w:space="0" w:color="auto"/>
        <w:bottom w:val="none" w:sz="0" w:space="0" w:color="auto"/>
        <w:right w:val="none" w:sz="0" w:space="0" w:color="auto"/>
      </w:divBdr>
    </w:div>
    <w:div w:id="117723968">
      <w:bodyDiv w:val="1"/>
      <w:marLeft w:val="0"/>
      <w:marRight w:val="0"/>
      <w:marTop w:val="0"/>
      <w:marBottom w:val="0"/>
      <w:divBdr>
        <w:top w:val="none" w:sz="0" w:space="0" w:color="auto"/>
        <w:left w:val="none" w:sz="0" w:space="0" w:color="auto"/>
        <w:bottom w:val="none" w:sz="0" w:space="0" w:color="auto"/>
        <w:right w:val="none" w:sz="0" w:space="0" w:color="auto"/>
      </w:divBdr>
    </w:div>
    <w:div w:id="188300005">
      <w:bodyDiv w:val="1"/>
      <w:marLeft w:val="0"/>
      <w:marRight w:val="0"/>
      <w:marTop w:val="0"/>
      <w:marBottom w:val="0"/>
      <w:divBdr>
        <w:top w:val="none" w:sz="0" w:space="0" w:color="auto"/>
        <w:left w:val="none" w:sz="0" w:space="0" w:color="auto"/>
        <w:bottom w:val="none" w:sz="0" w:space="0" w:color="auto"/>
        <w:right w:val="none" w:sz="0" w:space="0" w:color="auto"/>
      </w:divBdr>
    </w:div>
    <w:div w:id="271280710">
      <w:bodyDiv w:val="1"/>
      <w:marLeft w:val="0"/>
      <w:marRight w:val="0"/>
      <w:marTop w:val="0"/>
      <w:marBottom w:val="0"/>
      <w:divBdr>
        <w:top w:val="none" w:sz="0" w:space="0" w:color="auto"/>
        <w:left w:val="none" w:sz="0" w:space="0" w:color="auto"/>
        <w:bottom w:val="none" w:sz="0" w:space="0" w:color="auto"/>
        <w:right w:val="none" w:sz="0" w:space="0" w:color="auto"/>
      </w:divBdr>
    </w:div>
    <w:div w:id="273557961">
      <w:bodyDiv w:val="1"/>
      <w:marLeft w:val="0"/>
      <w:marRight w:val="0"/>
      <w:marTop w:val="0"/>
      <w:marBottom w:val="0"/>
      <w:divBdr>
        <w:top w:val="none" w:sz="0" w:space="0" w:color="auto"/>
        <w:left w:val="none" w:sz="0" w:space="0" w:color="auto"/>
        <w:bottom w:val="none" w:sz="0" w:space="0" w:color="auto"/>
        <w:right w:val="none" w:sz="0" w:space="0" w:color="auto"/>
      </w:divBdr>
    </w:div>
    <w:div w:id="475953537">
      <w:bodyDiv w:val="1"/>
      <w:marLeft w:val="0"/>
      <w:marRight w:val="0"/>
      <w:marTop w:val="0"/>
      <w:marBottom w:val="0"/>
      <w:divBdr>
        <w:top w:val="none" w:sz="0" w:space="0" w:color="auto"/>
        <w:left w:val="none" w:sz="0" w:space="0" w:color="auto"/>
        <w:bottom w:val="none" w:sz="0" w:space="0" w:color="auto"/>
        <w:right w:val="none" w:sz="0" w:space="0" w:color="auto"/>
      </w:divBdr>
    </w:div>
    <w:div w:id="582104626">
      <w:bodyDiv w:val="1"/>
      <w:marLeft w:val="0"/>
      <w:marRight w:val="0"/>
      <w:marTop w:val="0"/>
      <w:marBottom w:val="0"/>
      <w:divBdr>
        <w:top w:val="none" w:sz="0" w:space="0" w:color="auto"/>
        <w:left w:val="none" w:sz="0" w:space="0" w:color="auto"/>
        <w:bottom w:val="none" w:sz="0" w:space="0" w:color="auto"/>
        <w:right w:val="none" w:sz="0" w:space="0" w:color="auto"/>
      </w:divBdr>
    </w:div>
    <w:div w:id="655958422">
      <w:bodyDiv w:val="1"/>
      <w:marLeft w:val="0"/>
      <w:marRight w:val="0"/>
      <w:marTop w:val="0"/>
      <w:marBottom w:val="0"/>
      <w:divBdr>
        <w:top w:val="none" w:sz="0" w:space="0" w:color="auto"/>
        <w:left w:val="none" w:sz="0" w:space="0" w:color="auto"/>
        <w:bottom w:val="none" w:sz="0" w:space="0" w:color="auto"/>
        <w:right w:val="none" w:sz="0" w:space="0" w:color="auto"/>
      </w:divBdr>
    </w:div>
    <w:div w:id="689259001">
      <w:bodyDiv w:val="1"/>
      <w:marLeft w:val="0"/>
      <w:marRight w:val="0"/>
      <w:marTop w:val="0"/>
      <w:marBottom w:val="0"/>
      <w:divBdr>
        <w:top w:val="none" w:sz="0" w:space="0" w:color="auto"/>
        <w:left w:val="none" w:sz="0" w:space="0" w:color="auto"/>
        <w:bottom w:val="none" w:sz="0" w:space="0" w:color="auto"/>
        <w:right w:val="none" w:sz="0" w:space="0" w:color="auto"/>
      </w:divBdr>
    </w:div>
    <w:div w:id="728654066">
      <w:bodyDiv w:val="1"/>
      <w:marLeft w:val="0"/>
      <w:marRight w:val="0"/>
      <w:marTop w:val="0"/>
      <w:marBottom w:val="0"/>
      <w:divBdr>
        <w:top w:val="none" w:sz="0" w:space="0" w:color="auto"/>
        <w:left w:val="none" w:sz="0" w:space="0" w:color="auto"/>
        <w:bottom w:val="none" w:sz="0" w:space="0" w:color="auto"/>
        <w:right w:val="none" w:sz="0" w:space="0" w:color="auto"/>
      </w:divBdr>
    </w:div>
    <w:div w:id="876702990">
      <w:bodyDiv w:val="1"/>
      <w:marLeft w:val="0"/>
      <w:marRight w:val="0"/>
      <w:marTop w:val="0"/>
      <w:marBottom w:val="0"/>
      <w:divBdr>
        <w:top w:val="none" w:sz="0" w:space="0" w:color="auto"/>
        <w:left w:val="none" w:sz="0" w:space="0" w:color="auto"/>
        <w:bottom w:val="none" w:sz="0" w:space="0" w:color="auto"/>
        <w:right w:val="none" w:sz="0" w:space="0" w:color="auto"/>
      </w:divBdr>
    </w:div>
    <w:div w:id="892500545">
      <w:bodyDiv w:val="1"/>
      <w:marLeft w:val="0"/>
      <w:marRight w:val="0"/>
      <w:marTop w:val="0"/>
      <w:marBottom w:val="0"/>
      <w:divBdr>
        <w:top w:val="none" w:sz="0" w:space="0" w:color="auto"/>
        <w:left w:val="none" w:sz="0" w:space="0" w:color="auto"/>
        <w:bottom w:val="none" w:sz="0" w:space="0" w:color="auto"/>
        <w:right w:val="none" w:sz="0" w:space="0" w:color="auto"/>
      </w:divBdr>
    </w:div>
    <w:div w:id="950822592">
      <w:bodyDiv w:val="1"/>
      <w:marLeft w:val="0"/>
      <w:marRight w:val="0"/>
      <w:marTop w:val="0"/>
      <w:marBottom w:val="0"/>
      <w:divBdr>
        <w:top w:val="none" w:sz="0" w:space="0" w:color="auto"/>
        <w:left w:val="none" w:sz="0" w:space="0" w:color="auto"/>
        <w:bottom w:val="none" w:sz="0" w:space="0" w:color="auto"/>
        <w:right w:val="none" w:sz="0" w:space="0" w:color="auto"/>
      </w:divBdr>
    </w:div>
    <w:div w:id="1198397078">
      <w:bodyDiv w:val="1"/>
      <w:marLeft w:val="0"/>
      <w:marRight w:val="0"/>
      <w:marTop w:val="0"/>
      <w:marBottom w:val="0"/>
      <w:divBdr>
        <w:top w:val="none" w:sz="0" w:space="0" w:color="auto"/>
        <w:left w:val="none" w:sz="0" w:space="0" w:color="auto"/>
        <w:bottom w:val="none" w:sz="0" w:space="0" w:color="auto"/>
        <w:right w:val="none" w:sz="0" w:space="0" w:color="auto"/>
      </w:divBdr>
    </w:div>
    <w:div w:id="1255090649">
      <w:bodyDiv w:val="1"/>
      <w:marLeft w:val="0"/>
      <w:marRight w:val="0"/>
      <w:marTop w:val="0"/>
      <w:marBottom w:val="0"/>
      <w:divBdr>
        <w:top w:val="none" w:sz="0" w:space="0" w:color="auto"/>
        <w:left w:val="none" w:sz="0" w:space="0" w:color="auto"/>
        <w:bottom w:val="none" w:sz="0" w:space="0" w:color="auto"/>
        <w:right w:val="none" w:sz="0" w:space="0" w:color="auto"/>
      </w:divBdr>
    </w:div>
    <w:div w:id="1263565590">
      <w:bodyDiv w:val="1"/>
      <w:marLeft w:val="0"/>
      <w:marRight w:val="0"/>
      <w:marTop w:val="0"/>
      <w:marBottom w:val="0"/>
      <w:divBdr>
        <w:top w:val="none" w:sz="0" w:space="0" w:color="auto"/>
        <w:left w:val="none" w:sz="0" w:space="0" w:color="auto"/>
        <w:bottom w:val="none" w:sz="0" w:space="0" w:color="auto"/>
        <w:right w:val="none" w:sz="0" w:space="0" w:color="auto"/>
      </w:divBdr>
    </w:div>
    <w:div w:id="1333491019">
      <w:bodyDiv w:val="1"/>
      <w:marLeft w:val="0"/>
      <w:marRight w:val="0"/>
      <w:marTop w:val="0"/>
      <w:marBottom w:val="0"/>
      <w:divBdr>
        <w:top w:val="none" w:sz="0" w:space="0" w:color="auto"/>
        <w:left w:val="none" w:sz="0" w:space="0" w:color="auto"/>
        <w:bottom w:val="none" w:sz="0" w:space="0" w:color="auto"/>
        <w:right w:val="none" w:sz="0" w:space="0" w:color="auto"/>
      </w:divBdr>
      <w:divsChild>
        <w:div w:id="537476583">
          <w:marLeft w:val="480"/>
          <w:marRight w:val="0"/>
          <w:marTop w:val="0"/>
          <w:marBottom w:val="0"/>
          <w:divBdr>
            <w:top w:val="none" w:sz="0" w:space="0" w:color="auto"/>
            <w:left w:val="none" w:sz="0" w:space="0" w:color="auto"/>
            <w:bottom w:val="none" w:sz="0" w:space="0" w:color="auto"/>
            <w:right w:val="none" w:sz="0" w:space="0" w:color="auto"/>
          </w:divBdr>
          <w:divsChild>
            <w:div w:id="980380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1696372">
      <w:bodyDiv w:val="1"/>
      <w:marLeft w:val="0"/>
      <w:marRight w:val="0"/>
      <w:marTop w:val="0"/>
      <w:marBottom w:val="0"/>
      <w:divBdr>
        <w:top w:val="none" w:sz="0" w:space="0" w:color="auto"/>
        <w:left w:val="none" w:sz="0" w:space="0" w:color="auto"/>
        <w:bottom w:val="none" w:sz="0" w:space="0" w:color="auto"/>
        <w:right w:val="none" w:sz="0" w:space="0" w:color="auto"/>
      </w:divBdr>
    </w:div>
    <w:div w:id="1550990589">
      <w:bodyDiv w:val="1"/>
      <w:marLeft w:val="0"/>
      <w:marRight w:val="0"/>
      <w:marTop w:val="0"/>
      <w:marBottom w:val="0"/>
      <w:divBdr>
        <w:top w:val="none" w:sz="0" w:space="0" w:color="auto"/>
        <w:left w:val="none" w:sz="0" w:space="0" w:color="auto"/>
        <w:bottom w:val="none" w:sz="0" w:space="0" w:color="auto"/>
        <w:right w:val="none" w:sz="0" w:space="0" w:color="auto"/>
      </w:divBdr>
    </w:div>
    <w:div w:id="1581674027">
      <w:bodyDiv w:val="1"/>
      <w:marLeft w:val="0"/>
      <w:marRight w:val="0"/>
      <w:marTop w:val="0"/>
      <w:marBottom w:val="0"/>
      <w:divBdr>
        <w:top w:val="none" w:sz="0" w:space="0" w:color="auto"/>
        <w:left w:val="none" w:sz="0" w:space="0" w:color="auto"/>
        <w:bottom w:val="none" w:sz="0" w:space="0" w:color="auto"/>
        <w:right w:val="none" w:sz="0" w:space="0" w:color="auto"/>
      </w:divBdr>
    </w:div>
    <w:div w:id="1585190442">
      <w:bodyDiv w:val="1"/>
      <w:marLeft w:val="0"/>
      <w:marRight w:val="0"/>
      <w:marTop w:val="0"/>
      <w:marBottom w:val="0"/>
      <w:divBdr>
        <w:top w:val="none" w:sz="0" w:space="0" w:color="auto"/>
        <w:left w:val="none" w:sz="0" w:space="0" w:color="auto"/>
        <w:bottom w:val="none" w:sz="0" w:space="0" w:color="auto"/>
        <w:right w:val="none" w:sz="0" w:space="0" w:color="auto"/>
      </w:divBdr>
    </w:div>
    <w:div w:id="1692411033">
      <w:bodyDiv w:val="1"/>
      <w:marLeft w:val="0"/>
      <w:marRight w:val="0"/>
      <w:marTop w:val="0"/>
      <w:marBottom w:val="0"/>
      <w:divBdr>
        <w:top w:val="none" w:sz="0" w:space="0" w:color="auto"/>
        <w:left w:val="none" w:sz="0" w:space="0" w:color="auto"/>
        <w:bottom w:val="none" w:sz="0" w:space="0" w:color="auto"/>
        <w:right w:val="none" w:sz="0" w:space="0" w:color="auto"/>
      </w:divBdr>
    </w:div>
    <w:div w:id="1793817071">
      <w:bodyDiv w:val="1"/>
      <w:marLeft w:val="0"/>
      <w:marRight w:val="0"/>
      <w:marTop w:val="0"/>
      <w:marBottom w:val="0"/>
      <w:divBdr>
        <w:top w:val="none" w:sz="0" w:space="0" w:color="auto"/>
        <w:left w:val="none" w:sz="0" w:space="0" w:color="auto"/>
        <w:bottom w:val="none" w:sz="0" w:space="0" w:color="auto"/>
        <w:right w:val="none" w:sz="0" w:space="0" w:color="auto"/>
      </w:divBdr>
    </w:div>
    <w:div w:id="2102218739">
      <w:bodyDiv w:val="1"/>
      <w:marLeft w:val="0"/>
      <w:marRight w:val="0"/>
      <w:marTop w:val="0"/>
      <w:marBottom w:val="0"/>
      <w:divBdr>
        <w:top w:val="none" w:sz="0" w:space="0" w:color="auto"/>
        <w:left w:val="none" w:sz="0" w:space="0" w:color="auto"/>
        <w:bottom w:val="none" w:sz="0" w:space="0" w:color="auto"/>
        <w:right w:val="none" w:sz="0" w:space="0" w:color="auto"/>
      </w:divBdr>
      <w:divsChild>
        <w:div w:id="123039822">
          <w:marLeft w:val="480"/>
          <w:marRight w:val="0"/>
          <w:marTop w:val="0"/>
          <w:marBottom w:val="0"/>
          <w:divBdr>
            <w:top w:val="none" w:sz="0" w:space="0" w:color="auto"/>
            <w:left w:val="none" w:sz="0" w:space="0" w:color="auto"/>
            <w:bottom w:val="none" w:sz="0" w:space="0" w:color="auto"/>
            <w:right w:val="none" w:sz="0" w:space="0" w:color="auto"/>
          </w:divBdr>
          <w:divsChild>
            <w:div w:id="929587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ationalgallery.org.uk/paintings/hans-holbein-the-younger-the-ambassadors" TargetMode="External"/><Relationship Id="rId13" Type="http://schemas.openxmlformats.org/officeDocument/2006/relationships/hyperlink" Target="https://www.museodelprado.es/en/the-collection/art-work/philip-iv/d32048ac-2752-4248-a53a-45d9d58b1645" TargetMode="External"/><Relationship Id="rId3" Type="http://schemas.openxmlformats.org/officeDocument/2006/relationships/webSettings" Target="webSettings.xml"/><Relationship Id="rId7" Type="http://schemas.openxmlformats.org/officeDocument/2006/relationships/hyperlink" Target="https://www.nga.gov/collection/art-object-page.1138.html" TargetMode="External"/><Relationship Id="rId12" Type="http://schemas.openxmlformats.org/officeDocument/2006/relationships/hyperlink" Target="https://collections.mfa.org/objects/32755"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metmuseum.org/art/collection/search/437056" TargetMode="External"/><Relationship Id="rId11" Type="http://schemas.openxmlformats.org/officeDocument/2006/relationships/hyperlink" Target="https://www.nationalgallery.org.uk/paintings/michelangelo-merisi-da-caravaggio-the-supper-at-emmaus" TargetMode="External"/><Relationship Id="rId5" Type="http://schemas.openxmlformats.org/officeDocument/2006/relationships/hyperlink" Target="https://www.nationalgallery.org.uk/paintings/jan-van-eyck-the-arnolfini-portrait" TargetMode="External"/><Relationship Id="rId15" Type="http://schemas.openxmlformats.org/officeDocument/2006/relationships/theme" Target="theme/theme1.xml"/><Relationship Id="rId10" Type="http://schemas.openxmlformats.org/officeDocument/2006/relationships/hyperlink" Target="https://www.rct.uk/collection/search" TargetMode="External"/><Relationship Id="rId4" Type="http://schemas.openxmlformats.org/officeDocument/2006/relationships/hyperlink" Target="https://collections.vam.ac.uk/item/O17807/altarpiece-of-st-george-altarpiece-master-of-the/" TargetMode="External"/><Relationship Id="rId9" Type="http://schemas.openxmlformats.org/officeDocument/2006/relationships/hyperlink" Target="http://www.getty.edu/art/collection/objects/340879/agnolo-bronzino-virgin-and-child-with-saint-elizabeth-and-saint-john-the-baptist-italian-about-1540-1545/"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672</TotalTime>
  <Pages>2</Pages>
  <Words>1002</Words>
  <Characters>5714</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Lines, David</dc:creator>
  <cp:keywords/>
  <dc:description/>
  <cp:lastModifiedBy>Claudia Daniotti</cp:lastModifiedBy>
  <cp:revision>39</cp:revision>
  <dcterms:created xsi:type="dcterms:W3CDTF">2019-09-14T19:56:00Z</dcterms:created>
  <dcterms:modified xsi:type="dcterms:W3CDTF">2022-08-19T16:38:00Z</dcterms:modified>
</cp:coreProperties>
</file>