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0048E2" w14:textId="658B7A6C" w:rsidR="00953453" w:rsidRPr="00474F0E" w:rsidRDefault="00403C18" w:rsidP="00720D91">
      <w:pPr>
        <w:jc w:val="both"/>
        <w:rPr>
          <w:rFonts w:ascii="Times" w:hAnsi="Times" w:cs="Arial"/>
          <w:sz w:val="22"/>
          <w:szCs w:val="22"/>
        </w:rPr>
      </w:pPr>
      <w:r w:rsidRPr="00474F0E">
        <w:rPr>
          <w:rFonts w:ascii="Times" w:hAnsi="Times" w:cs="Arial"/>
          <w:sz w:val="22"/>
          <w:szCs w:val="22"/>
        </w:rPr>
        <w:t>Renaissance Europe I: Foundations and Forms (RS200/RS300)</w:t>
      </w:r>
    </w:p>
    <w:p w14:paraId="32E4620B" w14:textId="632BFDFA" w:rsidR="00403C18" w:rsidRPr="00474F0E" w:rsidRDefault="00403C18" w:rsidP="00720D91">
      <w:pPr>
        <w:jc w:val="both"/>
        <w:rPr>
          <w:rFonts w:ascii="Times" w:hAnsi="Times"/>
          <w:sz w:val="22"/>
          <w:szCs w:val="22"/>
        </w:rPr>
      </w:pPr>
    </w:p>
    <w:p w14:paraId="29BB4B45" w14:textId="7C561C31" w:rsidR="00403C18" w:rsidRPr="00474F0E" w:rsidRDefault="00403C18" w:rsidP="00720D91">
      <w:pPr>
        <w:jc w:val="both"/>
        <w:rPr>
          <w:rFonts w:ascii="Times" w:hAnsi="Times"/>
          <w:b/>
          <w:sz w:val="22"/>
          <w:szCs w:val="22"/>
        </w:rPr>
      </w:pPr>
      <w:r w:rsidRPr="00474F0E">
        <w:rPr>
          <w:rFonts w:ascii="Times" w:hAnsi="Times"/>
          <w:b/>
          <w:sz w:val="22"/>
          <w:szCs w:val="22"/>
        </w:rPr>
        <w:t>Week 3: The Christian Tradition</w:t>
      </w:r>
      <w:r w:rsidR="009A5274" w:rsidRPr="00474F0E">
        <w:rPr>
          <w:rFonts w:ascii="Times" w:hAnsi="Times"/>
          <w:b/>
          <w:sz w:val="22"/>
          <w:szCs w:val="22"/>
        </w:rPr>
        <w:t xml:space="preserve"> (Prof. David Lines)</w:t>
      </w:r>
    </w:p>
    <w:p w14:paraId="67C5FC52" w14:textId="316DBD7E" w:rsidR="00403C18" w:rsidRPr="00474F0E" w:rsidRDefault="00403C18" w:rsidP="00720D91">
      <w:pPr>
        <w:jc w:val="both"/>
        <w:rPr>
          <w:rFonts w:ascii="Times" w:hAnsi="Times"/>
          <w:b/>
          <w:sz w:val="22"/>
          <w:szCs w:val="22"/>
        </w:rPr>
      </w:pPr>
    </w:p>
    <w:p w14:paraId="5A0B4D3C" w14:textId="467C094B" w:rsidR="00403C18" w:rsidRPr="00474F0E" w:rsidRDefault="00403C18" w:rsidP="00720D91">
      <w:pPr>
        <w:jc w:val="both"/>
        <w:rPr>
          <w:rFonts w:ascii="Times" w:hAnsi="Times"/>
          <w:sz w:val="22"/>
          <w:szCs w:val="22"/>
        </w:rPr>
      </w:pPr>
      <w:r w:rsidRPr="00474F0E">
        <w:rPr>
          <w:rFonts w:ascii="Times" w:hAnsi="Times"/>
          <w:sz w:val="22"/>
          <w:szCs w:val="22"/>
        </w:rPr>
        <w:t xml:space="preserve">In addition to the works of Greece and Rome explored last week (literature, philosophy, science, medicine …), Renaissance Europe was also strongly shaped by the Christian tradition. Scholars no longer accept the notion that the Renaissance was pagan, an idea that was promoted by nineteenth- and twentieth-century anticlerical figures all the way from Jacob Burckhardt to Eugenio Garin. Indeed, among the strongest influences were the Bible and the works of the Church Fathers. </w:t>
      </w:r>
    </w:p>
    <w:p w14:paraId="1F7D67DA" w14:textId="4E66FFF0" w:rsidR="00403C18" w:rsidRPr="00474F0E" w:rsidRDefault="00403C18" w:rsidP="00720D91">
      <w:pPr>
        <w:ind w:firstLine="720"/>
        <w:jc w:val="both"/>
        <w:rPr>
          <w:rFonts w:ascii="Times" w:hAnsi="Times"/>
          <w:sz w:val="22"/>
          <w:szCs w:val="22"/>
        </w:rPr>
      </w:pPr>
      <w:r w:rsidRPr="00474F0E">
        <w:rPr>
          <w:rFonts w:ascii="Times" w:hAnsi="Times"/>
          <w:sz w:val="22"/>
          <w:szCs w:val="22"/>
        </w:rPr>
        <w:t xml:space="preserve">This week’s lecture focuses on these two strands. It examines, for instance, the place and influence of the </w:t>
      </w:r>
      <w:r w:rsidR="009A5274" w:rsidRPr="00474F0E">
        <w:rPr>
          <w:rFonts w:ascii="Times" w:hAnsi="Times"/>
          <w:sz w:val="22"/>
          <w:szCs w:val="22"/>
        </w:rPr>
        <w:t>Church Father Augustine</w:t>
      </w:r>
      <w:r w:rsidR="00720D91" w:rsidRPr="00474F0E">
        <w:rPr>
          <w:rFonts w:ascii="Times" w:hAnsi="Times"/>
          <w:sz w:val="22"/>
          <w:szCs w:val="22"/>
        </w:rPr>
        <w:t xml:space="preserve"> of Hippo</w:t>
      </w:r>
      <w:r w:rsidRPr="00474F0E">
        <w:rPr>
          <w:rFonts w:ascii="Times" w:hAnsi="Times"/>
          <w:sz w:val="22"/>
          <w:szCs w:val="22"/>
        </w:rPr>
        <w:t xml:space="preserve"> in </w:t>
      </w:r>
      <w:r w:rsidR="009A5274" w:rsidRPr="00474F0E">
        <w:rPr>
          <w:rFonts w:ascii="Times" w:hAnsi="Times"/>
          <w:sz w:val="22"/>
          <w:szCs w:val="22"/>
        </w:rPr>
        <w:t xml:space="preserve">the writings of Francesco Petrarca (1304–1374), considered one of the most important of the early Italian humanists. It also looks at the engagement with the Scriptures by the Florentine merchant and humanist Giannozzo Manetti (1396–1459), who among other things translated the Psalms. It tries to assess how this interest in the Christian tradition can be reconciled with the parallel </w:t>
      </w:r>
      <w:r w:rsidR="00720D91" w:rsidRPr="00474F0E">
        <w:rPr>
          <w:rFonts w:ascii="Times" w:hAnsi="Times"/>
          <w:sz w:val="22"/>
          <w:szCs w:val="22"/>
        </w:rPr>
        <w:t xml:space="preserve">Renaissance </w:t>
      </w:r>
      <w:r w:rsidR="009A5274" w:rsidRPr="00474F0E">
        <w:rPr>
          <w:rFonts w:ascii="Times" w:hAnsi="Times"/>
          <w:sz w:val="22"/>
          <w:szCs w:val="22"/>
        </w:rPr>
        <w:t xml:space="preserve">enthusiasm for pagan literature and with a potential sense of secularization in the </w:t>
      </w:r>
      <w:r w:rsidR="00720D91" w:rsidRPr="00474F0E">
        <w:rPr>
          <w:rFonts w:ascii="Times" w:hAnsi="Times"/>
          <w:sz w:val="22"/>
          <w:szCs w:val="22"/>
        </w:rPr>
        <w:t>period</w:t>
      </w:r>
      <w:r w:rsidR="009A5274" w:rsidRPr="00474F0E">
        <w:rPr>
          <w:rFonts w:ascii="Times" w:hAnsi="Times"/>
          <w:sz w:val="22"/>
          <w:szCs w:val="22"/>
        </w:rPr>
        <w:t>.</w:t>
      </w:r>
    </w:p>
    <w:p w14:paraId="5AC47EC7" w14:textId="42952940" w:rsidR="009A5274" w:rsidRDefault="009A5274" w:rsidP="00720D91">
      <w:pPr>
        <w:ind w:firstLine="720"/>
        <w:jc w:val="both"/>
        <w:rPr>
          <w:rFonts w:ascii="Times" w:hAnsi="Times"/>
          <w:sz w:val="22"/>
          <w:szCs w:val="22"/>
        </w:rPr>
      </w:pPr>
      <w:r w:rsidRPr="00474F0E">
        <w:rPr>
          <w:rFonts w:ascii="Times" w:hAnsi="Times"/>
          <w:sz w:val="22"/>
          <w:szCs w:val="22"/>
        </w:rPr>
        <w:t xml:space="preserve">This week’s seminar will focus on Augustine’s </w:t>
      </w:r>
      <w:r w:rsidRPr="00474F0E">
        <w:rPr>
          <w:rFonts w:ascii="Times" w:hAnsi="Times"/>
          <w:i/>
          <w:sz w:val="22"/>
          <w:szCs w:val="22"/>
        </w:rPr>
        <w:t xml:space="preserve">Confessions </w:t>
      </w:r>
      <w:r w:rsidRPr="00474F0E">
        <w:rPr>
          <w:rFonts w:ascii="Times" w:hAnsi="Times"/>
          <w:sz w:val="22"/>
          <w:szCs w:val="22"/>
        </w:rPr>
        <w:t xml:space="preserve">(extracts) and on Petrarch’s work </w:t>
      </w:r>
      <w:r w:rsidRPr="00474F0E">
        <w:rPr>
          <w:rFonts w:ascii="Times" w:hAnsi="Times"/>
          <w:i/>
          <w:sz w:val="22"/>
          <w:szCs w:val="22"/>
        </w:rPr>
        <w:t xml:space="preserve">The Secret </w:t>
      </w:r>
      <w:r w:rsidRPr="00474F0E">
        <w:rPr>
          <w:rFonts w:ascii="Times" w:hAnsi="Times"/>
          <w:sz w:val="22"/>
          <w:szCs w:val="22"/>
        </w:rPr>
        <w:t>(you may also find helpful and interesting his brief reflection</w:t>
      </w:r>
      <w:r w:rsidR="00720D91" w:rsidRPr="00474F0E">
        <w:rPr>
          <w:rFonts w:ascii="Times" w:hAnsi="Times"/>
          <w:sz w:val="22"/>
          <w:szCs w:val="22"/>
        </w:rPr>
        <w:t>s</w:t>
      </w:r>
      <w:r w:rsidRPr="00474F0E">
        <w:rPr>
          <w:rFonts w:ascii="Times" w:hAnsi="Times"/>
          <w:sz w:val="22"/>
          <w:szCs w:val="22"/>
        </w:rPr>
        <w:t xml:space="preserve"> in ‘On the Ascent of Mount Ventoux’). As you read these two works, ask yourself: (1) What elements of Augustine does Petrarch particularly appreciate, and why? (2) Is Augustine an example for Petrarch, or an unattainable model?</w:t>
      </w:r>
      <w:r w:rsidR="00720D91" w:rsidRPr="00474F0E">
        <w:rPr>
          <w:rFonts w:ascii="Times" w:hAnsi="Times"/>
          <w:sz w:val="22"/>
          <w:szCs w:val="22"/>
        </w:rPr>
        <w:t xml:space="preserve"> In what ways?</w:t>
      </w:r>
      <w:r w:rsidRPr="00474F0E">
        <w:rPr>
          <w:rFonts w:ascii="Times" w:hAnsi="Times"/>
          <w:sz w:val="22"/>
          <w:szCs w:val="22"/>
        </w:rPr>
        <w:t xml:space="preserve"> (3) How does </w:t>
      </w:r>
      <w:r w:rsidR="00720D91" w:rsidRPr="00474F0E">
        <w:rPr>
          <w:rFonts w:ascii="Times" w:hAnsi="Times"/>
          <w:sz w:val="22"/>
          <w:szCs w:val="22"/>
        </w:rPr>
        <w:t xml:space="preserve">Augustine’s presence in the </w:t>
      </w:r>
      <w:r w:rsidR="00720D91" w:rsidRPr="00474F0E">
        <w:rPr>
          <w:rFonts w:ascii="Times" w:hAnsi="Times"/>
          <w:i/>
          <w:sz w:val="22"/>
          <w:szCs w:val="22"/>
        </w:rPr>
        <w:t xml:space="preserve">Secret </w:t>
      </w:r>
      <w:r w:rsidR="00720D91" w:rsidRPr="00474F0E">
        <w:rPr>
          <w:rFonts w:ascii="Times" w:hAnsi="Times"/>
          <w:sz w:val="22"/>
          <w:szCs w:val="22"/>
        </w:rPr>
        <w:t>function as a counterweight to Petrarch’s simultaneous admiration for Cicero? Finally, browse through at least a couple of the critical works listed below and try to get an idea of how well-studied the influence of the Christian tradition on Renaissance thinkers and writers is. What has or has not helped its study, in your opinion?</w:t>
      </w:r>
    </w:p>
    <w:p w14:paraId="6F5C65AC" w14:textId="480313E5" w:rsidR="00474F0E" w:rsidRPr="00180F97" w:rsidRDefault="00474F0E" w:rsidP="00720D91">
      <w:pPr>
        <w:ind w:firstLine="720"/>
        <w:jc w:val="both"/>
        <w:rPr>
          <w:rFonts w:ascii="Times" w:hAnsi="Times"/>
          <w:sz w:val="22"/>
          <w:szCs w:val="22"/>
        </w:rPr>
      </w:pPr>
      <w:r w:rsidRPr="00180F97">
        <w:rPr>
          <w:rFonts w:ascii="Times" w:hAnsi="Times"/>
          <w:b/>
          <w:sz w:val="22"/>
          <w:szCs w:val="22"/>
        </w:rPr>
        <w:t>Assignment</w:t>
      </w:r>
      <w:r>
        <w:rPr>
          <w:rFonts w:ascii="Times" w:hAnsi="Times"/>
          <w:sz w:val="22"/>
          <w:szCs w:val="22"/>
        </w:rPr>
        <w:t xml:space="preserve">: try to find some secondary literature on the topic on your own, by using </w:t>
      </w:r>
      <w:r w:rsidR="00180F97">
        <w:rPr>
          <w:rFonts w:ascii="Times" w:hAnsi="Times"/>
          <w:sz w:val="22"/>
          <w:szCs w:val="22"/>
        </w:rPr>
        <w:t xml:space="preserve">Warwick’s electronic databases and the article on Augustine in encyclopedias such as the </w:t>
      </w:r>
      <w:r w:rsidR="00180F97">
        <w:rPr>
          <w:rFonts w:ascii="Times" w:hAnsi="Times"/>
          <w:i/>
          <w:sz w:val="22"/>
          <w:szCs w:val="22"/>
        </w:rPr>
        <w:t>Encyclopedia of the Renaissance</w:t>
      </w:r>
      <w:r w:rsidR="00180F97">
        <w:rPr>
          <w:rFonts w:ascii="Times" w:hAnsi="Times"/>
          <w:sz w:val="22"/>
          <w:szCs w:val="22"/>
        </w:rPr>
        <w:t>, ed. by Paul F. Grendler (Reference CB 361.E6). Print out one page listing what you have found, how you have found it, and how useful you think the items might be. Where might you turn to if you were looking for additional biographical information on, say, Petrarch and Manetti?</w:t>
      </w:r>
    </w:p>
    <w:p w14:paraId="41D8255B" w14:textId="1C1DFB89" w:rsidR="001666BF" w:rsidRPr="00474F0E" w:rsidRDefault="001666BF" w:rsidP="001666BF">
      <w:pPr>
        <w:jc w:val="both"/>
        <w:rPr>
          <w:rFonts w:ascii="Times" w:hAnsi="Times"/>
          <w:sz w:val="22"/>
          <w:szCs w:val="22"/>
        </w:rPr>
      </w:pPr>
    </w:p>
    <w:p w14:paraId="45478AB0" w14:textId="64A06C8F" w:rsidR="001666BF" w:rsidRPr="00474F0E" w:rsidRDefault="001666BF" w:rsidP="001666BF">
      <w:pPr>
        <w:jc w:val="both"/>
        <w:rPr>
          <w:rFonts w:ascii="Times" w:hAnsi="Times"/>
          <w:sz w:val="22"/>
          <w:szCs w:val="22"/>
        </w:rPr>
      </w:pPr>
    </w:p>
    <w:p w14:paraId="797195FE" w14:textId="223A3BBE" w:rsidR="001666BF" w:rsidRPr="00474F0E" w:rsidRDefault="001666BF" w:rsidP="001666BF">
      <w:pPr>
        <w:jc w:val="both"/>
        <w:rPr>
          <w:rFonts w:ascii="Times" w:hAnsi="Times"/>
          <w:sz w:val="22"/>
          <w:szCs w:val="22"/>
        </w:rPr>
      </w:pPr>
      <w:r w:rsidRPr="00474F0E">
        <w:rPr>
          <w:rFonts w:ascii="Times" w:hAnsi="Times"/>
          <w:sz w:val="22"/>
          <w:szCs w:val="22"/>
          <w:u w:val="single"/>
        </w:rPr>
        <w:t>Primary Readings</w:t>
      </w:r>
      <w:r w:rsidRPr="00474F0E">
        <w:rPr>
          <w:rFonts w:ascii="Times" w:hAnsi="Times"/>
          <w:sz w:val="22"/>
          <w:szCs w:val="22"/>
        </w:rPr>
        <w:t xml:space="preserve"> (an asterisk marks mandatory readings)</w:t>
      </w:r>
    </w:p>
    <w:p w14:paraId="7402FF72" w14:textId="320E9D6B" w:rsidR="001666BF" w:rsidRPr="00474F0E" w:rsidRDefault="001666BF" w:rsidP="001666BF">
      <w:pPr>
        <w:jc w:val="both"/>
        <w:rPr>
          <w:rFonts w:ascii="Times" w:hAnsi="Times"/>
          <w:sz w:val="22"/>
          <w:szCs w:val="22"/>
        </w:rPr>
      </w:pPr>
    </w:p>
    <w:p w14:paraId="75B9E603" w14:textId="63755CB4" w:rsidR="001666BF" w:rsidRPr="00474F0E" w:rsidRDefault="001666BF" w:rsidP="001666BF">
      <w:pPr>
        <w:jc w:val="both"/>
        <w:rPr>
          <w:rFonts w:ascii="Times" w:hAnsi="Times"/>
          <w:sz w:val="22"/>
          <w:szCs w:val="22"/>
        </w:rPr>
      </w:pPr>
      <w:r w:rsidRPr="00474F0E">
        <w:rPr>
          <w:rFonts w:ascii="Times" w:hAnsi="Times"/>
          <w:sz w:val="22"/>
          <w:szCs w:val="22"/>
        </w:rPr>
        <w:t xml:space="preserve">*St Augustine of Hippo, </w:t>
      </w:r>
      <w:r w:rsidRPr="00474F0E">
        <w:rPr>
          <w:rFonts w:ascii="Times" w:hAnsi="Times"/>
          <w:i/>
          <w:sz w:val="22"/>
          <w:szCs w:val="22"/>
        </w:rPr>
        <w:t xml:space="preserve">Confessions </w:t>
      </w:r>
      <w:r w:rsidRPr="00474F0E">
        <w:rPr>
          <w:rFonts w:ascii="Times" w:hAnsi="Times"/>
          <w:sz w:val="22"/>
          <w:szCs w:val="22"/>
        </w:rPr>
        <w:t>(</w:t>
      </w:r>
      <w:r w:rsidR="005D75A8">
        <w:rPr>
          <w:rFonts w:ascii="Times" w:hAnsi="Times"/>
          <w:sz w:val="22"/>
          <w:szCs w:val="22"/>
        </w:rPr>
        <w:t xml:space="preserve">Book VIII; see </w:t>
      </w:r>
      <w:hyperlink r:id="rId4" w:history="1">
        <w:r w:rsidR="005D75A8" w:rsidRPr="001453C0">
          <w:rPr>
            <w:rStyle w:val="Hyperlink"/>
            <w:rFonts w:ascii="Times" w:hAnsi="Times"/>
            <w:sz w:val="22"/>
            <w:szCs w:val="22"/>
          </w:rPr>
          <w:t>https://0-www-loebclassics-com.pugwash.lib.warwick.ac.uk/view/augustine-confessions_2014/2014/pb_LCL026.355.xml</w:t>
        </w:r>
      </w:hyperlink>
      <w:r w:rsidR="005D75A8">
        <w:rPr>
          <w:rFonts w:ascii="Times" w:hAnsi="Times"/>
          <w:sz w:val="22"/>
          <w:szCs w:val="22"/>
        </w:rPr>
        <w:t xml:space="preserve"> </w:t>
      </w:r>
      <w:r w:rsidRPr="00474F0E">
        <w:rPr>
          <w:rFonts w:ascii="Times" w:hAnsi="Times"/>
          <w:sz w:val="22"/>
          <w:szCs w:val="22"/>
        </w:rPr>
        <w:t>)</w:t>
      </w:r>
      <w:r w:rsidR="00474F0E" w:rsidRPr="00474F0E">
        <w:rPr>
          <w:rFonts w:ascii="Times" w:hAnsi="Times"/>
          <w:sz w:val="22"/>
          <w:szCs w:val="22"/>
        </w:rPr>
        <w:t>.</w:t>
      </w:r>
    </w:p>
    <w:p w14:paraId="42DD1CBD" w14:textId="77777777" w:rsidR="00474F0E" w:rsidRPr="00474F0E" w:rsidRDefault="00474F0E" w:rsidP="001666BF">
      <w:pPr>
        <w:jc w:val="both"/>
        <w:rPr>
          <w:rFonts w:ascii="Times" w:hAnsi="Times"/>
          <w:sz w:val="22"/>
          <w:szCs w:val="22"/>
        </w:rPr>
      </w:pPr>
    </w:p>
    <w:p w14:paraId="46510906" w14:textId="1BDF2DB3" w:rsidR="001666BF" w:rsidRDefault="001666BF" w:rsidP="001666BF">
      <w:pPr>
        <w:jc w:val="both"/>
        <w:rPr>
          <w:rFonts w:ascii="Times" w:hAnsi="Times"/>
          <w:sz w:val="22"/>
          <w:szCs w:val="22"/>
        </w:rPr>
      </w:pPr>
      <w:r w:rsidRPr="00474F0E">
        <w:rPr>
          <w:rFonts w:ascii="Times" w:hAnsi="Times"/>
          <w:sz w:val="22"/>
          <w:szCs w:val="22"/>
        </w:rPr>
        <w:t xml:space="preserve">*Francesco Petrarca, </w:t>
      </w:r>
      <w:r w:rsidRPr="00474F0E">
        <w:rPr>
          <w:rFonts w:ascii="Times" w:hAnsi="Times"/>
          <w:i/>
          <w:sz w:val="22"/>
          <w:szCs w:val="22"/>
        </w:rPr>
        <w:t>The Secret</w:t>
      </w:r>
      <w:r w:rsidRPr="00474F0E">
        <w:rPr>
          <w:rFonts w:ascii="Times" w:hAnsi="Times"/>
          <w:sz w:val="22"/>
          <w:szCs w:val="22"/>
        </w:rPr>
        <w:t>, ed. with introd. by Carol E. Quillen (Boston: Bedford/St Mart</w:t>
      </w:r>
      <w:r w:rsidR="004A6BB0" w:rsidRPr="00474F0E">
        <w:rPr>
          <w:rFonts w:ascii="Times" w:hAnsi="Times"/>
          <w:sz w:val="22"/>
          <w:szCs w:val="22"/>
        </w:rPr>
        <w:t>i</w:t>
      </w:r>
      <w:r w:rsidRPr="00474F0E">
        <w:rPr>
          <w:rFonts w:ascii="Times" w:hAnsi="Times"/>
          <w:sz w:val="22"/>
          <w:szCs w:val="22"/>
        </w:rPr>
        <w:t xml:space="preserve">n’s, 2003): in Library on 3-day reserve, PQ4490.S3 (also very good and useful is the edition with facing Latin entitled </w:t>
      </w:r>
      <w:r w:rsidRPr="00474F0E">
        <w:rPr>
          <w:rFonts w:ascii="Times" w:hAnsi="Times"/>
          <w:i/>
          <w:sz w:val="22"/>
          <w:szCs w:val="22"/>
        </w:rPr>
        <w:t xml:space="preserve">My Secret Book </w:t>
      </w:r>
      <w:r w:rsidRPr="00474F0E">
        <w:rPr>
          <w:rFonts w:ascii="Times" w:hAnsi="Times"/>
          <w:sz w:val="22"/>
          <w:szCs w:val="22"/>
        </w:rPr>
        <w:t>from Harvard University Press, 2016 in PQ4496.E29 S33)</w:t>
      </w:r>
      <w:r w:rsidR="00474F0E" w:rsidRPr="00474F0E">
        <w:rPr>
          <w:rFonts w:ascii="Times" w:hAnsi="Times"/>
          <w:sz w:val="22"/>
          <w:szCs w:val="22"/>
        </w:rPr>
        <w:t>.</w:t>
      </w:r>
      <w:r w:rsidR="005D75A8">
        <w:rPr>
          <w:rFonts w:ascii="Times" w:hAnsi="Times"/>
          <w:sz w:val="22"/>
          <w:szCs w:val="22"/>
        </w:rPr>
        <w:t xml:space="preserve"> See also PDF on website.</w:t>
      </w:r>
      <w:bookmarkStart w:id="0" w:name="_GoBack"/>
      <w:bookmarkEnd w:id="0"/>
    </w:p>
    <w:p w14:paraId="5391B657" w14:textId="180D1454" w:rsidR="00180F97" w:rsidRDefault="00180F97" w:rsidP="001666BF">
      <w:pPr>
        <w:jc w:val="both"/>
        <w:rPr>
          <w:rFonts w:ascii="Times" w:hAnsi="Times"/>
          <w:sz w:val="22"/>
          <w:szCs w:val="22"/>
        </w:rPr>
      </w:pPr>
    </w:p>
    <w:p w14:paraId="48D1A37F" w14:textId="712B14F4" w:rsidR="00180F97" w:rsidRPr="00474F0E" w:rsidRDefault="00180F97" w:rsidP="001666BF">
      <w:pPr>
        <w:jc w:val="both"/>
        <w:rPr>
          <w:rFonts w:ascii="Times" w:hAnsi="Times"/>
          <w:sz w:val="22"/>
          <w:szCs w:val="22"/>
        </w:rPr>
      </w:pPr>
      <w:r>
        <w:rPr>
          <w:rFonts w:ascii="Times" w:hAnsi="Times"/>
          <w:sz w:val="22"/>
          <w:szCs w:val="22"/>
        </w:rPr>
        <w:t>Francesco Petrarca, ‘The Ascent of Mount Ventoux’</w:t>
      </w:r>
      <w:r w:rsidR="00C15435">
        <w:rPr>
          <w:rFonts w:ascii="Times" w:hAnsi="Times"/>
          <w:sz w:val="22"/>
          <w:szCs w:val="22"/>
        </w:rPr>
        <w:t xml:space="preserve"> (see PDF on website).</w:t>
      </w:r>
    </w:p>
    <w:p w14:paraId="191D8099" w14:textId="1BDB35BE" w:rsidR="004A6BB0" w:rsidRPr="00474F0E" w:rsidRDefault="004A6BB0" w:rsidP="001666BF">
      <w:pPr>
        <w:jc w:val="both"/>
        <w:rPr>
          <w:rFonts w:ascii="Times" w:hAnsi="Times"/>
          <w:sz w:val="22"/>
          <w:szCs w:val="22"/>
        </w:rPr>
      </w:pPr>
    </w:p>
    <w:p w14:paraId="43A96A6D" w14:textId="6613CEBA" w:rsidR="004A6BB0" w:rsidRPr="00474F0E" w:rsidRDefault="004A6BB0" w:rsidP="001666BF">
      <w:pPr>
        <w:jc w:val="both"/>
        <w:rPr>
          <w:rFonts w:ascii="Times" w:hAnsi="Times"/>
          <w:sz w:val="22"/>
          <w:szCs w:val="22"/>
        </w:rPr>
      </w:pPr>
      <w:r w:rsidRPr="00474F0E">
        <w:rPr>
          <w:rFonts w:ascii="Times" w:hAnsi="Times"/>
          <w:sz w:val="22"/>
          <w:szCs w:val="22"/>
          <w:u w:val="single"/>
        </w:rPr>
        <w:t>Secondary Readings</w:t>
      </w:r>
    </w:p>
    <w:p w14:paraId="20EEA4B1" w14:textId="7E30DC16" w:rsidR="004A6BB0" w:rsidRPr="00474F0E" w:rsidRDefault="004A6BB0" w:rsidP="001666BF">
      <w:pPr>
        <w:jc w:val="both"/>
        <w:rPr>
          <w:rFonts w:ascii="Times" w:hAnsi="Times"/>
          <w:sz w:val="22"/>
          <w:szCs w:val="22"/>
        </w:rPr>
      </w:pPr>
    </w:p>
    <w:p w14:paraId="6127CE21" w14:textId="6339FC69" w:rsidR="00474F0E" w:rsidRPr="00474F0E" w:rsidRDefault="00474F0E" w:rsidP="001666BF">
      <w:pPr>
        <w:jc w:val="both"/>
        <w:rPr>
          <w:rFonts w:ascii="Times" w:hAnsi="Times"/>
          <w:sz w:val="22"/>
          <w:szCs w:val="22"/>
        </w:rPr>
      </w:pPr>
      <w:r w:rsidRPr="00474F0E">
        <w:rPr>
          <w:rFonts w:ascii="Times" w:hAnsi="Times"/>
          <w:sz w:val="22"/>
          <w:szCs w:val="22"/>
        </w:rPr>
        <w:t xml:space="preserve">Jerry H. Bentley, </w:t>
      </w:r>
      <w:r w:rsidRPr="00474F0E">
        <w:rPr>
          <w:rFonts w:ascii="Times" w:hAnsi="Times"/>
          <w:i/>
          <w:sz w:val="22"/>
          <w:szCs w:val="22"/>
        </w:rPr>
        <w:t>Humanists and Holy Writ: New Testament Scholarship in the Renaissance</w:t>
      </w:r>
      <w:r w:rsidRPr="00474F0E">
        <w:rPr>
          <w:rFonts w:ascii="Times" w:hAnsi="Times"/>
          <w:sz w:val="22"/>
          <w:szCs w:val="22"/>
        </w:rPr>
        <w:t xml:space="preserve"> (Princeton: Princeton University Press, 1983); internet version available.</w:t>
      </w:r>
    </w:p>
    <w:p w14:paraId="75609984" w14:textId="77777777" w:rsidR="00474F0E" w:rsidRPr="00474F0E" w:rsidRDefault="00474F0E" w:rsidP="001666BF">
      <w:pPr>
        <w:jc w:val="both"/>
        <w:rPr>
          <w:rFonts w:ascii="Times" w:hAnsi="Times"/>
          <w:sz w:val="22"/>
          <w:szCs w:val="22"/>
        </w:rPr>
      </w:pPr>
    </w:p>
    <w:p w14:paraId="324F62B3" w14:textId="4F1BB7A2" w:rsidR="00474F0E" w:rsidRPr="00474F0E" w:rsidRDefault="00474F0E" w:rsidP="001666BF">
      <w:pPr>
        <w:jc w:val="both"/>
        <w:rPr>
          <w:rFonts w:ascii="Times" w:hAnsi="Times"/>
          <w:sz w:val="22"/>
          <w:szCs w:val="22"/>
        </w:rPr>
      </w:pPr>
      <w:r w:rsidRPr="00474F0E">
        <w:rPr>
          <w:rFonts w:ascii="Times" w:hAnsi="Times"/>
          <w:sz w:val="22"/>
          <w:szCs w:val="22"/>
        </w:rPr>
        <w:t xml:space="preserve">Meredith G. Gill, </w:t>
      </w:r>
      <w:r w:rsidRPr="00474F0E">
        <w:rPr>
          <w:rFonts w:ascii="Times" w:hAnsi="Times"/>
          <w:i/>
          <w:sz w:val="22"/>
          <w:szCs w:val="22"/>
        </w:rPr>
        <w:t xml:space="preserve">Augustine in the Italian Renaissance: Art and Philosophy from Petrarch to Michelangelo </w:t>
      </w:r>
      <w:r w:rsidRPr="00474F0E">
        <w:rPr>
          <w:rFonts w:ascii="Times" w:hAnsi="Times"/>
          <w:sz w:val="22"/>
          <w:szCs w:val="22"/>
        </w:rPr>
        <w:t>(Cambridge: Cambridge University Press, 2005).</w:t>
      </w:r>
    </w:p>
    <w:p w14:paraId="11F0B0D0" w14:textId="77777777" w:rsidR="00474F0E" w:rsidRPr="00474F0E" w:rsidRDefault="00474F0E" w:rsidP="001666BF">
      <w:pPr>
        <w:jc w:val="both"/>
        <w:rPr>
          <w:rFonts w:ascii="Times" w:hAnsi="Times"/>
          <w:sz w:val="22"/>
          <w:szCs w:val="22"/>
        </w:rPr>
      </w:pPr>
    </w:p>
    <w:p w14:paraId="33782444" w14:textId="391F0C69" w:rsidR="004A6BB0" w:rsidRDefault="00474F0E" w:rsidP="001666BF">
      <w:pPr>
        <w:jc w:val="both"/>
        <w:rPr>
          <w:rFonts w:ascii="Times" w:hAnsi="Times"/>
          <w:sz w:val="22"/>
          <w:szCs w:val="22"/>
        </w:rPr>
      </w:pPr>
      <w:r w:rsidRPr="00474F0E">
        <w:rPr>
          <w:rFonts w:ascii="Times" w:hAnsi="Times"/>
          <w:sz w:val="22"/>
          <w:szCs w:val="22"/>
        </w:rPr>
        <w:t xml:space="preserve">Alexander Lee, </w:t>
      </w:r>
      <w:r w:rsidRPr="00474F0E">
        <w:rPr>
          <w:rFonts w:ascii="Times" w:hAnsi="Times"/>
          <w:i/>
          <w:sz w:val="22"/>
          <w:szCs w:val="22"/>
        </w:rPr>
        <w:t xml:space="preserve">Petrarch and St. Augustine: Classical Scholarship, Christian Theology, and the Origin of the Renaissance in Italy </w:t>
      </w:r>
      <w:r w:rsidRPr="00474F0E">
        <w:rPr>
          <w:rFonts w:ascii="Times" w:hAnsi="Times"/>
          <w:sz w:val="22"/>
          <w:szCs w:val="22"/>
        </w:rPr>
        <w:t>(Leiden: Brill, 2012).</w:t>
      </w:r>
    </w:p>
    <w:p w14:paraId="772BF846" w14:textId="6CE0975A" w:rsidR="00180F97" w:rsidRDefault="00180F97" w:rsidP="001666BF">
      <w:pPr>
        <w:jc w:val="both"/>
        <w:rPr>
          <w:rFonts w:ascii="Times" w:hAnsi="Times"/>
          <w:sz w:val="22"/>
          <w:szCs w:val="22"/>
        </w:rPr>
      </w:pPr>
    </w:p>
    <w:p w14:paraId="7F1B56B2" w14:textId="6BD1D80A" w:rsidR="00180F97" w:rsidRPr="00180F97" w:rsidRDefault="00180F97" w:rsidP="001666BF">
      <w:pPr>
        <w:jc w:val="both"/>
        <w:rPr>
          <w:rFonts w:ascii="Times" w:hAnsi="Times"/>
          <w:sz w:val="22"/>
          <w:szCs w:val="22"/>
        </w:rPr>
      </w:pPr>
      <w:r w:rsidRPr="00180F97">
        <w:rPr>
          <w:rFonts w:ascii="Times" w:hAnsi="Times"/>
          <w:sz w:val="22"/>
          <w:szCs w:val="22"/>
        </w:rPr>
        <w:t xml:space="preserve">David Marsh, </w:t>
      </w:r>
      <w:r w:rsidRPr="00180F97">
        <w:rPr>
          <w:rFonts w:ascii="Times" w:hAnsi="Times"/>
          <w:i/>
          <w:sz w:val="22"/>
          <w:szCs w:val="22"/>
        </w:rPr>
        <w:t>Giannozzo Manetti: The Life of a Renaissance Humanist</w:t>
      </w:r>
      <w:r>
        <w:rPr>
          <w:rFonts w:ascii="Times" w:hAnsi="Times"/>
          <w:i/>
          <w:sz w:val="22"/>
          <w:szCs w:val="22"/>
        </w:rPr>
        <w:t xml:space="preserve"> </w:t>
      </w:r>
      <w:r>
        <w:rPr>
          <w:rFonts w:ascii="Times" w:hAnsi="Times"/>
          <w:sz w:val="22"/>
          <w:szCs w:val="22"/>
        </w:rPr>
        <w:t>(Cambridge: Harvard University Press, 2019</w:t>
      </w:r>
      <w:r w:rsidR="00C15435">
        <w:rPr>
          <w:rFonts w:ascii="Times" w:hAnsi="Times"/>
          <w:sz w:val="22"/>
          <w:szCs w:val="22"/>
        </w:rPr>
        <w:t>)</w:t>
      </w:r>
      <w:r>
        <w:rPr>
          <w:rFonts w:ascii="Times" w:hAnsi="Times"/>
          <w:sz w:val="22"/>
          <w:szCs w:val="22"/>
        </w:rPr>
        <w:t>.</w:t>
      </w:r>
    </w:p>
    <w:p w14:paraId="5DDCC467" w14:textId="7967995A" w:rsidR="00474F0E" w:rsidRPr="00180F97" w:rsidRDefault="00474F0E" w:rsidP="001666BF">
      <w:pPr>
        <w:jc w:val="both"/>
        <w:rPr>
          <w:rFonts w:ascii="Times" w:hAnsi="Times"/>
          <w:sz w:val="22"/>
          <w:szCs w:val="22"/>
        </w:rPr>
      </w:pPr>
    </w:p>
    <w:p w14:paraId="3F24BA1D" w14:textId="1CCFD2AC" w:rsidR="00474F0E" w:rsidRPr="00180F97" w:rsidRDefault="00474F0E" w:rsidP="001666BF">
      <w:pPr>
        <w:jc w:val="both"/>
        <w:rPr>
          <w:rFonts w:ascii="Times" w:hAnsi="Times"/>
          <w:sz w:val="22"/>
          <w:szCs w:val="22"/>
          <w:lang w:val="it-IT"/>
        </w:rPr>
      </w:pPr>
      <w:r w:rsidRPr="00474F0E">
        <w:rPr>
          <w:rFonts w:ascii="Times" w:hAnsi="Times"/>
          <w:i/>
          <w:sz w:val="22"/>
          <w:szCs w:val="22"/>
          <w:lang w:val="it-IT"/>
        </w:rPr>
        <w:t>Petrarca e Agostino</w:t>
      </w:r>
      <w:r w:rsidRPr="00474F0E">
        <w:rPr>
          <w:rFonts w:ascii="Times" w:hAnsi="Times"/>
          <w:sz w:val="22"/>
          <w:szCs w:val="22"/>
          <w:lang w:val="it-IT"/>
        </w:rPr>
        <w:t>, ed. by Roberto Cardini and Donatella Coppini (Rome: Bulzoni, 2004)</w:t>
      </w:r>
      <w:r w:rsidR="00C15435">
        <w:rPr>
          <w:rFonts w:ascii="Times" w:hAnsi="Times"/>
          <w:sz w:val="22"/>
          <w:szCs w:val="22"/>
          <w:lang w:val="it-IT"/>
        </w:rPr>
        <w:t>.</w:t>
      </w:r>
    </w:p>
    <w:p w14:paraId="765B781F" w14:textId="77777777" w:rsidR="00474F0E" w:rsidRPr="00474F0E" w:rsidRDefault="00474F0E" w:rsidP="001666BF">
      <w:pPr>
        <w:jc w:val="both"/>
        <w:rPr>
          <w:rFonts w:ascii="Times" w:hAnsi="Times"/>
          <w:lang w:val="it-IT"/>
        </w:rPr>
      </w:pPr>
    </w:p>
    <w:sectPr w:rsidR="00474F0E" w:rsidRPr="00474F0E" w:rsidSect="00C15435">
      <w:pgSz w:w="11900" w:h="16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18"/>
    <w:rsid w:val="001666BF"/>
    <w:rsid w:val="00180F97"/>
    <w:rsid w:val="001E60D5"/>
    <w:rsid w:val="00403C18"/>
    <w:rsid w:val="00474F0E"/>
    <w:rsid w:val="004A6BB0"/>
    <w:rsid w:val="005D75A8"/>
    <w:rsid w:val="00720D91"/>
    <w:rsid w:val="007C7814"/>
    <w:rsid w:val="008E3B31"/>
    <w:rsid w:val="00997CA1"/>
    <w:rsid w:val="009A5274"/>
    <w:rsid w:val="00B31441"/>
    <w:rsid w:val="00C15435"/>
    <w:rsid w:val="00E370DC"/>
    <w:rsid w:val="00E40C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EFB7B"/>
  <w14:defaultImageDpi w14:val="32767"/>
  <w15:chartTrackingRefBased/>
  <w15:docId w15:val="{8ECC7481-DED1-3C40-A729-A777799E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75A8"/>
    <w:rPr>
      <w:color w:val="0563C1" w:themeColor="hyperlink"/>
      <w:u w:val="single"/>
    </w:rPr>
  </w:style>
  <w:style w:type="character" w:styleId="UnresolvedMention">
    <w:name w:val="Unresolved Mention"/>
    <w:basedOn w:val="DefaultParagraphFont"/>
    <w:uiPriority w:val="99"/>
    <w:rsid w:val="005D75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0-www-loebclassics-com.pugwash.lib.warwick.ac.uk/view/augustine-confessions_2014/2014/pb_LCL026.355.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1</Pages>
  <Words>587</Words>
  <Characters>3348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Lines, David</cp:lastModifiedBy>
  <cp:revision>4</cp:revision>
  <dcterms:created xsi:type="dcterms:W3CDTF">2019-09-07T13:10:00Z</dcterms:created>
  <dcterms:modified xsi:type="dcterms:W3CDTF">2019-10-07T20:51:00Z</dcterms:modified>
</cp:coreProperties>
</file>