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CE9C87" w14:textId="499B4A57" w:rsidR="0090239F" w:rsidRDefault="00634F14" w:rsidP="00634F14">
      <w:pPr>
        <w:pStyle w:val="NoSpacing"/>
        <w:rPr>
          <w:rFonts w:ascii="Arial" w:hAnsi="Arial" w:cs="Arial"/>
          <w:b/>
          <w:bCs/>
        </w:rPr>
      </w:pPr>
      <w:r>
        <w:rPr>
          <w:rFonts w:ascii="Arial" w:hAnsi="Arial" w:cs="Arial"/>
          <w:b/>
          <w:bCs/>
        </w:rPr>
        <w:t>An Age of Empires, Monarchies and Republics: The ‘Renaissance States’ as political entities</w:t>
      </w:r>
    </w:p>
    <w:p w14:paraId="657FDA6C" w14:textId="74EB53DF" w:rsidR="00634F14" w:rsidRDefault="00634F14" w:rsidP="00634F14">
      <w:pPr>
        <w:pStyle w:val="NoSpacing"/>
        <w:rPr>
          <w:rFonts w:ascii="Arial" w:hAnsi="Arial" w:cs="Arial"/>
          <w:b/>
          <w:bCs/>
        </w:rPr>
      </w:pPr>
    </w:p>
    <w:p w14:paraId="0E27BDE9" w14:textId="1A91D4CA" w:rsidR="00634F14" w:rsidRDefault="007D01AD" w:rsidP="00634F14">
      <w:pPr>
        <w:pStyle w:val="NoSpacing"/>
        <w:rPr>
          <w:rFonts w:ascii="Arial" w:hAnsi="Arial" w:cs="Arial"/>
          <w:sz w:val="20"/>
          <w:szCs w:val="20"/>
        </w:rPr>
      </w:pPr>
      <w:r w:rsidRPr="007D01AD">
        <w:rPr>
          <w:rFonts w:ascii="Arial" w:hAnsi="Arial" w:cs="Arial"/>
          <w:sz w:val="20"/>
          <w:szCs w:val="20"/>
        </w:rPr>
        <w:t>Thomas Pert</w:t>
      </w:r>
    </w:p>
    <w:p w14:paraId="679D1848" w14:textId="10B96643" w:rsidR="007D01AD" w:rsidRDefault="007D01AD" w:rsidP="00634F14">
      <w:pPr>
        <w:pStyle w:val="NoSpacing"/>
        <w:rPr>
          <w:rFonts w:ascii="Arial" w:hAnsi="Arial" w:cs="Arial"/>
          <w:sz w:val="20"/>
          <w:szCs w:val="20"/>
        </w:rPr>
      </w:pPr>
    </w:p>
    <w:p w14:paraId="19CBE71B" w14:textId="3E4FD469" w:rsidR="005E033B" w:rsidRDefault="005E033B" w:rsidP="00634F14">
      <w:pPr>
        <w:pStyle w:val="NoSpacing"/>
        <w:rPr>
          <w:rFonts w:ascii="Arial" w:hAnsi="Arial" w:cs="Arial"/>
          <w:sz w:val="20"/>
          <w:szCs w:val="20"/>
        </w:rPr>
      </w:pPr>
      <w:r>
        <w:rPr>
          <w:rFonts w:ascii="Arial" w:hAnsi="Arial" w:cs="Arial"/>
          <w:sz w:val="20"/>
          <w:szCs w:val="20"/>
        </w:rPr>
        <w:t xml:space="preserve">Renaissance Europe </w:t>
      </w:r>
      <w:r w:rsidR="0081118E">
        <w:rPr>
          <w:rFonts w:ascii="Arial" w:hAnsi="Arial" w:cs="Arial"/>
          <w:sz w:val="20"/>
          <w:szCs w:val="20"/>
        </w:rPr>
        <w:t>was made up of a wide range of different states with various political frameworks</w:t>
      </w:r>
      <w:r w:rsidR="001E4B1B">
        <w:rPr>
          <w:rFonts w:ascii="Arial" w:hAnsi="Arial" w:cs="Arial"/>
          <w:sz w:val="20"/>
          <w:szCs w:val="20"/>
        </w:rPr>
        <w:t xml:space="preserve"> from</w:t>
      </w:r>
      <w:r w:rsidR="0081118E">
        <w:rPr>
          <w:rFonts w:ascii="Arial" w:hAnsi="Arial" w:cs="Arial"/>
          <w:sz w:val="20"/>
          <w:szCs w:val="20"/>
        </w:rPr>
        <w:t xml:space="preserve"> the hereditary monarchies of England, Scotland and France</w:t>
      </w:r>
      <w:r w:rsidR="001E4B1B">
        <w:rPr>
          <w:rFonts w:ascii="Arial" w:hAnsi="Arial" w:cs="Arial"/>
          <w:sz w:val="20"/>
          <w:szCs w:val="20"/>
        </w:rPr>
        <w:t>,</w:t>
      </w:r>
      <w:r w:rsidR="0081118E">
        <w:rPr>
          <w:rFonts w:ascii="Arial" w:hAnsi="Arial" w:cs="Arial"/>
          <w:sz w:val="20"/>
          <w:szCs w:val="20"/>
        </w:rPr>
        <w:t xml:space="preserve"> the ‘composite monarchy’ of Habsburg Spain and its territorial possessions, to the emerging Dutch Republic and the </w:t>
      </w:r>
      <w:r w:rsidR="001E4B1B">
        <w:rPr>
          <w:rFonts w:ascii="Arial" w:hAnsi="Arial" w:cs="Arial"/>
          <w:sz w:val="20"/>
          <w:szCs w:val="20"/>
        </w:rPr>
        <w:t>internal hierarchy within the Holy Roman Empire under an elected Emperor. Even within the lands which constitute modern-day Italy there w</w:t>
      </w:r>
      <w:r w:rsidR="00255D8B">
        <w:rPr>
          <w:rFonts w:ascii="Arial" w:hAnsi="Arial" w:cs="Arial"/>
          <w:sz w:val="20"/>
          <w:szCs w:val="20"/>
        </w:rPr>
        <w:t>ere the Kingdoms of Sicily and Naples, the Republics of Venice and Florence, the Duchy of Savoy, and the Papal States</w:t>
      </w:r>
      <w:r w:rsidR="00795200">
        <w:rPr>
          <w:rFonts w:ascii="Arial" w:hAnsi="Arial" w:cs="Arial"/>
          <w:sz w:val="20"/>
          <w:szCs w:val="20"/>
        </w:rPr>
        <w:t xml:space="preserve"> overseen by a Pope elected by the College of Cardinals.</w:t>
      </w:r>
    </w:p>
    <w:p w14:paraId="12246D6F" w14:textId="1A86F1F3" w:rsidR="005E033B" w:rsidRDefault="005E033B" w:rsidP="00634F14">
      <w:pPr>
        <w:pStyle w:val="NoSpacing"/>
        <w:rPr>
          <w:rFonts w:ascii="Arial" w:hAnsi="Arial" w:cs="Arial"/>
          <w:sz w:val="20"/>
          <w:szCs w:val="20"/>
        </w:rPr>
      </w:pPr>
    </w:p>
    <w:p w14:paraId="45FCBAB6" w14:textId="0A2F51EA" w:rsidR="005E033B" w:rsidRDefault="005E033B" w:rsidP="00634F14">
      <w:pPr>
        <w:pStyle w:val="NoSpacing"/>
        <w:rPr>
          <w:rFonts w:ascii="Arial" w:hAnsi="Arial" w:cs="Arial"/>
          <w:sz w:val="20"/>
          <w:szCs w:val="20"/>
        </w:rPr>
      </w:pPr>
      <w:r>
        <w:rPr>
          <w:rFonts w:ascii="Arial" w:hAnsi="Arial" w:cs="Arial"/>
          <w:sz w:val="20"/>
          <w:szCs w:val="20"/>
        </w:rPr>
        <w:t xml:space="preserve">The lecture will provide an introduction to the </w:t>
      </w:r>
      <w:r w:rsidR="00823470">
        <w:rPr>
          <w:rFonts w:ascii="Arial" w:hAnsi="Arial" w:cs="Arial"/>
          <w:sz w:val="20"/>
          <w:szCs w:val="20"/>
        </w:rPr>
        <w:t xml:space="preserve">various political models, determining the central figures within each form of government as well as the extent of their power and the method by which they assumed the title of Emperor, King or Queen, Duke, Doge or Pope. </w:t>
      </w:r>
    </w:p>
    <w:p w14:paraId="14FD198C" w14:textId="4CC9CAC1" w:rsidR="00823470" w:rsidRDefault="00823470" w:rsidP="00634F14">
      <w:pPr>
        <w:pStyle w:val="NoSpacing"/>
        <w:rPr>
          <w:rFonts w:ascii="Arial" w:hAnsi="Arial" w:cs="Arial"/>
          <w:sz w:val="20"/>
          <w:szCs w:val="20"/>
        </w:rPr>
      </w:pPr>
    </w:p>
    <w:p w14:paraId="74741F1C" w14:textId="652B6A74" w:rsidR="00823470" w:rsidRDefault="00823470" w:rsidP="00634F14">
      <w:pPr>
        <w:pStyle w:val="NoSpacing"/>
        <w:rPr>
          <w:rFonts w:ascii="Arial" w:hAnsi="Arial" w:cs="Arial"/>
          <w:sz w:val="20"/>
          <w:szCs w:val="20"/>
        </w:rPr>
      </w:pPr>
      <w:r>
        <w:rPr>
          <w:rFonts w:ascii="Arial" w:hAnsi="Arial" w:cs="Arial"/>
          <w:sz w:val="20"/>
          <w:szCs w:val="20"/>
        </w:rPr>
        <w:t xml:space="preserve">In the seminar we will </w:t>
      </w:r>
      <w:r w:rsidR="003B3C05">
        <w:rPr>
          <w:rFonts w:ascii="Arial" w:hAnsi="Arial" w:cs="Arial"/>
          <w:sz w:val="20"/>
          <w:szCs w:val="20"/>
        </w:rPr>
        <w:t xml:space="preserve">look at a number of primary sources and </w:t>
      </w:r>
      <w:r>
        <w:rPr>
          <w:rFonts w:ascii="Arial" w:hAnsi="Arial" w:cs="Arial"/>
          <w:sz w:val="20"/>
          <w:szCs w:val="20"/>
        </w:rPr>
        <w:t xml:space="preserve">discuss the advantages and drawbacks of </w:t>
      </w:r>
      <w:r w:rsidR="003B3C05">
        <w:rPr>
          <w:rFonts w:ascii="Arial" w:hAnsi="Arial" w:cs="Arial"/>
          <w:sz w:val="20"/>
          <w:szCs w:val="20"/>
        </w:rPr>
        <w:t xml:space="preserve">each of the political frameworks covered in the lecture. We will also </w:t>
      </w:r>
      <w:r w:rsidR="003B62D2">
        <w:rPr>
          <w:rFonts w:ascii="Arial" w:hAnsi="Arial" w:cs="Arial"/>
          <w:sz w:val="20"/>
          <w:szCs w:val="20"/>
        </w:rPr>
        <w:t>use source materials to examine contemporary attitudes towards the generally accepted hierarchy of state types within Renaissance Europe.</w:t>
      </w:r>
    </w:p>
    <w:p w14:paraId="4EE6F49E" w14:textId="17948FF2" w:rsidR="00127E53" w:rsidRDefault="00127E53" w:rsidP="00634F14">
      <w:pPr>
        <w:pStyle w:val="NoSpacing"/>
        <w:rPr>
          <w:rFonts w:ascii="Arial" w:hAnsi="Arial" w:cs="Arial"/>
          <w:sz w:val="20"/>
          <w:szCs w:val="20"/>
        </w:rPr>
      </w:pPr>
    </w:p>
    <w:p w14:paraId="3962FB8D" w14:textId="75904D35" w:rsidR="00795200" w:rsidRPr="00823470" w:rsidRDefault="00823470" w:rsidP="00634F14">
      <w:pPr>
        <w:pStyle w:val="NoSpacing"/>
        <w:rPr>
          <w:rFonts w:ascii="Arial" w:hAnsi="Arial" w:cs="Arial"/>
          <w:sz w:val="20"/>
          <w:szCs w:val="20"/>
        </w:rPr>
      </w:pPr>
      <w:r>
        <w:rPr>
          <w:rFonts w:ascii="Arial" w:hAnsi="Arial" w:cs="Arial"/>
          <w:sz w:val="20"/>
          <w:szCs w:val="20"/>
        </w:rPr>
        <w:t xml:space="preserve">In preparation for the class, you should complete the </w:t>
      </w:r>
      <w:r>
        <w:rPr>
          <w:rFonts w:ascii="Arial" w:hAnsi="Arial" w:cs="Arial"/>
          <w:b/>
          <w:bCs/>
          <w:sz w:val="20"/>
          <w:szCs w:val="20"/>
        </w:rPr>
        <w:t xml:space="preserve">Essential Reading </w:t>
      </w:r>
      <w:r>
        <w:rPr>
          <w:rFonts w:ascii="Arial" w:hAnsi="Arial" w:cs="Arial"/>
          <w:sz w:val="20"/>
          <w:szCs w:val="20"/>
        </w:rPr>
        <w:t>listed below</w:t>
      </w:r>
      <w:r w:rsidR="003B62D2">
        <w:rPr>
          <w:rFonts w:ascii="Arial" w:hAnsi="Arial" w:cs="Arial"/>
          <w:sz w:val="20"/>
          <w:szCs w:val="20"/>
        </w:rPr>
        <w:t>. The content will be useful for both the lecture and the seminar.</w:t>
      </w:r>
      <w:r>
        <w:rPr>
          <w:rFonts w:ascii="Arial" w:hAnsi="Arial" w:cs="Arial"/>
          <w:sz w:val="20"/>
          <w:szCs w:val="20"/>
        </w:rPr>
        <w:t xml:space="preserve"> </w:t>
      </w:r>
    </w:p>
    <w:p w14:paraId="65232259" w14:textId="77777777" w:rsidR="00795200" w:rsidRDefault="00795200" w:rsidP="00634F14">
      <w:pPr>
        <w:pStyle w:val="NoSpacing"/>
        <w:rPr>
          <w:rFonts w:ascii="Arial" w:hAnsi="Arial" w:cs="Arial"/>
          <w:sz w:val="20"/>
          <w:szCs w:val="20"/>
        </w:rPr>
      </w:pPr>
    </w:p>
    <w:p w14:paraId="667102B9" w14:textId="69F2673A" w:rsidR="00127E53" w:rsidRDefault="00127E53" w:rsidP="00634F14">
      <w:pPr>
        <w:pStyle w:val="NoSpacing"/>
        <w:rPr>
          <w:rFonts w:ascii="Arial" w:hAnsi="Arial" w:cs="Arial"/>
          <w:b/>
          <w:bCs/>
          <w:sz w:val="20"/>
          <w:szCs w:val="20"/>
        </w:rPr>
      </w:pPr>
      <w:r>
        <w:rPr>
          <w:rFonts w:ascii="Arial" w:hAnsi="Arial" w:cs="Arial"/>
          <w:b/>
          <w:bCs/>
          <w:sz w:val="20"/>
          <w:szCs w:val="20"/>
        </w:rPr>
        <w:t>Assignment:</w:t>
      </w:r>
    </w:p>
    <w:p w14:paraId="136F0E44" w14:textId="77777777" w:rsidR="00127E53" w:rsidRPr="00127E53" w:rsidRDefault="00127E53" w:rsidP="00634F14">
      <w:pPr>
        <w:pStyle w:val="NoSpacing"/>
        <w:rPr>
          <w:rFonts w:ascii="Arial" w:hAnsi="Arial" w:cs="Arial"/>
          <w:sz w:val="20"/>
          <w:szCs w:val="20"/>
        </w:rPr>
      </w:pPr>
    </w:p>
    <w:p w14:paraId="09D9CF23" w14:textId="6A20223F" w:rsidR="00634F14" w:rsidRPr="000C7020" w:rsidRDefault="003B62D2" w:rsidP="00634F14">
      <w:pPr>
        <w:pStyle w:val="NoSpacing"/>
        <w:rPr>
          <w:rFonts w:ascii="Arial" w:hAnsi="Arial" w:cs="Arial"/>
          <w:b/>
          <w:bCs/>
        </w:rPr>
      </w:pPr>
      <w:r>
        <w:rPr>
          <w:rFonts w:ascii="Arial" w:hAnsi="Arial" w:cs="Arial"/>
        </w:rPr>
        <w:t xml:space="preserve">Complete the </w:t>
      </w:r>
      <w:r>
        <w:rPr>
          <w:rFonts w:ascii="Arial" w:hAnsi="Arial" w:cs="Arial"/>
          <w:b/>
          <w:bCs/>
        </w:rPr>
        <w:t xml:space="preserve">Essential Reading </w:t>
      </w:r>
      <w:r>
        <w:rPr>
          <w:rFonts w:ascii="Arial" w:hAnsi="Arial" w:cs="Arial"/>
        </w:rPr>
        <w:t xml:space="preserve">and come to the session prepared to discuss the questions </w:t>
      </w:r>
      <w:r>
        <w:rPr>
          <w:rFonts w:ascii="Arial" w:hAnsi="Arial" w:cs="Arial"/>
          <w:b/>
          <w:bCs/>
        </w:rPr>
        <w:t>‘What were the advantages and disadvantages of the different political frameworks of European States during the Renaissance?’</w:t>
      </w:r>
    </w:p>
    <w:p w14:paraId="143667AB" w14:textId="0633BC81" w:rsidR="00634F14" w:rsidRDefault="00634F14" w:rsidP="00634F14">
      <w:pPr>
        <w:pStyle w:val="NoSpacing"/>
        <w:rPr>
          <w:rFonts w:ascii="Arial" w:hAnsi="Arial" w:cs="Arial"/>
          <w:b/>
          <w:bCs/>
        </w:rPr>
      </w:pPr>
    </w:p>
    <w:p w14:paraId="09D348E1" w14:textId="099F9311" w:rsidR="00634F14" w:rsidRDefault="00634F14" w:rsidP="00634F14">
      <w:pPr>
        <w:pStyle w:val="NoSpacing"/>
        <w:rPr>
          <w:rFonts w:ascii="Arial" w:hAnsi="Arial" w:cs="Arial"/>
          <w:b/>
          <w:bCs/>
        </w:rPr>
      </w:pPr>
    </w:p>
    <w:p w14:paraId="49D9B6E9" w14:textId="65E75AD0" w:rsidR="00634F14" w:rsidRPr="00634F14" w:rsidRDefault="00634F14" w:rsidP="00634F14">
      <w:pPr>
        <w:pStyle w:val="NoSpacing"/>
        <w:rPr>
          <w:rFonts w:ascii="Arial" w:hAnsi="Arial" w:cs="Arial"/>
          <w:b/>
          <w:bCs/>
          <w:u w:val="single"/>
        </w:rPr>
      </w:pPr>
      <w:r w:rsidRPr="00634F14">
        <w:rPr>
          <w:rFonts w:ascii="Arial" w:hAnsi="Arial" w:cs="Arial"/>
          <w:b/>
          <w:bCs/>
          <w:u w:val="single"/>
        </w:rPr>
        <w:t>Reading List</w:t>
      </w:r>
    </w:p>
    <w:p w14:paraId="7793B8BF" w14:textId="23C77A9F" w:rsidR="00634F14" w:rsidRDefault="00634F14" w:rsidP="00634F14">
      <w:pPr>
        <w:pStyle w:val="NoSpacing"/>
        <w:rPr>
          <w:rFonts w:ascii="Arial" w:hAnsi="Arial" w:cs="Arial"/>
          <w:b/>
          <w:bCs/>
        </w:rPr>
      </w:pPr>
    </w:p>
    <w:p w14:paraId="36B7FA35" w14:textId="05C808CB" w:rsidR="002C61CD" w:rsidRDefault="002C61CD" w:rsidP="00634F14">
      <w:pPr>
        <w:pStyle w:val="NoSpacing"/>
        <w:rPr>
          <w:rFonts w:ascii="Arial" w:hAnsi="Arial" w:cs="Arial"/>
          <w:b/>
          <w:bCs/>
        </w:rPr>
      </w:pPr>
      <w:r>
        <w:rPr>
          <w:rFonts w:ascii="Arial" w:hAnsi="Arial" w:cs="Arial"/>
          <w:b/>
          <w:bCs/>
        </w:rPr>
        <w:t>Essential Reading</w:t>
      </w:r>
    </w:p>
    <w:p w14:paraId="4C1AA634" w14:textId="2AE60028" w:rsidR="003B62D2" w:rsidRPr="003B62D2" w:rsidRDefault="003B62D2" w:rsidP="003B62D2">
      <w:pPr>
        <w:pStyle w:val="NoSpacing"/>
        <w:numPr>
          <w:ilvl w:val="0"/>
          <w:numId w:val="5"/>
        </w:numPr>
        <w:rPr>
          <w:rFonts w:ascii="Arial" w:hAnsi="Arial" w:cs="Arial"/>
        </w:rPr>
      </w:pPr>
      <w:r>
        <w:rPr>
          <w:rFonts w:ascii="Arial" w:hAnsi="Arial" w:cs="Arial"/>
        </w:rPr>
        <w:t xml:space="preserve">John M. Hunt, ‘The Conclave from the “Outside In”: </w:t>
      </w:r>
      <w:proofErr w:type="spellStart"/>
      <w:r>
        <w:rPr>
          <w:rFonts w:ascii="Arial" w:hAnsi="Arial" w:cs="Arial"/>
        </w:rPr>
        <w:t>Rumor</w:t>
      </w:r>
      <w:proofErr w:type="spellEnd"/>
      <w:r>
        <w:rPr>
          <w:rFonts w:ascii="Arial" w:hAnsi="Arial" w:cs="Arial"/>
        </w:rPr>
        <w:t xml:space="preserve">, Speculation, and Disorder in Rome during Early Modern Papal Elections’, </w:t>
      </w:r>
      <w:r>
        <w:rPr>
          <w:rFonts w:ascii="Arial" w:hAnsi="Arial" w:cs="Arial"/>
          <w:i/>
          <w:iCs/>
        </w:rPr>
        <w:t xml:space="preserve">Journal of Early Modern History, </w:t>
      </w:r>
      <w:r>
        <w:rPr>
          <w:rFonts w:ascii="Arial" w:hAnsi="Arial" w:cs="Arial"/>
        </w:rPr>
        <w:t>16 (2012), pp.355-382</w:t>
      </w:r>
    </w:p>
    <w:p w14:paraId="3040FE8E" w14:textId="54A0DA51" w:rsidR="00651961" w:rsidRPr="003B62D2" w:rsidRDefault="00651961" w:rsidP="00651961">
      <w:pPr>
        <w:pStyle w:val="NoSpacing"/>
        <w:numPr>
          <w:ilvl w:val="0"/>
          <w:numId w:val="5"/>
        </w:numPr>
        <w:rPr>
          <w:rFonts w:ascii="Arial" w:hAnsi="Arial" w:cs="Arial"/>
          <w:b/>
          <w:bCs/>
        </w:rPr>
      </w:pPr>
      <w:r>
        <w:rPr>
          <w:rFonts w:ascii="Arial" w:hAnsi="Arial" w:cs="Arial"/>
        </w:rPr>
        <w:t>Stewart Mottram</w:t>
      </w:r>
      <w:r>
        <w:rPr>
          <w:rFonts w:ascii="Arial" w:hAnsi="Arial" w:cs="Arial"/>
        </w:rPr>
        <w:t xml:space="preserve">, </w:t>
      </w:r>
      <w:r>
        <w:rPr>
          <w:rFonts w:ascii="Arial" w:hAnsi="Arial" w:cs="Arial"/>
          <w:i/>
          <w:iCs/>
        </w:rPr>
        <w:t xml:space="preserve">Empire and Nation in Early English Renaissance Literature </w:t>
      </w:r>
      <w:r>
        <w:rPr>
          <w:rFonts w:ascii="Arial" w:hAnsi="Arial" w:cs="Arial"/>
        </w:rPr>
        <w:t>(2008)</w:t>
      </w:r>
      <w:r>
        <w:rPr>
          <w:rFonts w:ascii="Arial" w:hAnsi="Arial" w:cs="Arial"/>
        </w:rPr>
        <w:t>, Introduction: ‘Empire and this ‘</w:t>
      </w:r>
      <w:proofErr w:type="spellStart"/>
      <w:r>
        <w:rPr>
          <w:rFonts w:ascii="Arial" w:hAnsi="Arial" w:cs="Arial"/>
        </w:rPr>
        <w:t>Englyshe</w:t>
      </w:r>
      <w:proofErr w:type="spellEnd"/>
      <w:r>
        <w:rPr>
          <w:rFonts w:ascii="Arial" w:hAnsi="Arial" w:cs="Arial"/>
        </w:rPr>
        <w:t xml:space="preserve"> or </w:t>
      </w:r>
      <w:proofErr w:type="spellStart"/>
      <w:r>
        <w:rPr>
          <w:rFonts w:ascii="Arial" w:hAnsi="Arial" w:cs="Arial"/>
        </w:rPr>
        <w:t>Bryttyshe</w:t>
      </w:r>
      <w:proofErr w:type="spellEnd"/>
      <w:r>
        <w:rPr>
          <w:rFonts w:ascii="Arial" w:hAnsi="Arial" w:cs="Arial"/>
        </w:rPr>
        <w:t xml:space="preserve"> </w:t>
      </w:r>
      <w:proofErr w:type="spellStart"/>
      <w:r>
        <w:rPr>
          <w:rFonts w:ascii="Arial" w:hAnsi="Arial" w:cs="Arial"/>
        </w:rPr>
        <w:t>Nacyon</w:t>
      </w:r>
      <w:proofErr w:type="spellEnd"/>
      <w:r>
        <w:rPr>
          <w:rFonts w:ascii="Arial" w:hAnsi="Arial" w:cs="Arial"/>
        </w:rPr>
        <w:t>’</w:t>
      </w:r>
    </w:p>
    <w:p w14:paraId="39E442D2" w14:textId="041E2E05" w:rsidR="003B62D2" w:rsidRPr="003B62D2" w:rsidRDefault="003B62D2" w:rsidP="003B62D2">
      <w:pPr>
        <w:pStyle w:val="NoSpacing"/>
        <w:numPr>
          <w:ilvl w:val="0"/>
          <w:numId w:val="5"/>
        </w:numPr>
        <w:rPr>
          <w:rFonts w:ascii="Arial" w:hAnsi="Arial" w:cs="Arial"/>
        </w:rPr>
      </w:pPr>
      <w:r>
        <w:rPr>
          <w:rFonts w:ascii="Arial" w:hAnsi="Arial" w:cs="Arial"/>
        </w:rPr>
        <w:t xml:space="preserve">Andreas </w:t>
      </w:r>
      <w:proofErr w:type="spellStart"/>
      <w:r>
        <w:rPr>
          <w:rFonts w:ascii="Arial" w:hAnsi="Arial" w:cs="Arial"/>
        </w:rPr>
        <w:t>Osiander</w:t>
      </w:r>
      <w:proofErr w:type="spellEnd"/>
      <w:r>
        <w:rPr>
          <w:rFonts w:ascii="Arial" w:hAnsi="Arial" w:cs="Arial"/>
        </w:rPr>
        <w:t xml:space="preserve">, </w:t>
      </w:r>
      <w:r>
        <w:rPr>
          <w:rFonts w:ascii="Arial" w:hAnsi="Arial" w:cs="Arial"/>
          <w:i/>
          <w:iCs/>
        </w:rPr>
        <w:t xml:space="preserve">The States System of Europe, 1640-1990: </w:t>
      </w:r>
      <w:proofErr w:type="spellStart"/>
      <w:r>
        <w:rPr>
          <w:rFonts w:ascii="Arial" w:hAnsi="Arial" w:cs="Arial"/>
          <w:i/>
          <w:iCs/>
        </w:rPr>
        <w:t>Peacemaking</w:t>
      </w:r>
      <w:proofErr w:type="spellEnd"/>
      <w:r>
        <w:rPr>
          <w:rFonts w:ascii="Arial" w:hAnsi="Arial" w:cs="Arial"/>
          <w:i/>
          <w:iCs/>
        </w:rPr>
        <w:t xml:space="preserve"> and the Conditions of International Stability </w:t>
      </w:r>
      <w:r>
        <w:rPr>
          <w:rFonts w:ascii="Arial" w:hAnsi="Arial" w:cs="Arial"/>
        </w:rPr>
        <w:t>(Oxford, 1994), pp.82-89.</w:t>
      </w:r>
    </w:p>
    <w:p w14:paraId="08354E98" w14:textId="0D3B1FD6" w:rsidR="00651961" w:rsidRPr="00651961" w:rsidRDefault="00651961" w:rsidP="00651961">
      <w:pPr>
        <w:pStyle w:val="NoSpacing"/>
        <w:numPr>
          <w:ilvl w:val="0"/>
          <w:numId w:val="5"/>
        </w:numPr>
        <w:rPr>
          <w:rFonts w:ascii="Arial" w:hAnsi="Arial" w:cs="Arial"/>
          <w:b/>
          <w:bCs/>
        </w:rPr>
      </w:pPr>
      <w:r>
        <w:rPr>
          <w:rFonts w:ascii="Arial" w:hAnsi="Arial" w:cs="Arial"/>
        </w:rPr>
        <w:t xml:space="preserve">Joachim Whaley, </w:t>
      </w:r>
      <w:r>
        <w:rPr>
          <w:rFonts w:ascii="Arial" w:hAnsi="Arial" w:cs="Arial"/>
          <w:i/>
          <w:iCs/>
        </w:rPr>
        <w:t xml:space="preserve">Germany and the Holy Roman Empire: Volume I: Maximilian I to the Peace of Westphalia, 1493-1648 </w:t>
      </w:r>
      <w:r>
        <w:rPr>
          <w:rFonts w:ascii="Arial" w:hAnsi="Arial" w:cs="Arial"/>
        </w:rPr>
        <w:t>(Oxford, 2011)</w:t>
      </w:r>
      <w:r>
        <w:rPr>
          <w:rFonts w:ascii="Arial" w:hAnsi="Arial" w:cs="Arial"/>
        </w:rPr>
        <w:t xml:space="preserve">, Chapter 1: </w:t>
      </w:r>
      <w:r>
        <w:rPr>
          <w:rFonts w:ascii="Arial" w:hAnsi="Arial" w:cs="Arial"/>
        </w:rPr>
        <w:t>‘Germany and the Holy Roman Empire in 1500’</w:t>
      </w:r>
    </w:p>
    <w:p w14:paraId="3ED40322" w14:textId="6688FB2D" w:rsidR="002C61CD" w:rsidRDefault="002C61CD" w:rsidP="00634F14">
      <w:pPr>
        <w:pStyle w:val="NoSpacing"/>
        <w:rPr>
          <w:rFonts w:ascii="Arial" w:hAnsi="Arial" w:cs="Arial"/>
          <w:b/>
          <w:bCs/>
        </w:rPr>
      </w:pPr>
    </w:p>
    <w:p w14:paraId="37464220" w14:textId="58AC7727" w:rsidR="00110D00" w:rsidRPr="00110D00" w:rsidRDefault="002C61CD" w:rsidP="00110D00">
      <w:pPr>
        <w:pStyle w:val="NoSpacing"/>
        <w:rPr>
          <w:rFonts w:ascii="Arial" w:hAnsi="Arial" w:cs="Arial"/>
          <w:b/>
          <w:bCs/>
        </w:rPr>
      </w:pPr>
      <w:r>
        <w:rPr>
          <w:rFonts w:ascii="Arial" w:hAnsi="Arial" w:cs="Arial"/>
          <w:b/>
          <w:bCs/>
        </w:rPr>
        <w:t>Recommended Reading</w:t>
      </w:r>
    </w:p>
    <w:p w14:paraId="1D63A6F6" w14:textId="77777777" w:rsidR="00110D00" w:rsidRPr="001C19F9" w:rsidRDefault="00110D00" w:rsidP="00110D00">
      <w:pPr>
        <w:pStyle w:val="NoSpacing"/>
        <w:numPr>
          <w:ilvl w:val="0"/>
          <w:numId w:val="4"/>
        </w:numPr>
        <w:rPr>
          <w:rFonts w:ascii="Arial" w:hAnsi="Arial" w:cs="Arial"/>
          <w:b/>
          <w:bCs/>
        </w:rPr>
      </w:pPr>
      <w:r>
        <w:rPr>
          <w:rFonts w:ascii="Arial" w:hAnsi="Arial" w:cs="Arial"/>
        </w:rPr>
        <w:t xml:space="preserve">Sandro </w:t>
      </w:r>
      <w:proofErr w:type="spellStart"/>
      <w:r>
        <w:rPr>
          <w:rFonts w:ascii="Arial" w:hAnsi="Arial" w:cs="Arial"/>
        </w:rPr>
        <w:t>Carocci</w:t>
      </w:r>
      <w:proofErr w:type="spellEnd"/>
      <w:r>
        <w:rPr>
          <w:rFonts w:ascii="Arial" w:hAnsi="Arial" w:cs="Arial"/>
        </w:rPr>
        <w:t xml:space="preserve">, ‘The Papal State’, in Andrea </w:t>
      </w:r>
      <w:proofErr w:type="spellStart"/>
      <w:r>
        <w:rPr>
          <w:rFonts w:ascii="Arial" w:hAnsi="Arial" w:cs="Arial"/>
        </w:rPr>
        <w:t>Gamberini</w:t>
      </w:r>
      <w:proofErr w:type="spellEnd"/>
      <w:r>
        <w:rPr>
          <w:rFonts w:ascii="Arial" w:hAnsi="Arial" w:cs="Arial"/>
        </w:rPr>
        <w:t xml:space="preserve"> and Isabella </w:t>
      </w:r>
      <w:proofErr w:type="spellStart"/>
      <w:r>
        <w:rPr>
          <w:rFonts w:ascii="Arial" w:hAnsi="Arial" w:cs="Arial"/>
        </w:rPr>
        <w:t>Lazzarini</w:t>
      </w:r>
      <w:proofErr w:type="spellEnd"/>
      <w:r>
        <w:rPr>
          <w:rFonts w:ascii="Arial" w:hAnsi="Arial" w:cs="Arial"/>
        </w:rPr>
        <w:t xml:space="preserve"> (eds.), </w:t>
      </w:r>
      <w:r>
        <w:rPr>
          <w:rFonts w:ascii="Arial" w:hAnsi="Arial" w:cs="Arial"/>
          <w:i/>
          <w:iCs/>
        </w:rPr>
        <w:t xml:space="preserve">The Italian Renaissance State </w:t>
      </w:r>
      <w:r>
        <w:rPr>
          <w:rFonts w:ascii="Arial" w:hAnsi="Arial" w:cs="Arial"/>
        </w:rPr>
        <w:t>(Cambridge, 2012), pp. 69-89.</w:t>
      </w:r>
    </w:p>
    <w:p w14:paraId="1308DCF9" w14:textId="77777777" w:rsidR="00110D00" w:rsidRDefault="00110D00" w:rsidP="00110D00">
      <w:pPr>
        <w:pStyle w:val="NoSpacing"/>
        <w:numPr>
          <w:ilvl w:val="0"/>
          <w:numId w:val="4"/>
        </w:numPr>
        <w:rPr>
          <w:rFonts w:ascii="Arial" w:hAnsi="Arial" w:cs="Arial"/>
          <w:b/>
          <w:bCs/>
        </w:rPr>
      </w:pPr>
      <w:r>
        <w:rPr>
          <w:rFonts w:ascii="Arial" w:hAnsi="Arial" w:cs="Arial"/>
        </w:rPr>
        <w:t xml:space="preserve">Giorgio </w:t>
      </w:r>
      <w:proofErr w:type="spellStart"/>
      <w:r>
        <w:rPr>
          <w:rFonts w:ascii="Arial" w:hAnsi="Arial" w:cs="Arial"/>
        </w:rPr>
        <w:t>Chittolini</w:t>
      </w:r>
      <w:proofErr w:type="spellEnd"/>
      <w:r>
        <w:rPr>
          <w:rFonts w:ascii="Arial" w:hAnsi="Arial" w:cs="Arial"/>
        </w:rPr>
        <w:t xml:space="preserve">, ‘The Papacy and the Italian States’, in Andrea </w:t>
      </w:r>
      <w:proofErr w:type="spellStart"/>
      <w:r>
        <w:rPr>
          <w:rFonts w:ascii="Arial" w:hAnsi="Arial" w:cs="Arial"/>
        </w:rPr>
        <w:t>Gamberini</w:t>
      </w:r>
      <w:proofErr w:type="spellEnd"/>
      <w:r>
        <w:rPr>
          <w:rFonts w:ascii="Arial" w:hAnsi="Arial" w:cs="Arial"/>
        </w:rPr>
        <w:t xml:space="preserve"> and Isabella </w:t>
      </w:r>
      <w:proofErr w:type="spellStart"/>
      <w:r>
        <w:rPr>
          <w:rFonts w:ascii="Arial" w:hAnsi="Arial" w:cs="Arial"/>
        </w:rPr>
        <w:t>Lazzarini</w:t>
      </w:r>
      <w:proofErr w:type="spellEnd"/>
      <w:r>
        <w:rPr>
          <w:rFonts w:ascii="Arial" w:hAnsi="Arial" w:cs="Arial"/>
        </w:rPr>
        <w:t xml:space="preserve"> (eds.), </w:t>
      </w:r>
      <w:r>
        <w:rPr>
          <w:rFonts w:ascii="Arial" w:hAnsi="Arial" w:cs="Arial"/>
          <w:i/>
          <w:iCs/>
        </w:rPr>
        <w:t xml:space="preserve">The Italian Renaissance State </w:t>
      </w:r>
      <w:r>
        <w:rPr>
          <w:rFonts w:ascii="Arial" w:hAnsi="Arial" w:cs="Arial"/>
        </w:rPr>
        <w:t>(Cambridge, 2012), pp. 467-489.</w:t>
      </w:r>
    </w:p>
    <w:p w14:paraId="124EF036" w14:textId="77349508" w:rsidR="00E748F5" w:rsidRPr="00E748F5" w:rsidRDefault="00E748F5" w:rsidP="00651961">
      <w:pPr>
        <w:pStyle w:val="NoSpacing"/>
        <w:numPr>
          <w:ilvl w:val="0"/>
          <w:numId w:val="4"/>
        </w:numPr>
        <w:rPr>
          <w:rFonts w:ascii="Arial" w:hAnsi="Arial" w:cs="Arial"/>
          <w:b/>
          <w:bCs/>
        </w:rPr>
      </w:pPr>
      <w:r>
        <w:rPr>
          <w:rFonts w:ascii="Arial" w:hAnsi="Arial" w:cs="Arial"/>
        </w:rPr>
        <w:t xml:space="preserve">James B. Collins, </w:t>
      </w:r>
      <w:r>
        <w:rPr>
          <w:rFonts w:ascii="Arial" w:hAnsi="Arial" w:cs="Arial"/>
          <w:i/>
          <w:iCs/>
        </w:rPr>
        <w:t xml:space="preserve">The State in Early Modern France </w:t>
      </w:r>
      <w:r>
        <w:rPr>
          <w:rFonts w:ascii="Arial" w:hAnsi="Arial" w:cs="Arial"/>
        </w:rPr>
        <w:t>(Cambridge, 1995), Introduction: ‘Historical Background: The growth of the French state to 1627’</w:t>
      </w:r>
    </w:p>
    <w:p w14:paraId="41AA8AB9" w14:textId="4775A81E" w:rsidR="00E748F5" w:rsidRDefault="00E748F5" w:rsidP="00E748F5">
      <w:pPr>
        <w:pStyle w:val="NoSpacing"/>
        <w:numPr>
          <w:ilvl w:val="0"/>
          <w:numId w:val="4"/>
        </w:numPr>
        <w:rPr>
          <w:rFonts w:ascii="Arial" w:hAnsi="Arial" w:cs="Arial"/>
          <w:b/>
          <w:bCs/>
        </w:rPr>
      </w:pPr>
      <w:proofErr w:type="spellStart"/>
      <w:r>
        <w:rPr>
          <w:rFonts w:ascii="Arial" w:hAnsi="Arial" w:cs="Arial"/>
        </w:rPr>
        <w:t>Liesbeth</w:t>
      </w:r>
      <w:proofErr w:type="spellEnd"/>
      <w:r>
        <w:rPr>
          <w:rFonts w:ascii="Arial" w:hAnsi="Arial" w:cs="Arial"/>
        </w:rPr>
        <w:t xml:space="preserve"> </w:t>
      </w:r>
      <w:proofErr w:type="spellStart"/>
      <w:r>
        <w:rPr>
          <w:rFonts w:ascii="Arial" w:hAnsi="Arial" w:cs="Arial"/>
        </w:rPr>
        <w:t>Geevers</w:t>
      </w:r>
      <w:proofErr w:type="spellEnd"/>
      <w:r>
        <w:rPr>
          <w:rFonts w:ascii="Arial" w:hAnsi="Arial" w:cs="Arial"/>
        </w:rPr>
        <w:t xml:space="preserve">, ‘Dynasty and State Building in the Spanish Habsburg Monarchy: The Career of Emanuele Filiberto of Savoy (1588-1624)’, </w:t>
      </w:r>
      <w:r>
        <w:rPr>
          <w:rFonts w:ascii="Arial" w:hAnsi="Arial" w:cs="Arial"/>
          <w:i/>
          <w:iCs/>
        </w:rPr>
        <w:t>Journal of Early Modern History</w:t>
      </w:r>
      <w:r>
        <w:rPr>
          <w:rFonts w:ascii="Arial" w:hAnsi="Arial" w:cs="Arial"/>
        </w:rPr>
        <w:t>, 20 (2016), pp.267-292</w:t>
      </w:r>
    </w:p>
    <w:p w14:paraId="70C2333D" w14:textId="3F25216F" w:rsidR="00110D00" w:rsidRPr="00110D00" w:rsidRDefault="00110D00" w:rsidP="00651961">
      <w:pPr>
        <w:pStyle w:val="NoSpacing"/>
        <w:numPr>
          <w:ilvl w:val="0"/>
          <w:numId w:val="4"/>
        </w:numPr>
        <w:rPr>
          <w:rFonts w:ascii="Arial" w:hAnsi="Arial" w:cs="Arial"/>
          <w:b/>
          <w:bCs/>
        </w:rPr>
      </w:pPr>
      <w:r>
        <w:rPr>
          <w:rFonts w:ascii="Arial" w:hAnsi="Arial" w:cs="Arial"/>
        </w:rPr>
        <w:lastRenderedPageBreak/>
        <w:t xml:space="preserve">Jonathan I. Israel, </w:t>
      </w:r>
      <w:r>
        <w:rPr>
          <w:rFonts w:ascii="Arial" w:hAnsi="Arial" w:cs="Arial"/>
          <w:i/>
          <w:iCs/>
        </w:rPr>
        <w:t xml:space="preserve">The Dutch Republic: Its Rise, Greatness, and Fall 1477-1806 </w:t>
      </w:r>
      <w:r>
        <w:rPr>
          <w:rFonts w:ascii="Arial" w:hAnsi="Arial" w:cs="Arial"/>
        </w:rPr>
        <w:t>(Oxford, 1995)</w:t>
      </w:r>
      <w:r>
        <w:rPr>
          <w:rFonts w:ascii="Arial" w:hAnsi="Arial" w:cs="Arial"/>
        </w:rPr>
        <w:t>, Chapter 13: ‘The Institutions of the Republic’</w:t>
      </w:r>
    </w:p>
    <w:p w14:paraId="01B0AE0F" w14:textId="20E0CC17" w:rsidR="003B3C05" w:rsidRPr="003B3C05" w:rsidRDefault="003B3C05" w:rsidP="003B3C05">
      <w:pPr>
        <w:pStyle w:val="NoSpacing"/>
        <w:numPr>
          <w:ilvl w:val="0"/>
          <w:numId w:val="4"/>
        </w:numPr>
        <w:rPr>
          <w:rFonts w:ascii="Arial" w:hAnsi="Arial" w:cs="Arial"/>
          <w:b/>
          <w:bCs/>
        </w:rPr>
      </w:pPr>
      <w:r>
        <w:rPr>
          <w:rFonts w:ascii="Arial" w:hAnsi="Arial" w:cs="Arial"/>
        </w:rPr>
        <w:t xml:space="preserve">Michael Knapton, ‘Venice and the </w:t>
      </w:r>
      <w:proofErr w:type="spellStart"/>
      <w:r>
        <w:rPr>
          <w:rFonts w:ascii="Arial" w:hAnsi="Arial" w:cs="Arial"/>
        </w:rPr>
        <w:t>Terraferma</w:t>
      </w:r>
      <w:proofErr w:type="spellEnd"/>
      <w:r>
        <w:rPr>
          <w:rFonts w:ascii="Arial" w:hAnsi="Arial" w:cs="Arial"/>
        </w:rPr>
        <w:t xml:space="preserve">’, in Andrea </w:t>
      </w:r>
      <w:proofErr w:type="spellStart"/>
      <w:r>
        <w:rPr>
          <w:rFonts w:ascii="Arial" w:hAnsi="Arial" w:cs="Arial"/>
        </w:rPr>
        <w:t>Gamberini</w:t>
      </w:r>
      <w:proofErr w:type="spellEnd"/>
      <w:r>
        <w:rPr>
          <w:rFonts w:ascii="Arial" w:hAnsi="Arial" w:cs="Arial"/>
        </w:rPr>
        <w:t xml:space="preserve"> and Isabella </w:t>
      </w:r>
      <w:proofErr w:type="spellStart"/>
      <w:r>
        <w:rPr>
          <w:rFonts w:ascii="Arial" w:hAnsi="Arial" w:cs="Arial"/>
        </w:rPr>
        <w:t>Lazzarini</w:t>
      </w:r>
      <w:proofErr w:type="spellEnd"/>
      <w:r>
        <w:rPr>
          <w:rFonts w:ascii="Arial" w:hAnsi="Arial" w:cs="Arial"/>
        </w:rPr>
        <w:t xml:space="preserve"> (eds.), </w:t>
      </w:r>
      <w:r>
        <w:rPr>
          <w:rFonts w:ascii="Arial" w:hAnsi="Arial" w:cs="Arial"/>
          <w:i/>
          <w:iCs/>
        </w:rPr>
        <w:t xml:space="preserve">The Italian Renaissance State </w:t>
      </w:r>
      <w:r>
        <w:rPr>
          <w:rFonts w:ascii="Arial" w:hAnsi="Arial" w:cs="Arial"/>
        </w:rPr>
        <w:t>(Cambridge, 2012), pp.132-155.</w:t>
      </w:r>
    </w:p>
    <w:p w14:paraId="0E8078A4" w14:textId="34AD916C" w:rsidR="00110D00" w:rsidRPr="00110D00" w:rsidRDefault="00110D00" w:rsidP="00651961">
      <w:pPr>
        <w:pStyle w:val="NoSpacing"/>
        <w:numPr>
          <w:ilvl w:val="0"/>
          <w:numId w:val="4"/>
        </w:numPr>
        <w:rPr>
          <w:rFonts w:ascii="Arial" w:hAnsi="Arial" w:cs="Arial"/>
          <w:b/>
          <w:bCs/>
        </w:rPr>
      </w:pPr>
      <w:proofErr w:type="spellStart"/>
      <w:r>
        <w:rPr>
          <w:rFonts w:ascii="Arial" w:hAnsi="Arial" w:cs="Arial"/>
        </w:rPr>
        <w:t>Lauro</w:t>
      </w:r>
      <w:proofErr w:type="spellEnd"/>
      <w:r>
        <w:rPr>
          <w:rFonts w:ascii="Arial" w:hAnsi="Arial" w:cs="Arial"/>
        </w:rPr>
        <w:t xml:space="preserve"> </w:t>
      </w:r>
      <w:proofErr w:type="spellStart"/>
      <w:r>
        <w:rPr>
          <w:rFonts w:ascii="Arial" w:hAnsi="Arial" w:cs="Arial"/>
        </w:rPr>
        <w:t>Martines</w:t>
      </w:r>
      <w:proofErr w:type="spellEnd"/>
      <w:r>
        <w:rPr>
          <w:rFonts w:ascii="Arial" w:hAnsi="Arial" w:cs="Arial"/>
        </w:rPr>
        <w:t xml:space="preserve">, </w:t>
      </w:r>
      <w:r>
        <w:rPr>
          <w:rFonts w:ascii="Arial" w:hAnsi="Arial" w:cs="Arial"/>
          <w:i/>
          <w:iCs/>
        </w:rPr>
        <w:t xml:space="preserve">Power and imagination: city-states in Renaissance Italy </w:t>
      </w:r>
      <w:r>
        <w:rPr>
          <w:rFonts w:ascii="Arial" w:hAnsi="Arial" w:cs="Arial"/>
        </w:rPr>
        <w:t>(Baltimore, 1988)</w:t>
      </w:r>
      <w:r>
        <w:rPr>
          <w:rFonts w:ascii="Arial" w:hAnsi="Arial" w:cs="Arial"/>
        </w:rPr>
        <w:t>, Chapter IX: ‘Oligarchy: Renaissance Republics’</w:t>
      </w:r>
    </w:p>
    <w:p w14:paraId="5DA36918" w14:textId="2FB541FC" w:rsidR="00A64EF6" w:rsidRPr="00A64EF6" w:rsidRDefault="00A64EF6" w:rsidP="00651961">
      <w:pPr>
        <w:pStyle w:val="NoSpacing"/>
        <w:numPr>
          <w:ilvl w:val="0"/>
          <w:numId w:val="4"/>
        </w:numPr>
        <w:rPr>
          <w:rFonts w:ascii="Arial" w:hAnsi="Arial" w:cs="Arial"/>
        </w:rPr>
      </w:pPr>
      <w:r w:rsidRPr="00A64EF6">
        <w:rPr>
          <w:rFonts w:ascii="Arial" w:hAnsi="Arial" w:cs="Arial"/>
        </w:rPr>
        <w:t xml:space="preserve">M. Christina Molinari, ‘How the Republic of Venice chose its Doge: lot-based elections and supermajority rule’, </w:t>
      </w:r>
      <w:r w:rsidRPr="00A64EF6">
        <w:rPr>
          <w:rFonts w:ascii="Arial" w:hAnsi="Arial" w:cs="Arial"/>
          <w:i/>
          <w:iCs/>
        </w:rPr>
        <w:t>Constitutional Political Economy</w:t>
      </w:r>
      <w:r w:rsidRPr="00A64EF6">
        <w:rPr>
          <w:rFonts w:ascii="Arial" w:hAnsi="Arial" w:cs="Arial"/>
        </w:rPr>
        <w:t>, 31 (2020), pp.169-187</w:t>
      </w:r>
    </w:p>
    <w:p w14:paraId="610309C6" w14:textId="7D41BAAD" w:rsidR="00634F14" w:rsidRDefault="00651961" w:rsidP="00651961">
      <w:pPr>
        <w:pStyle w:val="NoSpacing"/>
        <w:numPr>
          <w:ilvl w:val="0"/>
          <w:numId w:val="4"/>
        </w:numPr>
        <w:rPr>
          <w:rFonts w:ascii="Arial" w:hAnsi="Arial" w:cs="Arial"/>
          <w:b/>
          <w:bCs/>
        </w:rPr>
      </w:pPr>
      <w:r>
        <w:rPr>
          <w:rFonts w:ascii="Arial" w:hAnsi="Arial" w:cs="Arial"/>
        </w:rPr>
        <w:t xml:space="preserve">Stewart Mottram (ed.), </w:t>
      </w:r>
      <w:r>
        <w:rPr>
          <w:rFonts w:ascii="Arial" w:hAnsi="Arial" w:cs="Arial"/>
          <w:i/>
          <w:iCs/>
        </w:rPr>
        <w:t xml:space="preserve">Empire and Nation in Early English Renaissance Literature </w:t>
      </w:r>
      <w:r>
        <w:rPr>
          <w:rFonts w:ascii="Arial" w:hAnsi="Arial" w:cs="Arial"/>
        </w:rPr>
        <w:t>(2008),</w:t>
      </w:r>
      <w:r>
        <w:rPr>
          <w:rFonts w:ascii="Arial" w:hAnsi="Arial" w:cs="Arial"/>
        </w:rPr>
        <w:t xml:space="preserve"> </w:t>
      </w:r>
      <w:r w:rsidR="00E748F5">
        <w:rPr>
          <w:rFonts w:ascii="Arial" w:hAnsi="Arial" w:cs="Arial"/>
        </w:rPr>
        <w:t>Chapter 1: ‘England’s Empire Apart: The Entry of Charles V and Henry VIII (1522)’</w:t>
      </w:r>
    </w:p>
    <w:p w14:paraId="083DE431" w14:textId="280E674A" w:rsidR="00110D00" w:rsidRPr="00110D00" w:rsidRDefault="00110D00" w:rsidP="00110D00">
      <w:pPr>
        <w:pStyle w:val="NoSpacing"/>
        <w:numPr>
          <w:ilvl w:val="0"/>
          <w:numId w:val="4"/>
        </w:numPr>
        <w:rPr>
          <w:rFonts w:ascii="Arial" w:hAnsi="Arial" w:cs="Arial"/>
          <w:b/>
          <w:bCs/>
        </w:rPr>
      </w:pPr>
      <w:r>
        <w:rPr>
          <w:rFonts w:ascii="Arial" w:hAnsi="Arial" w:cs="Arial"/>
        </w:rPr>
        <w:t xml:space="preserve">Lorenzo </w:t>
      </w:r>
      <w:proofErr w:type="spellStart"/>
      <w:r>
        <w:rPr>
          <w:rFonts w:ascii="Arial" w:hAnsi="Arial" w:cs="Arial"/>
        </w:rPr>
        <w:t>Tanzini</w:t>
      </w:r>
      <w:proofErr w:type="spellEnd"/>
      <w:r>
        <w:rPr>
          <w:rFonts w:ascii="Arial" w:hAnsi="Arial" w:cs="Arial"/>
        </w:rPr>
        <w:t xml:space="preserve">, ‘Tuscan States: Florence and Siena’, in in Andrea </w:t>
      </w:r>
      <w:proofErr w:type="spellStart"/>
      <w:r>
        <w:rPr>
          <w:rFonts w:ascii="Arial" w:hAnsi="Arial" w:cs="Arial"/>
        </w:rPr>
        <w:t>Gamberini</w:t>
      </w:r>
      <w:proofErr w:type="spellEnd"/>
      <w:r>
        <w:rPr>
          <w:rFonts w:ascii="Arial" w:hAnsi="Arial" w:cs="Arial"/>
        </w:rPr>
        <w:t xml:space="preserve"> and Isabella </w:t>
      </w:r>
      <w:proofErr w:type="spellStart"/>
      <w:r>
        <w:rPr>
          <w:rFonts w:ascii="Arial" w:hAnsi="Arial" w:cs="Arial"/>
        </w:rPr>
        <w:t>Lazzarini</w:t>
      </w:r>
      <w:proofErr w:type="spellEnd"/>
      <w:r>
        <w:rPr>
          <w:rFonts w:ascii="Arial" w:hAnsi="Arial" w:cs="Arial"/>
        </w:rPr>
        <w:t xml:space="preserve"> (eds.), </w:t>
      </w:r>
      <w:r>
        <w:rPr>
          <w:rFonts w:ascii="Arial" w:hAnsi="Arial" w:cs="Arial"/>
          <w:i/>
          <w:iCs/>
        </w:rPr>
        <w:t xml:space="preserve">The Italian Renaissance State </w:t>
      </w:r>
      <w:r>
        <w:rPr>
          <w:rFonts w:ascii="Arial" w:hAnsi="Arial" w:cs="Arial"/>
        </w:rPr>
        <w:t>(Cambridge, 2012), pp.90-111.</w:t>
      </w:r>
    </w:p>
    <w:p w14:paraId="2F053B02" w14:textId="30ACB82A" w:rsidR="00634F14" w:rsidRPr="001D5D06" w:rsidRDefault="00DC132E" w:rsidP="001D5D06">
      <w:pPr>
        <w:pStyle w:val="NoSpacing"/>
        <w:numPr>
          <w:ilvl w:val="0"/>
          <w:numId w:val="4"/>
        </w:numPr>
        <w:rPr>
          <w:rFonts w:ascii="Arial" w:hAnsi="Arial" w:cs="Arial"/>
        </w:rPr>
      </w:pPr>
      <w:r>
        <w:rPr>
          <w:rFonts w:ascii="Arial" w:hAnsi="Arial" w:cs="Arial"/>
        </w:rPr>
        <w:t xml:space="preserve">Peter H. Wilson, </w:t>
      </w:r>
      <w:r>
        <w:rPr>
          <w:rFonts w:ascii="Arial" w:hAnsi="Arial" w:cs="Arial"/>
          <w:i/>
          <w:iCs/>
        </w:rPr>
        <w:t xml:space="preserve">The Holy Roman Empire, 1495-1806 </w:t>
      </w:r>
      <w:r>
        <w:rPr>
          <w:rFonts w:ascii="Arial" w:hAnsi="Arial" w:cs="Arial"/>
        </w:rPr>
        <w:t>(2</w:t>
      </w:r>
      <w:r w:rsidRPr="00DC132E">
        <w:rPr>
          <w:rFonts w:ascii="Arial" w:hAnsi="Arial" w:cs="Arial"/>
          <w:vertAlign w:val="superscript"/>
        </w:rPr>
        <w:t>nd</w:t>
      </w:r>
      <w:r>
        <w:rPr>
          <w:rFonts w:ascii="Arial" w:hAnsi="Arial" w:cs="Arial"/>
        </w:rPr>
        <w:t xml:space="preserve"> ed., 2011), pp. 1-3 and 21-50.</w:t>
      </w:r>
    </w:p>
    <w:sectPr w:rsidR="00634F14" w:rsidRPr="001D5D0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04D21"/>
    <w:multiLevelType w:val="hybridMultilevel"/>
    <w:tmpl w:val="B4B06AD0"/>
    <w:lvl w:ilvl="0" w:tplc="CB60BA68">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D2C0427"/>
    <w:multiLevelType w:val="hybridMultilevel"/>
    <w:tmpl w:val="05FACA14"/>
    <w:lvl w:ilvl="0" w:tplc="E2F0B2CE">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D54A30"/>
    <w:multiLevelType w:val="hybridMultilevel"/>
    <w:tmpl w:val="4718C5A0"/>
    <w:lvl w:ilvl="0" w:tplc="FD4C103C">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A7A4685"/>
    <w:multiLevelType w:val="hybridMultilevel"/>
    <w:tmpl w:val="B4B29106"/>
    <w:lvl w:ilvl="0" w:tplc="E52ED032">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4E5413D"/>
    <w:multiLevelType w:val="hybridMultilevel"/>
    <w:tmpl w:val="BEF0B344"/>
    <w:lvl w:ilvl="0" w:tplc="643CBB5E">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76739582">
    <w:abstractNumId w:val="4"/>
  </w:num>
  <w:num w:numId="2" w16cid:durableId="2044207088">
    <w:abstractNumId w:val="1"/>
  </w:num>
  <w:num w:numId="3" w16cid:durableId="1963265921">
    <w:abstractNumId w:val="3"/>
  </w:num>
  <w:num w:numId="4" w16cid:durableId="1521626868">
    <w:abstractNumId w:val="2"/>
  </w:num>
  <w:num w:numId="5" w16cid:durableId="1577724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4F14"/>
    <w:rsid w:val="000301D9"/>
    <w:rsid w:val="000C7020"/>
    <w:rsid w:val="00110D00"/>
    <w:rsid w:val="00127E53"/>
    <w:rsid w:val="001B6B01"/>
    <w:rsid w:val="001C19F9"/>
    <w:rsid w:val="001D5D06"/>
    <w:rsid w:val="001E4B1B"/>
    <w:rsid w:val="00255D8B"/>
    <w:rsid w:val="0027463B"/>
    <w:rsid w:val="002C61CD"/>
    <w:rsid w:val="003A0EA4"/>
    <w:rsid w:val="003B3C05"/>
    <w:rsid w:val="003B62D2"/>
    <w:rsid w:val="00516703"/>
    <w:rsid w:val="005E033B"/>
    <w:rsid w:val="00634F14"/>
    <w:rsid w:val="00651961"/>
    <w:rsid w:val="00743747"/>
    <w:rsid w:val="00795200"/>
    <w:rsid w:val="007D01AD"/>
    <w:rsid w:val="0081118E"/>
    <w:rsid w:val="00823470"/>
    <w:rsid w:val="008722E9"/>
    <w:rsid w:val="0090239F"/>
    <w:rsid w:val="00A64EF6"/>
    <w:rsid w:val="00C43C87"/>
    <w:rsid w:val="00DC132E"/>
    <w:rsid w:val="00E748F5"/>
    <w:rsid w:val="00EC3D23"/>
    <w:rsid w:val="00F73443"/>
    <w:rsid w:val="00FD06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4B4C6E"/>
  <w15:chartTrackingRefBased/>
  <w15:docId w15:val="{EC3FFC88-9388-4207-B67E-CF9477ED69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634F1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309</TotalTime>
  <Pages>2</Pages>
  <Words>651</Words>
  <Characters>3407</Characters>
  <Application>Microsoft Office Word</Application>
  <DocSecurity>0</DocSecurity>
  <Lines>64</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 Pert</dc:creator>
  <cp:keywords/>
  <dc:description/>
  <cp:lastModifiedBy>Tom Pert</cp:lastModifiedBy>
  <cp:revision>6</cp:revision>
  <dcterms:created xsi:type="dcterms:W3CDTF">2022-07-11T19:53:00Z</dcterms:created>
  <dcterms:modified xsi:type="dcterms:W3CDTF">2022-07-13T17:51:00Z</dcterms:modified>
</cp:coreProperties>
</file>