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CF1483" w14:textId="06FB0030" w:rsidR="00D62F42" w:rsidRDefault="00BB4880">
      <w:pPr>
        <w:rPr>
          <w:rFonts w:ascii="Arial" w:hAnsi="Arial" w:cs="Arial"/>
          <w:b/>
          <w:bCs/>
          <w:sz w:val="20"/>
          <w:szCs w:val="20"/>
        </w:rPr>
      </w:pPr>
      <w:r>
        <w:rPr>
          <w:rFonts w:ascii="Arial" w:hAnsi="Arial" w:cs="Arial"/>
          <w:b/>
          <w:bCs/>
          <w:sz w:val="20"/>
          <w:szCs w:val="20"/>
        </w:rPr>
        <w:t xml:space="preserve">WEEK 2: </w:t>
      </w:r>
      <w:r w:rsidR="00B36704" w:rsidRPr="00C51B21">
        <w:rPr>
          <w:rFonts w:ascii="Arial" w:hAnsi="Arial" w:cs="Arial"/>
          <w:b/>
          <w:bCs/>
          <w:sz w:val="20"/>
          <w:szCs w:val="20"/>
        </w:rPr>
        <w:t>The Classical Inheritance of the Renaissance</w:t>
      </w:r>
    </w:p>
    <w:p w14:paraId="30FB43AC" w14:textId="12A1ABBD" w:rsidR="00BB4880" w:rsidRPr="00BB4880" w:rsidRDefault="00BB4880">
      <w:pPr>
        <w:rPr>
          <w:rFonts w:ascii="Arial" w:hAnsi="Arial" w:cs="Arial"/>
          <w:sz w:val="20"/>
          <w:szCs w:val="20"/>
        </w:rPr>
      </w:pPr>
      <w:r>
        <w:rPr>
          <w:rFonts w:ascii="Arial" w:hAnsi="Arial" w:cs="Arial"/>
          <w:sz w:val="20"/>
          <w:szCs w:val="20"/>
        </w:rPr>
        <w:t>Floris Verhaart</w:t>
      </w:r>
    </w:p>
    <w:p w14:paraId="00B9EA3F" w14:textId="7148EC5B" w:rsidR="007804A8" w:rsidRPr="00C51B21" w:rsidRDefault="00FD6AF8">
      <w:pPr>
        <w:rPr>
          <w:rFonts w:ascii="Arial" w:hAnsi="Arial" w:cs="Arial"/>
          <w:sz w:val="20"/>
          <w:szCs w:val="20"/>
        </w:rPr>
      </w:pPr>
      <w:r w:rsidRPr="00C51B21">
        <w:rPr>
          <w:rFonts w:ascii="Arial" w:hAnsi="Arial" w:cs="Arial"/>
          <w:sz w:val="20"/>
          <w:szCs w:val="20"/>
        </w:rPr>
        <w:t>The intensified</w:t>
      </w:r>
      <w:r w:rsidR="00F74E6E" w:rsidRPr="00C51B21">
        <w:rPr>
          <w:rFonts w:ascii="Arial" w:hAnsi="Arial" w:cs="Arial"/>
          <w:sz w:val="20"/>
          <w:szCs w:val="20"/>
        </w:rPr>
        <w:t xml:space="preserve"> engagement with the material and written legacy of classical antiquity and the rediscovery of many works Latin and Greek works that had been thought lost was at the heart of Renaissance culture and the rise</w:t>
      </w:r>
      <w:r w:rsidR="002B7929" w:rsidRPr="00C51B21">
        <w:rPr>
          <w:rFonts w:ascii="Arial" w:hAnsi="Arial" w:cs="Arial"/>
          <w:sz w:val="20"/>
          <w:szCs w:val="20"/>
        </w:rPr>
        <w:t xml:space="preserve"> of humanism. In this class we will </w:t>
      </w:r>
      <w:r w:rsidR="00675097" w:rsidRPr="00C51B21">
        <w:rPr>
          <w:rFonts w:ascii="Arial" w:hAnsi="Arial" w:cs="Arial"/>
          <w:sz w:val="20"/>
          <w:szCs w:val="20"/>
        </w:rPr>
        <w:t>consider</w:t>
      </w:r>
      <w:r w:rsidR="00634E76" w:rsidRPr="00C51B21">
        <w:rPr>
          <w:rFonts w:ascii="Arial" w:hAnsi="Arial" w:cs="Arial"/>
          <w:sz w:val="20"/>
          <w:szCs w:val="20"/>
        </w:rPr>
        <w:t xml:space="preserve"> some of the most popular classical authors</w:t>
      </w:r>
      <w:r w:rsidR="00675097" w:rsidRPr="00C51B21">
        <w:rPr>
          <w:rFonts w:ascii="Arial" w:hAnsi="Arial" w:cs="Arial"/>
          <w:sz w:val="20"/>
          <w:szCs w:val="20"/>
        </w:rPr>
        <w:t xml:space="preserve"> in the Renaissance and the ways in which there work was</w:t>
      </w:r>
      <w:r w:rsidR="00AB609F" w:rsidRPr="00C51B21">
        <w:rPr>
          <w:rFonts w:ascii="Arial" w:hAnsi="Arial" w:cs="Arial"/>
          <w:sz w:val="20"/>
          <w:szCs w:val="20"/>
        </w:rPr>
        <w:t xml:space="preserve"> ‘rediscovered’,</w:t>
      </w:r>
      <w:r w:rsidR="00675097" w:rsidRPr="00C51B21">
        <w:rPr>
          <w:rFonts w:ascii="Arial" w:hAnsi="Arial" w:cs="Arial"/>
          <w:sz w:val="20"/>
          <w:szCs w:val="20"/>
        </w:rPr>
        <w:t xml:space="preserve"> read and used. We will also discuss key figures in the</w:t>
      </w:r>
      <w:r w:rsidR="00E166DE" w:rsidRPr="00C51B21">
        <w:rPr>
          <w:rFonts w:ascii="Arial" w:hAnsi="Arial" w:cs="Arial"/>
          <w:sz w:val="20"/>
          <w:szCs w:val="20"/>
        </w:rPr>
        <w:t xml:space="preserve"> history of humanism, such as Poggio Bracciolini (1380-1459), Lorenzo Valla (1407-1457), Erasmus of Rotterdam (1466-1536) and their contribution to humanism as a cultural and intellectual movement. </w:t>
      </w:r>
      <w:r w:rsidR="00AB609F" w:rsidRPr="00C51B21">
        <w:rPr>
          <w:rFonts w:ascii="Arial" w:hAnsi="Arial" w:cs="Arial"/>
          <w:sz w:val="20"/>
          <w:szCs w:val="20"/>
        </w:rPr>
        <w:t xml:space="preserve">Moreover, </w:t>
      </w:r>
      <w:r w:rsidR="00E166DE" w:rsidRPr="00C51B21">
        <w:rPr>
          <w:rFonts w:ascii="Arial" w:hAnsi="Arial" w:cs="Arial"/>
          <w:sz w:val="20"/>
          <w:szCs w:val="20"/>
        </w:rPr>
        <w:t xml:space="preserve">we will look </w:t>
      </w:r>
      <w:r w:rsidR="00AB609F" w:rsidRPr="00C51B21">
        <w:rPr>
          <w:rFonts w:ascii="Arial" w:hAnsi="Arial" w:cs="Arial"/>
          <w:sz w:val="20"/>
          <w:szCs w:val="20"/>
        </w:rPr>
        <w:t>at the differences between Italian humanists and humanists north of the Alps. Finally, we will look at examples of writings by some female humanists.</w:t>
      </w:r>
    </w:p>
    <w:p w14:paraId="296785DB" w14:textId="77777777" w:rsidR="00DF698A" w:rsidRDefault="00DF698A">
      <w:pPr>
        <w:rPr>
          <w:rFonts w:ascii="Arial" w:hAnsi="Arial" w:cs="Arial"/>
          <w:b/>
          <w:bCs/>
          <w:sz w:val="20"/>
          <w:szCs w:val="20"/>
        </w:rPr>
      </w:pPr>
    </w:p>
    <w:p w14:paraId="2740D80D" w14:textId="2ECA7E99" w:rsidR="007804A8" w:rsidRPr="00C51B21" w:rsidRDefault="00FD6AF8">
      <w:pPr>
        <w:rPr>
          <w:rFonts w:ascii="Arial" w:hAnsi="Arial" w:cs="Arial"/>
          <w:b/>
          <w:bCs/>
          <w:sz w:val="20"/>
          <w:szCs w:val="20"/>
        </w:rPr>
      </w:pPr>
      <w:r w:rsidRPr="00C51B21">
        <w:rPr>
          <w:rFonts w:ascii="Arial" w:hAnsi="Arial" w:cs="Arial"/>
          <w:b/>
          <w:bCs/>
          <w:sz w:val="20"/>
          <w:szCs w:val="20"/>
        </w:rPr>
        <w:t>Primary Sources</w:t>
      </w:r>
    </w:p>
    <w:p w14:paraId="33D0F49A" w14:textId="1ED5B1C5" w:rsidR="005773F3" w:rsidRDefault="005773F3">
      <w:pPr>
        <w:rPr>
          <w:rFonts w:ascii="Arial" w:hAnsi="Arial" w:cs="Arial"/>
          <w:sz w:val="20"/>
          <w:szCs w:val="20"/>
        </w:rPr>
      </w:pPr>
      <w:r>
        <w:rPr>
          <w:rFonts w:ascii="Arial" w:hAnsi="Arial" w:cs="Arial"/>
          <w:sz w:val="20"/>
          <w:szCs w:val="20"/>
        </w:rPr>
        <w:t>Please read the following primary sources in preparation for this week’s class.</w:t>
      </w:r>
    </w:p>
    <w:p w14:paraId="50CDACDB" w14:textId="0BCF893F" w:rsidR="00C61D25" w:rsidRDefault="00C51B21">
      <w:pPr>
        <w:rPr>
          <w:rFonts w:ascii="Arial" w:hAnsi="Arial" w:cs="Arial"/>
          <w:sz w:val="20"/>
          <w:szCs w:val="20"/>
        </w:rPr>
      </w:pPr>
      <w:r w:rsidRPr="00C51B21">
        <w:rPr>
          <w:rFonts w:ascii="Arial" w:hAnsi="Arial" w:cs="Arial"/>
          <w:sz w:val="20"/>
          <w:szCs w:val="20"/>
        </w:rPr>
        <w:t xml:space="preserve">Peter Elmer, Nick Webb and Roberta Wood (eds), </w:t>
      </w:r>
      <w:r w:rsidRPr="00636A4E">
        <w:rPr>
          <w:rFonts w:ascii="Arial" w:hAnsi="Arial" w:cs="Arial"/>
          <w:i/>
          <w:iCs/>
          <w:sz w:val="20"/>
          <w:szCs w:val="20"/>
        </w:rPr>
        <w:t>The Renaissance in Europe: An Anthology</w:t>
      </w:r>
      <w:r>
        <w:rPr>
          <w:rFonts w:ascii="Arial" w:hAnsi="Arial" w:cs="Arial"/>
          <w:sz w:val="20"/>
          <w:szCs w:val="20"/>
        </w:rPr>
        <w:t xml:space="preserve"> (New Haven and London, 2000), pp. 6-12 </w:t>
      </w:r>
      <w:r w:rsidR="00E171B9">
        <w:rPr>
          <w:rFonts w:ascii="Arial" w:hAnsi="Arial" w:cs="Arial"/>
          <w:sz w:val="20"/>
          <w:szCs w:val="20"/>
        </w:rPr>
        <w:t xml:space="preserve">(Giovanni Francesco Poggio Bracciolini, </w:t>
      </w:r>
      <w:r w:rsidR="00E171B9" w:rsidRPr="00E171B9">
        <w:rPr>
          <w:rFonts w:ascii="Arial" w:hAnsi="Arial" w:cs="Arial"/>
          <w:i/>
          <w:iCs/>
          <w:sz w:val="20"/>
          <w:szCs w:val="20"/>
        </w:rPr>
        <w:t>On the Inconstancy of Fortune</w:t>
      </w:r>
      <w:r w:rsidR="00E171B9">
        <w:rPr>
          <w:rFonts w:ascii="Arial" w:hAnsi="Arial" w:cs="Arial"/>
          <w:sz w:val="20"/>
          <w:szCs w:val="20"/>
        </w:rPr>
        <w:t>)</w:t>
      </w:r>
      <w:r>
        <w:rPr>
          <w:rFonts w:ascii="Arial" w:hAnsi="Arial" w:cs="Arial"/>
          <w:sz w:val="20"/>
          <w:szCs w:val="20"/>
        </w:rPr>
        <w:t>;</w:t>
      </w:r>
      <w:r w:rsidR="00E171B9">
        <w:rPr>
          <w:rFonts w:ascii="Arial" w:hAnsi="Arial" w:cs="Arial"/>
          <w:sz w:val="20"/>
          <w:szCs w:val="20"/>
        </w:rPr>
        <w:t xml:space="preserve"> </w:t>
      </w:r>
      <w:r>
        <w:rPr>
          <w:rFonts w:ascii="Arial" w:hAnsi="Arial" w:cs="Arial"/>
          <w:sz w:val="20"/>
          <w:szCs w:val="20"/>
        </w:rPr>
        <w:t>12-16</w:t>
      </w:r>
      <w:r w:rsidR="00E171B9">
        <w:rPr>
          <w:rFonts w:ascii="Arial" w:hAnsi="Arial" w:cs="Arial"/>
          <w:sz w:val="20"/>
          <w:szCs w:val="20"/>
        </w:rPr>
        <w:t xml:space="preserve"> (Ciriaco of Ancona, </w:t>
      </w:r>
      <w:r w:rsidR="00E171B9" w:rsidRPr="00E171B9">
        <w:rPr>
          <w:rFonts w:ascii="Arial" w:hAnsi="Arial" w:cs="Arial"/>
          <w:i/>
          <w:iCs/>
          <w:sz w:val="20"/>
          <w:szCs w:val="20"/>
        </w:rPr>
        <w:t>Journeys in the Propontis</w:t>
      </w:r>
      <w:r w:rsidR="00E171B9">
        <w:rPr>
          <w:rFonts w:ascii="Arial" w:hAnsi="Arial" w:cs="Arial"/>
          <w:sz w:val="20"/>
          <w:szCs w:val="20"/>
        </w:rPr>
        <w:t>)</w:t>
      </w:r>
      <w:r>
        <w:rPr>
          <w:rFonts w:ascii="Arial" w:hAnsi="Arial" w:cs="Arial"/>
          <w:sz w:val="20"/>
          <w:szCs w:val="20"/>
        </w:rPr>
        <w:t>; 16-20</w:t>
      </w:r>
      <w:r w:rsidR="00E171B9">
        <w:rPr>
          <w:rFonts w:ascii="Arial" w:hAnsi="Arial" w:cs="Arial"/>
          <w:sz w:val="20"/>
          <w:szCs w:val="20"/>
        </w:rPr>
        <w:t xml:space="preserve"> (Giovanni Francesco Poggio Bracciolini, </w:t>
      </w:r>
      <w:r w:rsidR="00E171B9" w:rsidRPr="00636A4E">
        <w:rPr>
          <w:rFonts w:ascii="Arial" w:hAnsi="Arial" w:cs="Arial"/>
          <w:sz w:val="20"/>
          <w:szCs w:val="20"/>
        </w:rPr>
        <w:t>Two letters about classical manuscripts</w:t>
      </w:r>
      <w:r w:rsidR="00E171B9">
        <w:rPr>
          <w:rFonts w:ascii="Arial" w:hAnsi="Arial" w:cs="Arial"/>
          <w:sz w:val="20"/>
          <w:szCs w:val="20"/>
        </w:rPr>
        <w:t>)</w:t>
      </w:r>
      <w:r>
        <w:rPr>
          <w:rFonts w:ascii="Arial" w:hAnsi="Arial" w:cs="Arial"/>
          <w:sz w:val="20"/>
          <w:szCs w:val="20"/>
        </w:rPr>
        <w:t>; 20-29</w:t>
      </w:r>
      <w:r w:rsidR="00E171B9">
        <w:rPr>
          <w:rFonts w:ascii="Arial" w:hAnsi="Arial" w:cs="Arial"/>
          <w:sz w:val="20"/>
          <w:szCs w:val="20"/>
        </w:rPr>
        <w:t xml:space="preserve"> (Lorenzo Valla, </w:t>
      </w:r>
      <w:r w:rsidR="00E171B9" w:rsidRPr="00C61D25">
        <w:rPr>
          <w:rFonts w:ascii="Arial" w:hAnsi="Arial" w:cs="Arial"/>
          <w:i/>
          <w:iCs/>
          <w:sz w:val="20"/>
          <w:szCs w:val="20"/>
        </w:rPr>
        <w:t>The Treatise on the Donation of Constantine</w:t>
      </w:r>
      <w:r w:rsidR="00E171B9">
        <w:rPr>
          <w:rFonts w:ascii="Arial" w:hAnsi="Arial" w:cs="Arial"/>
          <w:sz w:val="20"/>
          <w:szCs w:val="20"/>
        </w:rPr>
        <w:t>)</w:t>
      </w:r>
      <w:r>
        <w:rPr>
          <w:rFonts w:ascii="Arial" w:hAnsi="Arial" w:cs="Arial"/>
          <w:sz w:val="20"/>
          <w:szCs w:val="20"/>
        </w:rPr>
        <w:t>; 29-</w:t>
      </w:r>
      <w:r w:rsidR="00E171B9">
        <w:rPr>
          <w:rFonts w:ascii="Arial" w:hAnsi="Arial" w:cs="Arial"/>
          <w:sz w:val="20"/>
          <w:szCs w:val="20"/>
        </w:rPr>
        <w:t>33</w:t>
      </w:r>
      <w:r w:rsidR="00134E20">
        <w:rPr>
          <w:rFonts w:ascii="Arial" w:hAnsi="Arial" w:cs="Arial"/>
          <w:sz w:val="20"/>
          <w:szCs w:val="20"/>
        </w:rPr>
        <w:t xml:space="preserve"> (Desiderius Erasmus, </w:t>
      </w:r>
      <w:r w:rsidR="00134E20" w:rsidRPr="00AF4CA1">
        <w:rPr>
          <w:rFonts w:ascii="Arial" w:hAnsi="Arial" w:cs="Arial"/>
          <w:i/>
          <w:iCs/>
          <w:sz w:val="20"/>
          <w:szCs w:val="20"/>
        </w:rPr>
        <w:t>Annotations on St Paul’s</w:t>
      </w:r>
      <w:r w:rsidR="00AF4CA1" w:rsidRPr="00AF4CA1">
        <w:rPr>
          <w:rFonts w:ascii="Arial" w:hAnsi="Arial" w:cs="Arial"/>
          <w:i/>
          <w:iCs/>
          <w:sz w:val="20"/>
          <w:szCs w:val="20"/>
        </w:rPr>
        <w:t xml:space="preserve"> Epistle to the Romans 1:1-3</w:t>
      </w:r>
      <w:r w:rsidR="00134E20">
        <w:rPr>
          <w:rFonts w:ascii="Arial" w:hAnsi="Arial" w:cs="Arial"/>
          <w:sz w:val="20"/>
          <w:szCs w:val="20"/>
        </w:rPr>
        <w:t>)</w:t>
      </w:r>
      <w:r w:rsidR="00E171B9">
        <w:rPr>
          <w:rFonts w:ascii="Arial" w:hAnsi="Arial" w:cs="Arial"/>
          <w:sz w:val="20"/>
          <w:szCs w:val="20"/>
        </w:rPr>
        <w:t>.</w:t>
      </w:r>
    </w:p>
    <w:p w14:paraId="6B73C760" w14:textId="3E1AED2D" w:rsidR="00AF4CA1" w:rsidRDefault="00AF4CA1">
      <w:pPr>
        <w:rPr>
          <w:rFonts w:ascii="Arial" w:hAnsi="Arial" w:cs="Arial"/>
          <w:sz w:val="20"/>
          <w:szCs w:val="20"/>
        </w:rPr>
      </w:pPr>
      <w:bookmarkStart w:id="0" w:name="_Hlk141013937"/>
      <w:r>
        <w:rPr>
          <w:rFonts w:ascii="Arial" w:hAnsi="Arial" w:cs="Arial"/>
          <w:sz w:val="20"/>
          <w:szCs w:val="20"/>
        </w:rPr>
        <w:t xml:space="preserve">Margaret L. King and Albert Rabil, Jr (eds), </w:t>
      </w:r>
      <w:r w:rsidRPr="00636A4E">
        <w:rPr>
          <w:rFonts w:ascii="Arial" w:hAnsi="Arial" w:cs="Arial"/>
          <w:i/>
          <w:iCs/>
          <w:sz w:val="20"/>
          <w:szCs w:val="20"/>
        </w:rPr>
        <w:t>Her Immaculate Hand: Selected Works by and about the Women Human Humanists of Quattrocento Italy</w:t>
      </w:r>
      <w:r>
        <w:rPr>
          <w:rFonts w:ascii="Arial" w:hAnsi="Arial" w:cs="Arial"/>
          <w:sz w:val="20"/>
          <w:szCs w:val="20"/>
        </w:rPr>
        <w:t xml:space="preserve"> (Binghamton and New York, 1983),</w:t>
      </w:r>
      <w:r w:rsidR="00C61D25">
        <w:rPr>
          <w:rFonts w:ascii="Arial" w:hAnsi="Arial" w:cs="Arial"/>
          <w:sz w:val="20"/>
          <w:szCs w:val="20"/>
        </w:rPr>
        <w:t xml:space="preserve"> pp. </w:t>
      </w:r>
      <w:bookmarkEnd w:id="0"/>
      <w:r w:rsidR="00C61D25">
        <w:rPr>
          <w:rFonts w:ascii="Arial" w:hAnsi="Arial" w:cs="Arial"/>
          <w:sz w:val="20"/>
          <w:szCs w:val="20"/>
        </w:rPr>
        <w:t>69-73 (Cassandra Fedele</w:t>
      </w:r>
      <w:r w:rsidR="00636A4E">
        <w:rPr>
          <w:rFonts w:ascii="Arial" w:hAnsi="Arial" w:cs="Arial"/>
          <w:sz w:val="20"/>
          <w:szCs w:val="20"/>
        </w:rPr>
        <w:t>: Oration for Bertucio Lamberto, receiving the honors of the liberal arts)</w:t>
      </w:r>
      <w:r w:rsidR="00C61D25">
        <w:rPr>
          <w:rFonts w:ascii="Arial" w:hAnsi="Arial" w:cs="Arial"/>
          <w:sz w:val="20"/>
          <w:szCs w:val="20"/>
        </w:rPr>
        <w:t>; 74-77</w:t>
      </w:r>
      <w:r w:rsidR="00636A4E">
        <w:rPr>
          <w:rFonts w:ascii="Arial" w:hAnsi="Arial" w:cs="Arial"/>
          <w:sz w:val="20"/>
          <w:szCs w:val="20"/>
        </w:rPr>
        <w:t xml:space="preserve"> (Cassandra Fedele: Oration in praise of letters).</w:t>
      </w:r>
    </w:p>
    <w:p w14:paraId="1563C34F" w14:textId="77777777" w:rsidR="00636A4E" w:rsidRDefault="00636A4E">
      <w:pPr>
        <w:rPr>
          <w:rFonts w:ascii="Arial" w:hAnsi="Arial" w:cs="Arial"/>
          <w:sz w:val="20"/>
          <w:szCs w:val="20"/>
        </w:rPr>
      </w:pPr>
    </w:p>
    <w:p w14:paraId="4DFF92F3" w14:textId="60B55F80" w:rsidR="00636A4E" w:rsidRDefault="00636A4E">
      <w:pPr>
        <w:rPr>
          <w:rFonts w:ascii="Arial" w:hAnsi="Arial" w:cs="Arial"/>
          <w:b/>
          <w:bCs/>
          <w:sz w:val="20"/>
          <w:szCs w:val="20"/>
        </w:rPr>
      </w:pPr>
      <w:r w:rsidRPr="00C51B21">
        <w:rPr>
          <w:rFonts w:ascii="Arial" w:hAnsi="Arial" w:cs="Arial"/>
          <w:b/>
          <w:bCs/>
          <w:sz w:val="20"/>
          <w:szCs w:val="20"/>
        </w:rPr>
        <w:t>Essential Reading</w:t>
      </w:r>
    </w:p>
    <w:p w14:paraId="22CC63DC" w14:textId="7A89996B" w:rsidR="005773F3" w:rsidRPr="005773F3" w:rsidRDefault="005773F3">
      <w:pPr>
        <w:rPr>
          <w:rFonts w:ascii="Arial" w:hAnsi="Arial" w:cs="Arial"/>
          <w:sz w:val="20"/>
          <w:szCs w:val="20"/>
        </w:rPr>
      </w:pPr>
      <w:r w:rsidRPr="005773F3">
        <w:rPr>
          <w:rFonts w:ascii="Arial" w:hAnsi="Arial" w:cs="Arial"/>
          <w:sz w:val="20"/>
          <w:szCs w:val="20"/>
        </w:rPr>
        <w:t>Please read these two chapters in preparation for this week’s class.</w:t>
      </w:r>
    </w:p>
    <w:p w14:paraId="563132B7" w14:textId="77777777" w:rsidR="00636A4E" w:rsidRPr="00C51B21" w:rsidRDefault="00636A4E" w:rsidP="00636A4E">
      <w:pPr>
        <w:rPr>
          <w:rFonts w:ascii="Arial" w:hAnsi="Arial" w:cs="Arial"/>
          <w:sz w:val="20"/>
          <w:szCs w:val="20"/>
        </w:rPr>
      </w:pPr>
      <w:r w:rsidRPr="00C51B21">
        <w:rPr>
          <w:rFonts w:ascii="Arial" w:hAnsi="Arial" w:cs="Arial"/>
          <w:sz w:val="20"/>
          <w:szCs w:val="20"/>
        </w:rPr>
        <w:t xml:space="preserve">Nicholas Mann, ‘The origins of humanism,’ in Jill Kraye (ed.), </w:t>
      </w:r>
      <w:r w:rsidRPr="00C51B21">
        <w:rPr>
          <w:rFonts w:ascii="Arial" w:hAnsi="Arial" w:cs="Arial"/>
          <w:i/>
          <w:iCs/>
          <w:sz w:val="20"/>
          <w:szCs w:val="20"/>
        </w:rPr>
        <w:t>The Cambridge Companion to Renaissance Humanism</w:t>
      </w:r>
      <w:r w:rsidRPr="00C51B21">
        <w:rPr>
          <w:rFonts w:ascii="Arial" w:hAnsi="Arial" w:cs="Arial"/>
          <w:sz w:val="20"/>
          <w:szCs w:val="20"/>
        </w:rPr>
        <w:t xml:space="preserve"> (Cambrdige, 1996), pp. 1-19.</w:t>
      </w:r>
    </w:p>
    <w:p w14:paraId="26A1E13B" w14:textId="77777777" w:rsidR="00636A4E" w:rsidRPr="00C51B21" w:rsidRDefault="00636A4E" w:rsidP="00636A4E">
      <w:pPr>
        <w:rPr>
          <w:rFonts w:ascii="Arial" w:hAnsi="Arial" w:cs="Arial"/>
          <w:sz w:val="20"/>
          <w:szCs w:val="20"/>
        </w:rPr>
      </w:pPr>
      <w:r w:rsidRPr="00C51B21">
        <w:rPr>
          <w:rFonts w:ascii="Arial" w:hAnsi="Arial" w:cs="Arial"/>
          <w:sz w:val="20"/>
          <w:szCs w:val="20"/>
        </w:rPr>
        <w:t xml:space="preserve">Michael D. Reeve, ‘Classical Scholarship,’ in Jill Kaye (ed.), </w:t>
      </w:r>
      <w:r w:rsidRPr="00C51B21">
        <w:rPr>
          <w:rFonts w:ascii="Arial" w:hAnsi="Arial" w:cs="Arial"/>
          <w:i/>
          <w:iCs/>
          <w:sz w:val="20"/>
          <w:szCs w:val="20"/>
        </w:rPr>
        <w:t>The Cambridge Companion to Renaissance Humanism</w:t>
      </w:r>
      <w:r w:rsidRPr="00C51B21">
        <w:rPr>
          <w:rFonts w:ascii="Arial" w:hAnsi="Arial" w:cs="Arial"/>
          <w:sz w:val="20"/>
          <w:szCs w:val="20"/>
        </w:rPr>
        <w:t xml:space="preserve"> (Cambridge, 1996), pp. 20-46.</w:t>
      </w:r>
    </w:p>
    <w:p w14:paraId="698FA2AB" w14:textId="77777777" w:rsidR="007804A8" w:rsidRPr="00C51B21" w:rsidRDefault="007804A8">
      <w:pPr>
        <w:rPr>
          <w:rFonts w:ascii="Arial" w:hAnsi="Arial" w:cs="Arial"/>
          <w:sz w:val="20"/>
          <w:szCs w:val="20"/>
        </w:rPr>
      </w:pPr>
    </w:p>
    <w:p w14:paraId="7E1C3581" w14:textId="19A65436" w:rsidR="007804A8" w:rsidRPr="00C51B21" w:rsidRDefault="005773F3">
      <w:pPr>
        <w:rPr>
          <w:rFonts w:ascii="Arial" w:hAnsi="Arial" w:cs="Arial"/>
          <w:b/>
          <w:bCs/>
          <w:sz w:val="20"/>
          <w:szCs w:val="20"/>
        </w:rPr>
      </w:pPr>
      <w:r>
        <w:rPr>
          <w:rFonts w:ascii="Arial" w:hAnsi="Arial" w:cs="Arial"/>
          <w:b/>
          <w:bCs/>
          <w:sz w:val="20"/>
          <w:szCs w:val="20"/>
        </w:rPr>
        <w:t xml:space="preserve">Suggestions for Further </w:t>
      </w:r>
      <w:r w:rsidR="007804A8" w:rsidRPr="00C51B21">
        <w:rPr>
          <w:rFonts w:ascii="Arial" w:hAnsi="Arial" w:cs="Arial"/>
          <w:b/>
          <w:bCs/>
          <w:sz w:val="20"/>
          <w:szCs w:val="20"/>
        </w:rPr>
        <w:t xml:space="preserve">Background Reading </w:t>
      </w:r>
    </w:p>
    <w:p w14:paraId="7DA656CB" w14:textId="0CD64296" w:rsidR="00FD6FCA" w:rsidRPr="00C51B21" w:rsidRDefault="00FD6FCA">
      <w:pPr>
        <w:rPr>
          <w:rFonts w:ascii="Arial" w:hAnsi="Arial" w:cs="Arial"/>
          <w:sz w:val="20"/>
          <w:szCs w:val="20"/>
          <w:lang w:val="fr-FR"/>
        </w:rPr>
      </w:pPr>
      <w:r w:rsidRPr="00C51B21">
        <w:rPr>
          <w:rFonts w:ascii="Arial" w:hAnsi="Arial" w:cs="Arial"/>
          <w:sz w:val="20"/>
          <w:szCs w:val="20"/>
          <w:lang w:val="fr-FR"/>
        </w:rPr>
        <w:t>Anthony Grafton, ‘Renaissance Readers and Ancient Texts: Comments on Some C</w:t>
      </w:r>
      <w:r w:rsidR="00D877D4" w:rsidRPr="00C51B21">
        <w:rPr>
          <w:rFonts w:ascii="Arial" w:hAnsi="Arial" w:cs="Arial"/>
          <w:sz w:val="20"/>
          <w:szCs w:val="20"/>
          <w:lang w:val="fr-FR"/>
        </w:rPr>
        <w:t xml:space="preserve">ommentaries,’ </w:t>
      </w:r>
      <w:r w:rsidR="00D877D4" w:rsidRPr="00C51B21">
        <w:rPr>
          <w:rFonts w:ascii="Arial" w:hAnsi="Arial" w:cs="Arial"/>
          <w:i/>
          <w:iCs/>
          <w:sz w:val="20"/>
          <w:szCs w:val="20"/>
          <w:lang w:val="fr-FR"/>
        </w:rPr>
        <w:t>Renaissance Quarterly</w:t>
      </w:r>
      <w:r w:rsidR="00D877D4" w:rsidRPr="00C51B21">
        <w:rPr>
          <w:rFonts w:ascii="Arial" w:hAnsi="Arial" w:cs="Arial"/>
          <w:sz w:val="20"/>
          <w:szCs w:val="20"/>
          <w:lang w:val="fr-FR"/>
        </w:rPr>
        <w:t xml:space="preserve"> 38/4 (1985), 615-49.</w:t>
      </w:r>
    </w:p>
    <w:p w14:paraId="6A3B167D" w14:textId="17E6C4A3" w:rsidR="00983D69" w:rsidRPr="00C51B21" w:rsidRDefault="00983D69">
      <w:pPr>
        <w:rPr>
          <w:rFonts w:ascii="Arial" w:hAnsi="Arial" w:cs="Arial"/>
          <w:sz w:val="20"/>
          <w:szCs w:val="20"/>
        </w:rPr>
      </w:pPr>
      <w:r w:rsidRPr="00C51B21">
        <w:rPr>
          <w:rFonts w:ascii="Arial" w:hAnsi="Arial" w:cs="Arial"/>
          <w:sz w:val="20"/>
          <w:szCs w:val="20"/>
        </w:rPr>
        <w:t>Anthony Grafton and Lisa Jardine, From Humanism to the Humanities. Education and the Liberal Arts in Fifteenth- and Sixteenth-Century Europe (London, 1986), pp. 29-57 (ch. 2: Women Humanists).</w:t>
      </w:r>
    </w:p>
    <w:p w14:paraId="3278514C" w14:textId="70AF0311" w:rsidR="00D877D4" w:rsidRPr="00C51B21" w:rsidRDefault="00D877D4">
      <w:pPr>
        <w:rPr>
          <w:rFonts w:ascii="Arial" w:hAnsi="Arial" w:cs="Arial"/>
          <w:sz w:val="20"/>
          <w:szCs w:val="20"/>
        </w:rPr>
      </w:pPr>
      <w:r w:rsidRPr="00C51B21">
        <w:rPr>
          <w:rFonts w:ascii="Arial" w:hAnsi="Arial" w:cs="Arial"/>
          <w:sz w:val="20"/>
          <w:szCs w:val="20"/>
        </w:rPr>
        <w:t xml:space="preserve">Anthony Grafton, </w:t>
      </w:r>
      <w:r w:rsidRPr="00C51B21">
        <w:rPr>
          <w:rFonts w:ascii="Arial" w:hAnsi="Arial" w:cs="Arial"/>
          <w:i/>
          <w:iCs/>
          <w:sz w:val="20"/>
          <w:szCs w:val="20"/>
        </w:rPr>
        <w:t>Defenders of the Text. The Traditions of Scholarship in an Age of Science, 1450-1800</w:t>
      </w:r>
      <w:r w:rsidRPr="00C51B21">
        <w:rPr>
          <w:rFonts w:ascii="Arial" w:hAnsi="Arial" w:cs="Arial"/>
          <w:sz w:val="20"/>
          <w:szCs w:val="20"/>
        </w:rPr>
        <w:t xml:space="preserve"> (Cambridge, MA, 1994), pp. 47-75 (ch. 2: The Scholarship of Poliziano and Its Context).</w:t>
      </w:r>
    </w:p>
    <w:p w14:paraId="11B4A756" w14:textId="6100FAE7" w:rsidR="009674A3" w:rsidRPr="00C51B21" w:rsidRDefault="009674A3">
      <w:pPr>
        <w:rPr>
          <w:rFonts w:ascii="Arial" w:hAnsi="Arial" w:cs="Arial"/>
          <w:sz w:val="20"/>
          <w:szCs w:val="20"/>
        </w:rPr>
      </w:pPr>
      <w:r w:rsidRPr="00C51B21">
        <w:rPr>
          <w:rFonts w:ascii="Arial" w:hAnsi="Arial" w:cs="Arial"/>
          <w:sz w:val="20"/>
          <w:szCs w:val="20"/>
        </w:rPr>
        <w:t xml:space="preserve">Alastair Hamilton, ‘Humanists and the Bible,’ in Jill Kraye (ed.), </w:t>
      </w:r>
      <w:r w:rsidRPr="00C51B21">
        <w:rPr>
          <w:rFonts w:ascii="Arial" w:hAnsi="Arial" w:cs="Arial"/>
          <w:i/>
          <w:iCs/>
          <w:sz w:val="20"/>
          <w:szCs w:val="20"/>
        </w:rPr>
        <w:t>The Cambridge Companion to Renaissance Humanism</w:t>
      </w:r>
      <w:r w:rsidRPr="00C51B21">
        <w:rPr>
          <w:rFonts w:ascii="Arial" w:hAnsi="Arial" w:cs="Arial"/>
          <w:sz w:val="20"/>
          <w:szCs w:val="20"/>
        </w:rPr>
        <w:t xml:space="preserve"> (Cambridge, 1996), pp. 100-117.</w:t>
      </w:r>
    </w:p>
    <w:p w14:paraId="7F4C0E49" w14:textId="63BAFDE8" w:rsidR="002C2DB0" w:rsidRPr="00C51B21" w:rsidRDefault="002C2DB0">
      <w:pPr>
        <w:rPr>
          <w:rFonts w:ascii="Arial" w:hAnsi="Arial" w:cs="Arial"/>
          <w:sz w:val="20"/>
          <w:szCs w:val="20"/>
        </w:rPr>
      </w:pPr>
      <w:r w:rsidRPr="00C51B21">
        <w:rPr>
          <w:rFonts w:ascii="Arial" w:hAnsi="Arial" w:cs="Arial"/>
          <w:sz w:val="20"/>
          <w:szCs w:val="20"/>
        </w:rPr>
        <w:t xml:space="preserve">Charles G. Nauert, </w:t>
      </w:r>
      <w:r w:rsidRPr="00C51B21">
        <w:rPr>
          <w:rFonts w:ascii="Arial" w:hAnsi="Arial" w:cs="Arial"/>
          <w:i/>
          <w:iCs/>
          <w:sz w:val="20"/>
          <w:szCs w:val="20"/>
        </w:rPr>
        <w:t>Humanism and the Culture of Renaissance Europe</w:t>
      </w:r>
      <w:r w:rsidRPr="00C51B21">
        <w:rPr>
          <w:rFonts w:ascii="Arial" w:hAnsi="Arial" w:cs="Arial"/>
          <w:sz w:val="20"/>
          <w:szCs w:val="20"/>
        </w:rPr>
        <w:t>. 2</w:t>
      </w:r>
      <w:r w:rsidRPr="00C51B21">
        <w:rPr>
          <w:rFonts w:ascii="Arial" w:hAnsi="Arial" w:cs="Arial"/>
          <w:sz w:val="20"/>
          <w:szCs w:val="20"/>
          <w:vertAlign w:val="superscript"/>
        </w:rPr>
        <w:t>nd</w:t>
      </w:r>
      <w:r w:rsidRPr="00C51B21">
        <w:rPr>
          <w:rFonts w:ascii="Arial" w:hAnsi="Arial" w:cs="Arial"/>
          <w:sz w:val="20"/>
          <w:szCs w:val="20"/>
        </w:rPr>
        <w:t xml:space="preserve"> edn (Cambridge, 2006).</w:t>
      </w:r>
    </w:p>
    <w:p w14:paraId="4B6CCDB3" w14:textId="4F11CE1C" w:rsidR="006304C3" w:rsidRPr="00C51B21" w:rsidRDefault="006304C3">
      <w:pPr>
        <w:rPr>
          <w:rFonts w:ascii="Arial" w:hAnsi="Arial" w:cs="Arial"/>
          <w:sz w:val="20"/>
          <w:szCs w:val="20"/>
        </w:rPr>
      </w:pPr>
      <w:r w:rsidRPr="00C51B21">
        <w:rPr>
          <w:rFonts w:ascii="Arial" w:hAnsi="Arial" w:cs="Arial"/>
          <w:sz w:val="20"/>
          <w:szCs w:val="20"/>
        </w:rPr>
        <w:lastRenderedPageBreak/>
        <w:t xml:space="preserve">Maren Elisabeth Schwab and Anthony Grafton, </w:t>
      </w:r>
      <w:r w:rsidRPr="00C51B21">
        <w:rPr>
          <w:rFonts w:ascii="Arial" w:hAnsi="Arial" w:cs="Arial"/>
          <w:i/>
          <w:iCs/>
          <w:sz w:val="20"/>
          <w:szCs w:val="20"/>
        </w:rPr>
        <w:t>The Art of Discovery: Digging into the Past in the Renaissance</w:t>
      </w:r>
      <w:r w:rsidRPr="00C51B21">
        <w:rPr>
          <w:rFonts w:ascii="Arial" w:hAnsi="Arial" w:cs="Arial"/>
          <w:sz w:val="20"/>
          <w:szCs w:val="20"/>
        </w:rPr>
        <w:t xml:space="preserve"> (Princeton, 2022), pp.</w:t>
      </w:r>
      <w:r w:rsidR="00100CD5" w:rsidRPr="00C51B21">
        <w:rPr>
          <w:rFonts w:ascii="Arial" w:hAnsi="Arial" w:cs="Arial"/>
          <w:sz w:val="20"/>
          <w:szCs w:val="20"/>
        </w:rPr>
        <w:t xml:space="preserve"> 72-108</w:t>
      </w:r>
      <w:r w:rsidRPr="00C51B21">
        <w:rPr>
          <w:rFonts w:ascii="Arial" w:hAnsi="Arial" w:cs="Arial"/>
          <w:sz w:val="20"/>
          <w:szCs w:val="20"/>
        </w:rPr>
        <w:t xml:space="preserve"> (The Girl on the Appian Way).</w:t>
      </w:r>
    </w:p>
    <w:p w14:paraId="35A1BC1B" w14:textId="7B4871FF" w:rsidR="007804A8" w:rsidRPr="00C51B21" w:rsidRDefault="007804A8">
      <w:pPr>
        <w:rPr>
          <w:rFonts w:ascii="Arial" w:hAnsi="Arial" w:cs="Arial"/>
          <w:sz w:val="20"/>
          <w:szCs w:val="20"/>
        </w:rPr>
      </w:pPr>
      <w:r w:rsidRPr="00C51B21">
        <w:rPr>
          <w:rFonts w:ascii="Arial" w:hAnsi="Arial" w:cs="Arial"/>
          <w:sz w:val="20"/>
          <w:szCs w:val="20"/>
        </w:rPr>
        <w:t xml:space="preserve">*Roberto Weiss, </w:t>
      </w:r>
      <w:r w:rsidRPr="00C51B21">
        <w:rPr>
          <w:rFonts w:ascii="Arial" w:hAnsi="Arial" w:cs="Arial"/>
          <w:i/>
          <w:iCs/>
          <w:sz w:val="20"/>
          <w:szCs w:val="20"/>
        </w:rPr>
        <w:t>Humanism in England during the Fifteenth Century</w:t>
      </w:r>
      <w:r w:rsidRPr="00C51B21">
        <w:rPr>
          <w:rFonts w:ascii="Arial" w:hAnsi="Arial" w:cs="Arial"/>
          <w:sz w:val="20"/>
          <w:szCs w:val="20"/>
        </w:rPr>
        <w:t>. 3</w:t>
      </w:r>
      <w:r w:rsidRPr="00C51B21">
        <w:rPr>
          <w:rFonts w:ascii="Arial" w:hAnsi="Arial" w:cs="Arial"/>
          <w:sz w:val="20"/>
          <w:szCs w:val="20"/>
          <w:vertAlign w:val="superscript"/>
        </w:rPr>
        <w:t>rd</w:t>
      </w:r>
      <w:r w:rsidRPr="00C51B21">
        <w:rPr>
          <w:rFonts w:ascii="Arial" w:hAnsi="Arial" w:cs="Arial"/>
          <w:sz w:val="20"/>
          <w:szCs w:val="20"/>
        </w:rPr>
        <w:t xml:space="preserve"> edn (Oxford, 1967), esp. pp. 13-21</w:t>
      </w:r>
      <w:r w:rsidR="00955966" w:rsidRPr="00C51B21">
        <w:rPr>
          <w:rFonts w:ascii="Arial" w:hAnsi="Arial" w:cs="Arial"/>
          <w:sz w:val="20"/>
          <w:szCs w:val="20"/>
        </w:rPr>
        <w:t xml:space="preserve"> (ch. 1)</w:t>
      </w:r>
      <w:r w:rsidRPr="00C51B21">
        <w:rPr>
          <w:rFonts w:ascii="Arial" w:hAnsi="Arial" w:cs="Arial"/>
          <w:sz w:val="20"/>
          <w:szCs w:val="20"/>
        </w:rPr>
        <w:t xml:space="preserve"> and 22-38 (</w:t>
      </w:r>
      <w:r w:rsidR="00955966" w:rsidRPr="00C51B21">
        <w:rPr>
          <w:rFonts w:ascii="Arial" w:hAnsi="Arial" w:cs="Arial"/>
          <w:sz w:val="20"/>
          <w:szCs w:val="20"/>
        </w:rPr>
        <w:t>ch. 2).</w:t>
      </w:r>
    </w:p>
    <w:p w14:paraId="5528B011" w14:textId="387FE8D1" w:rsidR="005627BD" w:rsidRPr="00C51B21" w:rsidRDefault="005627BD">
      <w:pPr>
        <w:rPr>
          <w:rFonts w:ascii="Arial" w:hAnsi="Arial" w:cs="Arial"/>
          <w:sz w:val="20"/>
          <w:szCs w:val="20"/>
        </w:rPr>
      </w:pPr>
      <w:r w:rsidRPr="00C51B21">
        <w:rPr>
          <w:rFonts w:ascii="Arial" w:hAnsi="Arial" w:cs="Arial"/>
          <w:sz w:val="20"/>
          <w:szCs w:val="20"/>
        </w:rPr>
        <w:t>Roberto Weiss, The Renaissance Discovery of</w:t>
      </w:r>
      <w:r w:rsidR="00B91B61" w:rsidRPr="00C51B21">
        <w:rPr>
          <w:rFonts w:ascii="Arial" w:hAnsi="Arial" w:cs="Arial"/>
          <w:sz w:val="20"/>
          <w:szCs w:val="20"/>
        </w:rPr>
        <w:t xml:space="preserve"> Classical Antiquity (Oxford, 1969), esp. pp. </w:t>
      </w:r>
      <w:r w:rsidR="000563B1" w:rsidRPr="00C51B21">
        <w:rPr>
          <w:rFonts w:ascii="Arial" w:hAnsi="Arial" w:cs="Arial"/>
          <w:sz w:val="20"/>
          <w:szCs w:val="20"/>
        </w:rPr>
        <w:t>59-72 (ch. 5: The Ruins</w:t>
      </w:r>
      <w:r w:rsidR="00FD6AF8" w:rsidRPr="00C51B21">
        <w:rPr>
          <w:rFonts w:ascii="Arial" w:hAnsi="Arial" w:cs="Arial"/>
          <w:sz w:val="20"/>
          <w:szCs w:val="20"/>
        </w:rPr>
        <w:t xml:space="preserve"> of Rome and the Humanists) and pp. 131-44 (ch. 10: The Discovery of the Greek World).</w:t>
      </w:r>
    </w:p>
    <w:p w14:paraId="1582B824" w14:textId="59E08A35" w:rsidR="00980291" w:rsidRPr="00C51B21" w:rsidRDefault="00980291">
      <w:pPr>
        <w:rPr>
          <w:rFonts w:ascii="Arial" w:hAnsi="Arial" w:cs="Arial"/>
          <w:b/>
          <w:bCs/>
          <w:sz w:val="20"/>
          <w:szCs w:val="20"/>
        </w:rPr>
      </w:pPr>
    </w:p>
    <w:sectPr w:rsidR="00980291" w:rsidRPr="00C51B2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704"/>
    <w:rsid w:val="0002215C"/>
    <w:rsid w:val="000563B1"/>
    <w:rsid w:val="000C18E4"/>
    <w:rsid w:val="00100CD5"/>
    <w:rsid w:val="00134E20"/>
    <w:rsid w:val="0015177B"/>
    <w:rsid w:val="002B7929"/>
    <w:rsid w:val="002C082F"/>
    <w:rsid w:val="002C2DB0"/>
    <w:rsid w:val="005627BD"/>
    <w:rsid w:val="005773F3"/>
    <w:rsid w:val="006304C3"/>
    <w:rsid w:val="00634E76"/>
    <w:rsid w:val="00636A4E"/>
    <w:rsid w:val="00675097"/>
    <w:rsid w:val="007804A8"/>
    <w:rsid w:val="008B5189"/>
    <w:rsid w:val="00955966"/>
    <w:rsid w:val="009674A3"/>
    <w:rsid w:val="00980291"/>
    <w:rsid w:val="00983D69"/>
    <w:rsid w:val="00AB609F"/>
    <w:rsid w:val="00AF4CA1"/>
    <w:rsid w:val="00B36704"/>
    <w:rsid w:val="00B91B61"/>
    <w:rsid w:val="00BB4880"/>
    <w:rsid w:val="00BC10CC"/>
    <w:rsid w:val="00C51B21"/>
    <w:rsid w:val="00C61D25"/>
    <w:rsid w:val="00CF055B"/>
    <w:rsid w:val="00D62F42"/>
    <w:rsid w:val="00D877D4"/>
    <w:rsid w:val="00DF698A"/>
    <w:rsid w:val="00E166DE"/>
    <w:rsid w:val="00E171B9"/>
    <w:rsid w:val="00F74E6E"/>
    <w:rsid w:val="00FD6AF8"/>
    <w:rsid w:val="00FD6F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41BA0"/>
  <w15:chartTrackingRefBased/>
  <w15:docId w15:val="{B8E5E0BA-A5AA-4B90-B19D-07B6BD835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8029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517</Words>
  <Characters>2949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Verhaart, Floris</dc:creator>
  <cp:keywords/>
  <dc:description/>
  <cp:lastModifiedBy>Tom Pert</cp:lastModifiedBy>
  <cp:revision>3</cp:revision>
  <dcterms:created xsi:type="dcterms:W3CDTF">2023-07-23T14:25:00Z</dcterms:created>
  <dcterms:modified xsi:type="dcterms:W3CDTF">2023-08-29T14:22:00Z</dcterms:modified>
</cp:coreProperties>
</file>