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B7935D" w14:textId="2F9E835A" w:rsidR="00D62F42" w:rsidRPr="00AC0B66" w:rsidRDefault="008A009A">
      <w:pPr>
        <w:rPr>
          <w:rFonts w:ascii="Arial" w:hAnsi="Arial" w:cs="Arial"/>
          <w:b/>
          <w:bCs/>
        </w:rPr>
      </w:pPr>
      <w:r>
        <w:rPr>
          <w:rFonts w:ascii="Arial" w:hAnsi="Arial" w:cs="Arial"/>
          <w:b/>
          <w:bCs/>
        </w:rPr>
        <w:t xml:space="preserve">WEEK 7: </w:t>
      </w:r>
      <w:r w:rsidR="00023E34" w:rsidRPr="00AC0B66">
        <w:rPr>
          <w:rFonts w:ascii="Arial" w:hAnsi="Arial" w:cs="Arial"/>
          <w:b/>
          <w:bCs/>
        </w:rPr>
        <w:t xml:space="preserve">Gender, </w:t>
      </w:r>
      <w:proofErr w:type="gramStart"/>
      <w:r w:rsidR="00023E34" w:rsidRPr="00AC0B66">
        <w:rPr>
          <w:rFonts w:ascii="Arial" w:hAnsi="Arial" w:cs="Arial"/>
          <w:b/>
          <w:bCs/>
        </w:rPr>
        <w:t>Sexuality</w:t>
      </w:r>
      <w:proofErr w:type="gramEnd"/>
      <w:r w:rsidR="00023E34" w:rsidRPr="00AC0B66">
        <w:rPr>
          <w:rFonts w:ascii="Arial" w:hAnsi="Arial" w:cs="Arial"/>
          <w:b/>
          <w:bCs/>
        </w:rPr>
        <w:t xml:space="preserve"> and the Renaissance</w:t>
      </w:r>
    </w:p>
    <w:p w14:paraId="7200D5AF" w14:textId="04DB7AAC" w:rsidR="00280004" w:rsidRDefault="00AC0B66">
      <w:pPr>
        <w:rPr>
          <w:rFonts w:ascii="Arial" w:hAnsi="Arial" w:cs="Arial"/>
          <w:sz w:val="20"/>
          <w:szCs w:val="20"/>
        </w:rPr>
      </w:pPr>
      <w:r>
        <w:rPr>
          <w:rFonts w:ascii="Arial" w:hAnsi="Arial" w:cs="Arial"/>
          <w:sz w:val="20"/>
          <w:szCs w:val="20"/>
        </w:rPr>
        <w:t>Floris Verhaart</w:t>
      </w:r>
    </w:p>
    <w:p w14:paraId="346B589E" w14:textId="1D71D5D4" w:rsidR="00AC4F81" w:rsidRDefault="002207D2">
      <w:pPr>
        <w:rPr>
          <w:rFonts w:ascii="Arial" w:hAnsi="Arial" w:cs="Arial"/>
          <w:sz w:val="20"/>
          <w:szCs w:val="20"/>
        </w:rPr>
      </w:pPr>
      <w:r>
        <w:rPr>
          <w:rFonts w:ascii="Arial" w:hAnsi="Arial" w:cs="Arial"/>
          <w:sz w:val="20"/>
          <w:szCs w:val="20"/>
        </w:rPr>
        <w:t>In this class we will look at the Renaissance from the perspective of gender, family and marriage, and sexuality. On the one hand, we will consider the ideas and moral views held by people in the Renaissance on topics like gender. What</w:t>
      </w:r>
      <w:r w:rsidR="00AC4F81">
        <w:rPr>
          <w:rFonts w:ascii="Arial" w:hAnsi="Arial" w:cs="Arial"/>
          <w:sz w:val="20"/>
          <w:szCs w:val="20"/>
        </w:rPr>
        <w:t xml:space="preserve"> did a Renaissance family look like? What did contemporaries see as the role of women in society? What was seen as appropriate sexual behaviour? The sixteenth and seventeenth centuries were also an age of profound intellectual, </w:t>
      </w:r>
      <w:proofErr w:type="spellStart"/>
      <w:r w:rsidR="00AC4F81">
        <w:rPr>
          <w:rFonts w:ascii="Arial" w:hAnsi="Arial" w:cs="Arial"/>
          <w:sz w:val="20"/>
          <w:szCs w:val="20"/>
        </w:rPr>
        <w:t>cultura</w:t>
      </w:r>
      <w:proofErr w:type="spellEnd"/>
      <w:r w:rsidR="00AC4F81">
        <w:rPr>
          <w:rFonts w:ascii="Arial" w:hAnsi="Arial" w:cs="Arial"/>
          <w:sz w:val="20"/>
          <w:szCs w:val="20"/>
        </w:rPr>
        <w:t xml:space="preserve">, and social change. The Reformation, for example, challenged many traditional ideas about marriage and celibacy that had been part of Catholic doctrine. Moreover, the renewed interest in the classical world confronted contemporaries with a view of sexuality that was completely at odds with what was deemed appropriate from a contemporary Christian perspective. We will also </w:t>
      </w:r>
      <w:r w:rsidR="002C243F">
        <w:rPr>
          <w:rFonts w:ascii="Arial" w:hAnsi="Arial" w:cs="Arial"/>
          <w:sz w:val="20"/>
          <w:szCs w:val="20"/>
        </w:rPr>
        <w:t>consider</w:t>
      </w:r>
      <w:r w:rsidR="00AC4F81">
        <w:rPr>
          <w:rFonts w:ascii="Arial" w:hAnsi="Arial" w:cs="Arial"/>
          <w:sz w:val="20"/>
          <w:szCs w:val="20"/>
        </w:rPr>
        <w:t xml:space="preserve"> examples </w:t>
      </w:r>
      <w:r w:rsidR="002C243F">
        <w:rPr>
          <w:rFonts w:ascii="Arial" w:hAnsi="Arial" w:cs="Arial"/>
          <w:sz w:val="20"/>
          <w:szCs w:val="20"/>
        </w:rPr>
        <w:t>from</w:t>
      </w:r>
      <w:r w:rsidR="00AC4F81">
        <w:rPr>
          <w:rFonts w:ascii="Arial" w:hAnsi="Arial" w:cs="Arial"/>
          <w:sz w:val="20"/>
          <w:szCs w:val="20"/>
        </w:rPr>
        <w:t xml:space="preserve"> everyday life</w:t>
      </w:r>
      <w:r w:rsidR="002C243F">
        <w:rPr>
          <w:rFonts w:ascii="Arial" w:hAnsi="Arial" w:cs="Arial"/>
          <w:sz w:val="20"/>
          <w:szCs w:val="20"/>
        </w:rPr>
        <w:t>: was there a difference between what people believed about how an ideal woman should behave or what constituted appropriate sexual behaviour and what people did in practice and if so, what can such differences teach us about how we should study the Renaissance.</w:t>
      </w:r>
    </w:p>
    <w:p w14:paraId="361AB521" w14:textId="77777777" w:rsidR="00594730" w:rsidRDefault="00594730">
      <w:pPr>
        <w:rPr>
          <w:rFonts w:ascii="Arial" w:hAnsi="Arial" w:cs="Arial"/>
          <w:b/>
          <w:bCs/>
          <w:sz w:val="20"/>
          <w:szCs w:val="20"/>
        </w:rPr>
      </w:pPr>
    </w:p>
    <w:p w14:paraId="02F651FB" w14:textId="556C4833" w:rsidR="00C00D18" w:rsidRPr="00DB0066" w:rsidRDefault="00C00D18">
      <w:pPr>
        <w:rPr>
          <w:rFonts w:ascii="Arial" w:hAnsi="Arial" w:cs="Arial"/>
          <w:b/>
          <w:bCs/>
          <w:sz w:val="20"/>
          <w:szCs w:val="20"/>
        </w:rPr>
      </w:pPr>
      <w:r w:rsidRPr="00DB0066">
        <w:rPr>
          <w:rFonts w:ascii="Arial" w:hAnsi="Arial" w:cs="Arial"/>
          <w:b/>
          <w:bCs/>
          <w:sz w:val="20"/>
          <w:szCs w:val="20"/>
        </w:rPr>
        <w:t>Primary Sources</w:t>
      </w:r>
    </w:p>
    <w:p w14:paraId="3A874C73" w14:textId="2023EB58" w:rsidR="00DB0066" w:rsidRDefault="009C6E12">
      <w:pPr>
        <w:rPr>
          <w:rFonts w:ascii="Arial" w:hAnsi="Arial" w:cs="Arial"/>
          <w:sz w:val="20"/>
          <w:szCs w:val="20"/>
        </w:rPr>
      </w:pPr>
      <w:r>
        <w:rPr>
          <w:rFonts w:ascii="Arial" w:hAnsi="Arial" w:cs="Arial"/>
          <w:sz w:val="20"/>
          <w:szCs w:val="20"/>
        </w:rPr>
        <w:t>Please read/look at the following primary sources</w:t>
      </w:r>
      <w:r w:rsidR="00477F25">
        <w:rPr>
          <w:rFonts w:ascii="Arial" w:hAnsi="Arial" w:cs="Arial"/>
          <w:sz w:val="20"/>
          <w:szCs w:val="20"/>
        </w:rPr>
        <w:t xml:space="preserve"> in preparation for this week’s class.</w:t>
      </w:r>
    </w:p>
    <w:p w14:paraId="5DACAD26" w14:textId="52EAD621" w:rsidR="0031071C" w:rsidRPr="0031071C" w:rsidRDefault="0031071C">
      <w:pPr>
        <w:rPr>
          <w:rFonts w:ascii="Arial" w:hAnsi="Arial" w:cs="Arial"/>
          <w:sz w:val="20"/>
          <w:szCs w:val="20"/>
        </w:rPr>
      </w:pPr>
      <w:r>
        <w:rPr>
          <w:rFonts w:ascii="Arial" w:hAnsi="Arial" w:cs="Arial"/>
          <w:sz w:val="20"/>
          <w:szCs w:val="20"/>
        </w:rPr>
        <w:t xml:space="preserve">Kate </w:t>
      </w:r>
      <w:proofErr w:type="spellStart"/>
      <w:r>
        <w:rPr>
          <w:rFonts w:ascii="Arial" w:hAnsi="Arial" w:cs="Arial"/>
          <w:sz w:val="20"/>
          <w:szCs w:val="20"/>
        </w:rPr>
        <w:t>Aughterson</w:t>
      </w:r>
      <w:proofErr w:type="spellEnd"/>
      <w:r>
        <w:rPr>
          <w:rFonts w:ascii="Arial" w:hAnsi="Arial" w:cs="Arial"/>
          <w:sz w:val="20"/>
          <w:szCs w:val="20"/>
        </w:rPr>
        <w:t xml:space="preserve">, </w:t>
      </w:r>
      <w:r w:rsidRPr="008F12CD">
        <w:rPr>
          <w:rFonts w:ascii="Arial" w:hAnsi="Arial" w:cs="Arial"/>
          <w:i/>
          <w:iCs/>
          <w:sz w:val="20"/>
          <w:szCs w:val="20"/>
        </w:rPr>
        <w:t>Renaissance Women. Constructions of Femininity in England: A Sourcebook</w:t>
      </w:r>
      <w:r>
        <w:rPr>
          <w:rFonts w:ascii="Arial" w:hAnsi="Arial" w:cs="Arial"/>
          <w:sz w:val="20"/>
          <w:szCs w:val="20"/>
        </w:rPr>
        <w:t xml:space="preserve"> (London and New York, 1995), figures 4 (The English gentlewoman) and 5 (Explanatory table for the English gentlewoman); pp. 35-40 (Women Preaching: Thomas Edwards, </w:t>
      </w:r>
      <w:proofErr w:type="spellStart"/>
      <w:r w:rsidRPr="008F12CD">
        <w:rPr>
          <w:rFonts w:ascii="Arial" w:hAnsi="Arial" w:cs="Arial"/>
          <w:i/>
          <w:iCs/>
          <w:sz w:val="20"/>
          <w:szCs w:val="20"/>
        </w:rPr>
        <w:t>Gangraena</w:t>
      </w:r>
      <w:proofErr w:type="spellEnd"/>
      <w:r>
        <w:rPr>
          <w:rFonts w:ascii="Arial" w:hAnsi="Arial" w:cs="Arial"/>
          <w:sz w:val="20"/>
          <w:szCs w:val="20"/>
        </w:rPr>
        <w:t xml:space="preserve">; </w:t>
      </w:r>
      <w:r w:rsidR="008F12CD">
        <w:rPr>
          <w:rFonts w:ascii="Arial" w:hAnsi="Arial" w:cs="Arial"/>
          <w:sz w:val="20"/>
          <w:szCs w:val="20"/>
        </w:rPr>
        <w:t xml:space="preserve">Margaret Fell Fox, </w:t>
      </w:r>
      <w:r w:rsidR="008F12CD" w:rsidRPr="008F12CD">
        <w:rPr>
          <w:rFonts w:ascii="Arial" w:hAnsi="Arial" w:cs="Arial"/>
          <w:i/>
          <w:iCs/>
          <w:sz w:val="20"/>
          <w:szCs w:val="20"/>
        </w:rPr>
        <w:t>Women’s Preaching Justified</w:t>
      </w:r>
      <w:r w:rsidR="008F12CD">
        <w:rPr>
          <w:rFonts w:ascii="Arial" w:hAnsi="Arial" w:cs="Arial"/>
          <w:sz w:val="20"/>
          <w:szCs w:val="20"/>
        </w:rPr>
        <w:t>); pp. 2</w:t>
      </w:r>
      <w:r w:rsidR="00F726A0">
        <w:rPr>
          <w:rFonts w:ascii="Arial" w:hAnsi="Arial" w:cs="Arial"/>
          <w:sz w:val="20"/>
          <w:szCs w:val="20"/>
        </w:rPr>
        <w:t>58-62</w:t>
      </w:r>
      <w:r w:rsidR="008F12CD">
        <w:rPr>
          <w:rFonts w:ascii="Arial" w:hAnsi="Arial" w:cs="Arial"/>
          <w:sz w:val="20"/>
          <w:szCs w:val="20"/>
        </w:rPr>
        <w:t>, 27</w:t>
      </w:r>
      <w:r w:rsidR="00F726A0">
        <w:rPr>
          <w:rFonts w:ascii="Arial" w:hAnsi="Arial" w:cs="Arial"/>
          <w:sz w:val="20"/>
          <w:szCs w:val="20"/>
        </w:rPr>
        <w:t>2</w:t>
      </w:r>
      <w:r w:rsidR="008F12CD">
        <w:rPr>
          <w:rFonts w:ascii="Arial" w:hAnsi="Arial" w:cs="Arial"/>
          <w:sz w:val="20"/>
          <w:szCs w:val="20"/>
        </w:rPr>
        <w:t>-</w:t>
      </w:r>
      <w:r w:rsidR="00F726A0">
        <w:rPr>
          <w:rFonts w:ascii="Arial" w:hAnsi="Arial" w:cs="Arial"/>
          <w:sz w:val="20"/>
          <w:szCs w:val="20"/>
        </w:rPr>
        <w:t>74</w:t>
      </w:r>
      <w:r w:rsidR="008F12CD">
        <w:rPr>
          <w:rFonts w:ascii="Arial" w:hAnsi="Arial" w:cs="Arial"/>
          <w:sz w:val="20"/>
          <w:szCs w:val="20"/>
        </w:rPr>
        <w:t xml:space="preserve"> (Proto-Feminisms: Cornelius Agrippa, </w:t>
      </w:r>
      <w:r w:rsidR="008F12CD" w:rsidRPr="008F12CD">
        <w:rPr>
          <w:rFonts w:ascii="Arial" w:hAnsi="Arial" w:cs="Arial"/>
          <w:i/>
          <w:iCs/>
          <w:sz w:val="20"/>
          <w:szCs w:val="20"/>
        </w:rPr>
        <w:t>A treatise of the nobility and excellency of woman-kind</w:t>
      </w:r>
      <w:r w:rsidR="008F12CD">
        <w:rPr>
          <w:rFonts w:ascii="Arial" w:hAnsi="Arial" w:cs="Arial"/>
          <w:sz w:val="20"/>
          <w:szCs w:val="20"/>
        </w:rPr>
        <w:t xml:space="preserve">; </w:t>
      </w:r>
      <w:r w:rsidR="008F12CD" w:rsidRPr="008F12CD">
        <w:rPr>
          <w:rFonts w:ascii="Arial" w:hAnsi="Arial" w:cs="Arial"/>
          <w:i/>
          <w:iCs/>
          <w:sz w:val="20"/>
          <w:szCs w:val="20"/>
        </w:rPr>
        <w:t>Jane Anger her protection for women</w:t>
      </w:r>
      <w:r w:rsidR="008F12CD">
        <w:rPr>
          <w:rFonts w:ascii="Arial" w:hAnsi="Arial" w:cs="Arial"/>
          <w:sz w:val="20"/>
          <w:szCs w:val="20"/>
        </w:rPr>
        <w:t>; Jane Owen</w:t>
      </w:r>
      <w:r w:rsidR="008F12CD" w:rsidRPr="008F12CD">
        <w:rPr>
          <w:rFonts w:ascii="Arial" w:hAnsi="Arial" w:cs="Arial"/>
          <w:i/>
          <w:iCs/>
          <w:sz w:val="20"/>
          <w:szCs w:val="20"/>
        </w:rPr>
        <w:t>, An antidote against purgatory</w:t>
      </w:r>
      <w:r w:rsidR="008F12CD">
        <w:rPr>
          <w:rFonts w:ascii="Arial" w:hAnsi="Arial" w:cs="Arial"/>
          <w:sz w:val="20"/>
          <w:szCs w:val="20"/>
        </w:rPr>
        <w:t>).</w:t>
      </w:r>
    </w:p>
    <w:p w14:paraId="3E5D4D26" w14:textId="27C57881" w:rsidR="00DB0066" w:rsidRPr="0031071C" w:rsidRDefault="00B66D2A">
      <w:pPr>
        <w:rPr>
          <w:rFonts w:ascii="Arial" w:hAnsi="Arial" w:cs="Arial"/>
          <w:sz w:val="20"/>
          <w:szCs w:val="20"/>
        </w:rPr>
      </w:pPr>
      <w:r w:rsidRPr="0031071C">
        <w:rPr>
          <w:rFonts w:ascii="Arial" w:hAnsi="Arial" w:cs="Arial"/>
          <w:sz w:val="20"/>
          <w:szCs w:val="20"/>
        </w:rPr>
        <w:t xml:space="preserve">Antonio </w:t>
      </w:r>
      <w:proofErr w:type="spellStart"/>
      <w:r w:rsidR="00DB0066" w:rsidRPr="0031071C">
        <w:rPr>
          <w:rFonts w:ascii="Arial" w:hAnsi="Arial" w:cs="Arial"/>
          <w:sz w:val="20"/>
          <w:szCs w:val="20"/>
        </w:rPr>
        <w:t>Beccadelli</w:t>
      </w:r>
      <w:proofErr w:type="spellEnd"/>
      <w:r w:rsidR="00DB0066" w:rsidRPr="0031071C">
        <w:rPr>
          <w:rFonts w:ascii="Arial" w:hAnsi="Arial" w:cs="Arial"/>
          <w:sz w:val="20"/>
          <w:szCs w:val="20"/>
        </w:rPr>
        <w:t>,</w:t>
      </w:r>
      <w:r w:rsidRPr="0031071C">
        <w:rPr>
          <w:rFonts w:ascii="Arial" w:hAnsi="Arial" w:cs="Arial"/>
          <w:sz w:val="20"/>
          <w:szCs w:val="20"/>
        </w:rPr>
        <w:t xml:space="preserve"> </w:t>
      </w:r>
      <w:r w:rsidRPr="0031071C">
        <w:rPr>
          <w:rFonts w:ascii="Arial" w:hAnsi="Arial" w:cs="Arial"/>
          <w:i/>
          <w:iCs/>
          <w:sz w:val="20"/>
          <w:szCs w:val="20"/>
        </w:rPr>
        <w:t>The Hermaphrodite</w:t>
      </w:r>
      <w:r w:rsidRPr="0031071C">
        <w:rPr>
          <w:rFonts w:ascii="Arial" w:hAnsi="Arial" w:cs="Arial"/>
          <w:sz w:val="20"/>
          <w:szCs w:val="20"/>
        </w:rPr>
        <w:t xml:space="preserve">, </w:t>
      </w:r>
      <w:proofErr w:type="gramStart"/>
      <w:r w:rsidRPr="0031071C">
        <w:rPr>
          <w:rFonts w:ascii="Arial" w:hAnsi="Arial" w:cs="Arial"/>
          <w:sz w:val="20"/>
          <w:szCs w:val="20"/>
        </w:rPr>
        <w:t>ed.</w:t>
      </w:r>
      <w:proofErr w:type="gramEnd"/>
      <w:r w:rsidRPr="0031071C">
        <w:rPr>
          <w:rFonts w:ascii="Arial" w:hAnsi="Arial" w:cs="Arial"/>
          <w:sz w:val="20"/>
          <w:szCs w:val="20"/>
        </w:rPr>
        <w:t xml:space="preserve"> and tr. Holt Parker (Cambridge, MA, 2010), pp.</w:t>
      </w:r>
      <w:r w:rsidR="00DB0066" w:rsidRPr="0031071C">
        <w:rPr>
          <w:rFonts w:ascii="Arial" w:hAnsi="Arial" w:cs="Arial"/>
          <w:sz w:val="20"/>
          <w:szCs w:val="20"/>
        </w:rPr>
        <w:t xml:space="preserve"> 2-11</w:t>
      </w:r>
      <w:r w:rsidRPr="0031071C">
        <w:rPr>
          <w:rFonts w:ascii="Arial" w:hAnsi="Arial" w:cs="Arial"/>
          <w:sz w:val="20"/>
          <w:szCs w:val="20"/>
        </w:rPr>
        <w:t>, 166-67.</w:t>
      </w:r>
    </w:p>
    <w:p w14:paraId="71794A0F" w14:textId="0CE84068" w:rsidR="000B1541" w:rsidRPr="000B1541" w:rsidRDefault="002A73A7">
      <w:pPr>
        <w:rPr>
          <w:rFonts w:ascii="Arial" w:hAnsi="Arial" w:cs="Arial"/>
          <w:sz w:val="20"/>
          <w:szCs w:val="20"/>
        </w:rPr>
      </w:pPr>
      <w:r w:rsidRPr="002A73A7">
        <w:rPr>
          <w:rFonts w:ascii="Arial" w:hAnsi="Arial" w:cs="Arial"/>
          <w:i/>
          <w:iCs/>
          <w:sz w:val="20"/>
          <w:szCs w:val="20"/>
        </w:rPr>
        <w:t xml:space="preserve">The Poems of </w:t>
      </w:r>
      <w:r w:rsidR="000B1541" w:rsidRPr="002A73A7">
        <w:rPr>
          <w:rFonts w:ascii="Arial" w:hAnsi="Arial" w:cs="Arial"/>
          <w:i/>
          <w:iCs/>
          <w:sz w:val="20"/>
          <w:szCs w:val="20"/>
        </w:rPr>
        <w:t>Catullus</w:t>
      </w:r>
      <w:r w:rsidRPr="002A73A7">
        <w:rPr>
          <w:rFonts w:ascii="Arial" w:hAnsi="Arial" w:cs="Arial"/>
          <w:i/>
          <w:iCs/>
          <w:sz w:val="20"/>
          <w:szCs w:val="20"/>
        </w:rPr>
        <w:t>. An Annotated Translation</w:t>
      </w:r>
      <w:r>
        <w:rPr>
          <w:rFonts w:ascii="Arial" w:hAnsi="Arial" w:cs="Arial"/>
          <w:sz w:val="20"/>
          <w:szCs w:val="20"/>
        </w:rPr>
        <w:t>, ed. and tr. Jeannine Diddle Uzzi and Jeffrey Thomson (Cambridge, 2015),</w:t>
      </w:r>
      <w:r w:rsidR="000B1541" w:rsidRPr="000B1541">
        <w:rPr>
          <w:rFonts w:ascii="Arial" w:hAnsi="Arial" w:cs="Arial"/>
          <w:sz w:val="20"/>
          <w:szCs w:val="20"/>
        </w:rPr>
        <w:t xml:space="preserve"> </w:t>
      </w:r>
      <w:r w:rsidR="00223FDF">
        <w:rPr>
          <w:rFonts w:ascii="Arial" w:hAnsi="Arial" w:cs="Arial"/>
          <w:sz w:val="20"/>
          <w:szCs w:val="20"/>
        </w:rPr>
        <w:t xml:space="preserve">p. 48 </w:t>
      </w:r>
      <w:r w:rsidR="000B1541" w:rsidRPr="000B1541">
        <w:rPr>
          <w:rFonts w:ascii="Arial" w:hAnsi="Arial" w:cs="Arial"/>
          <w:sz w:val="20"/>
          <w:szCs w:val="20"/>
        </w:rPr>
        <w:t>(po</w:t>
      </w:r>
      <w:r w:rsidR="000B1541">
        <w:rPr>
          <w:rFonts w:ascii="Arial" w:hAnsi="Arial" w:cs="Arial"/>
          <w:sz w:val="20"/>
          <w:szCs w:val="20"/>
        </w:rPr>
        <w:t>em 16).</w:t>
      </w:r>
    </w:p>
    <w:p w14:paraId="3287E758" w14:textId="5A9612D2" w:rsidR="009C6E12" w:rsidRDefault="00C101DA">
      <w:pPr>
        <w:rPr>
          <w:rFonts w:ascii="Arial" w:hAnsi="Arial" w:cs="Arial"/>
          <w:sz w:val="20"/>
          <w:szCs w:val="20"/>
        </w:rPr>
      </w:pPr>
      <w:r>
        <w:rPr>
          <w:rFonts w:ascii="Arial" w:hAnsi="Arial" w:cs="Arial"/>
          <w:sz w:val="20"/>
          <w:szCs w:val="20"/>
        </w:rPr>
        <w:t xml:space="preserve">*‘Martin Luther on Sex and Marriage,’ in Mathew Kuefler (ed.), </w:t>
      </w:r>
      <w:r w:rsidRPr="00DB0066">
        <w:rPr>
          <w:rFonts w:ascii="Arial" w:hAnsi="Arial" w:cs="Arial"/>
          <w:i/>
          <w:iCs/>
          <w:sz w:val="20"/>
          <w:szCs w:val="20"/>
        </w:rPr>
        <w:t>The History of Sexuality: Sourcebook</w:t>
      </w:r>
      <w:r>
        <w:rPr>
          <w:rFonts w:ascii="Arial" w:hAnsi="Arial" w:cs="Arial"/>
          <w:sz w:val="20"/>
          <w:szCs w:val="20"/>
        </w:rPr>
        <w:t xml:space="preserve"> (Peterborough,</w:t>
      </w:r>
      <w:r w:rsidR="00DB0066">
        <w:rPr>
          <w:rFonts w:ascii="Arial" w:hAnsi="Arial" w:cs="Arial"/>
          <w:sz w:val="20"/>
          <w:szCs w:val="20"/>
        </w:rPr>
        <w:t xml:space="preserve"> 2007)</w:t>
      </w:r>
      <w:r>
        <w:rPr>
          <w:rFonts w:ascii="Arial" w:hAnsi="Arial" w:cs="Arial"/>
          <w:sz w:val="20"/>
          <w:szCs w:val="20"/>
        </w:rPr>
        <w:t>, pp. 205-7.</w:t>
      </w:r>
    </w:p>
    <w:p w14:paraId="4548B5FD" w14:textId="4A368B41" w:rsidR="000C0553" w:rsidRDefault="000C0553">
      <w:pPr>
        <w:rPr>
          <w:rFonts w:ascii="Arial" w:hAnsi="Arial" w:cs="Arial"/>
          <w:sz w:val="20"/>
          <w:szCs w:val="20"/>
        </w:rPr>
      </w:pPr>
      <w:r>
        <w:rPr>
          <w:rFonts w:ascii="Arial" w:hAnsi="Arial" w:cs="Arial"/>
          <w:sz w:val="20"/>
          <w:szCs w:val="20"/>
        </w:rPr>
        <w:t xml:space="preserve">Margaret L. King and Albert Rabil, Jr (eds), </w:t>
      </w:r>
      <w:r w:rsidRPr="000C0553">
        <w:rPr>
          <w:rFonts w:ascii="Arial" w:hAnsi="Arial" w:cs="Arial"/>
          <w:i/>
          <w:iCs/>
          <w:sz w:val="20"/>
          <w:szCs w:val="20"/>
        </w:rPr>
        <w:t>Her Immaculate Hand: Selected Works by and about the Women Human Humanists of Quattrocento Italy</w:t>
      </w:r>
      <w:r>
        <w:rPr>
          <w:rFonts w:ascii="Arial" w:hAnsi="Arial" w:cs="Arial"/>
          <w:sz w:val="20"/>
          <w:szCs w:val="20"/>
        </w:rPr>
        <w:t xml:space="preserve"> (Binghamton and New York, 1983), pp.57-69 (Isotta </w:t>
      </w:r>
      <w:proofErr w:type="spellStart"/>
      <w:r>
        <w:rPr>
          <w:rFonts w:ascii="Arial" w:hAnsi="Arial" w:cs="Arial"/>
          <w:sz w:val="20"/>
          <w:szCs w:val="20"/>
        </w:rPr>
        <w:t>Nogarola</w:t>
      </w:r>
      <w:proofErr w:type="spellEnd"/>
      <w:r>
        <w:rPr>
          <w:rFonts w:ascii="Arial" w:hAnsi="Arial" w:cs="Arial"/>
          <w:sz w:val="20"/>
          <w:szCs w:val="20"/>
        </w:rPr>
        <w:t xml:space="preserve">: </w:t>
      </w:r>
      <w:r w:rsidRPr="000C0553">
        <w:rPr>
          <w:rFonts w:ascii="Arial" w:hAnsi="Arial" w:cs="Arial"/>
          <w:i/>
          <w:iCs/>
          <w:sz w:val="20"/>
          <w:szCs w:val="20"/>
        </w:rPr>
        <w:t>Of the equal or unequal sin of Adam and Eve</w:t>
      </w:r>
      <w:r>
        <w:rPr>
          <w:rFonts w:ascii="Arial" w:hAnsi="Arial" w:cs="Arial"/>
          <w:sz w:val="20"/>
          <w:szCs w:val="20"/>
        </w:rPr>
        <w:t>).</w:t>
      </w:r>
    </w:p>
    <w:p w14:paraId="44D2CCB2" w14:textId="77777777" w:rsidR="000C0553" w:rsidRDefault="000C0553">
      <w:pPr>
        <w:rPr>
          <w:rFonts w:ascii="Arial" w:hAnsi="Arial" w:cs="Arial"/>
          <w:b/>
          <w:bCs/>
          <w:sz w:val="20"/>
          <w:szCs w:val="20"/>
        </w:rPr>
      </w:pPr>
    </w:p>
    <w:p w14:paraId="16923273" w14:textId="22B2EA4A" w:rsidR="009C6E12" w:rsidRPr="00DB0066" w:rsidRDefault="002C243F">
      <w:pPr>
        <w:rPr>
          <w:rFonts w:ascii="Arial" w:hAnsi="Arial" w:cs="Arial"/>
          <w:b/>
          <w:bCs/>
          <w:sz w:val="20"/>
          <w:szCs w:val="20"/>
        </w:rPr>
      </w:pPr>
      <w:r w:rsidRPr="00DB0066">
        <w:rPr>
          <w:rFonts w:ascii="Arial" w:hAnsi="Arial" w:cs="Arial"/>
          <w:b/>
          <w:bCs/>
          <w:sz w:val="20"/>
          <w:szCs w:val="20"/>
        </w:rPr>
        <w:t>Essential Reading</w:t>
      </w:r>
    </w:p>
    <w:p w14:paraId="0AC1F6BB" w14:textId="44E0F95F" w:rsidR="000C0553" w:rsidRDefault="000C0553">
      <w:pPr>
        <w:rPr>
          <w:rFonts w:ascii="Arial" w:hAnsi="Arial" w:cs="Arial"/>
          <w:sz w:val="20"/>
          <w:szCs w:val="20"/>
        </w:rPr>
      </w:pPr>
      <w:r>
        <w:rPr>
          <w:rFonts w:ascii="Arial" w:hAnsi="Arial" w:cs="Arial"/>
          <w:sz w:val="20"/>
          <w:szCs w:val="20"/>
        </w:rPr>
        <w:t>Please read the following chapters</w:t>
      </w:r>
      <w:r w:rsidR="00477F25">
        <w:rPr>
          <w:rFonts w:ascii="Arial" w:hAnsi="Arial" w:cs="Arial"/>
          <w:sz w:val="20"/>
          <w:szCs w:val="20"/>
        </w:rPr>
        <w:t xml:space="preserve"> in preparation for this week’s class.</w:t>
      </w:r>
    </w:p>
    <w:p w14:paraId="3A7C0730" w14:textId="2989139B" w:rsidR="009C6E12" w:rsidRDefault="009C6E12">
      <w:pPr>
        <w:rPr>
          <w:rFonts w:ascii="Arial" w:hAnsi="Arial" w:cs="Arial"/>
          <w:sz w:val="20"/>
          <w:szCs w:val="20"/>
        </w:rPr>
      </w:pPr>
      <w:r>
        <w:rPr>
          <w:rFonts w:ascii="Arial" w:hAnsi="Arial" w:cs="Arial"/>
          <w:sz w:val="20"/>
          <w:szCs w:val="20"/>
        </w:rPr>
        <w:t>*</w:t>
      </w:r>
      <w:r w:rsidRPr="009C6E12">
        <w:rPr>
          <w:rFonts w:ascii="Arial" w:hAnsi="Arial" w:cs="Arial"/>
          <w:sz w:val="20"/>
          <w:szCs w:val="20"/>
        </w:rPr>
        <w:t>Sara F. Matthews-Grieco, ‘Love, Sex, and</w:t>
      </w:r>
      <w:r>
        <w:rPr>
          <w:rFonts w:ascii="Arial" w:hAnsi="Arial" w:cs="Arial"/>
          <w:sz w:val="20"/>
          <w:szCs w:val="20"/>
        </w:rPr>
        <w:t xml:space="preserve"> Sexuality,’ in Joanne M. Ferraro (ed.), A Cultural History of Marriage in the Renaissance and Early Modern Age (London, 2020), pp. 101-18.</w:t>
      </w:r>
    </w:p>
    <w:p w14:paraId="107E1B39" w14:textId="2DE8C2F8" w:rsidR="009C6E12" w:rsidRPr="009C6E12" w:rsidRDefault="009C6E12">
      <w:pPr>
        <w:rPr>
          <w:rFonts w:ascii="Arial" w:hAnsi="Arial" w:cs="Arial"/>
          <w:sz w:val="20"/>
          <w:szCs w:val="20"/>
        </w:rPr>
      </w:pPr>
      <w:r>
        <w:rPr>
          <w:rFonts w:ascii="Arial" w:hAnsi="Arial" w:cs="Arial"/>
          <w:sz w:val="20"/>
          <w:szCs w:val="20"/>
        </w:rPr>
        <w:t>*</w:t>
      </w:r>
      <w:r w:rsidRPr="009C6E12">
        <w:rPr>
          <w:rFonts w:ascii="Arial" w:hAnsi="Arial" w:cs="Arial"/>
          <w:sz w:val="20"/>
          <w:szCs w:val="20"/>
        </w:rPr>
        <w:t>Jutta Sperling, ‘The Family E</w:t>
      </w:r>
      <w:r>
        <w:rPr>
          <w:rFonts w:ascii="Arial" w:hAnsi="Arial" w:cs="Arial"/>
          <w:sz w:val="20"/>
          <w:szCs w:val="20"/>
        </w:rPr>
        <w:t xml:space="preserve">conomy: A Comparative Perspective on Legitimate Marriage, The Dispossession of Mothers, and the Displacement of Children,’ in Joanne M. Ferraro (ed.), </w:t>
      </w:r>
      <w:r w:rsidRPr="009C6E12">
        <w:rPr>
          <w:rFonts w:ascii="Arial" w:hAnsi="Arial" w:cs="Arial"/>
          <w:i/>
          <w:iCs/>
          <w:sz w:val="20"/>
          <w:szCs w:val="20"/>
        </w:rPr>
        <w:t>A Cultural History of Marriage in the Renaissance and Early Modern Age</w:t>
      </w:r>
      <w:r>
        <w:rPr>
          <w:rFonts w:ascii="Arial" w:hAnsi="Arial" w:cs="Arial"/>
          <w:sz w:val="20"/>
          <w:szCs w:val="20"/>
        </w:rPr>
        <w:t xml:space="preserve"> (London, 2020), pp. 83-100.</w:t>
      </w:r>
    </w:p>
    <w:p w14:paraId="2FF3FEE6" w14:textId="77777777" w:rsidR="00306FF9" w:rsidRDefault="00306FF9">
      <w:pPr>
        <w:rPr>
          <w:rFonts w:ascii="Arial" w:hAnsi="Arial" w:cs="Arial"/>
          <w:sz w:val="20"/>
          <w:szCs w:val="20"/>
        </w:rPr>
      </w:pPr>
    </w:p>
    <w:p w14:paraId="2C71EBBD" w14:textId="2A671CFB" w:rsidR="002C243F" w:rsidRPr="00DB0066" w:rsidRDefault="000C0553">
      <w:pPr>
        <w:rPr>
          <w:rFonts w:ascii="Arial" w:hAnsi="Arial" w:cs="Arial"/>
          <w:b/>
          <w:bCs/>
          <w:sz w:val="20"/>
          <w:szCs w:val="20"/>
        </w:rPr>
      </w:pPr>
      <w:r>
        <w:rPr>
          <w:rFonts w:ascii="Arial" w:hAnsi="Arial" w:cs="Arial"/>
          <w:b/>
          <w:bCs/>
          <w:sz w:val="20"/>
          <w:szCs w:val="20"/>
        </w:rPr>
        <w:t xml:space="preserve">Suggestions for </w:t>
      </w:r>
      <w:r w:rsidR="002C243F" w:rsidRPr="00DB0066">
        <w:rPr>
          <w:rFonts w:ascii="Arial" w:hAnsi="Arial" w:cs="Arial"/>
          <w:b/>
          <w:bCs/>
          <w:sz w:val="20"/>
          <w:szCs w:val="20"/>
        </w:rPr>
        <w:t>Further Background Reading</w:t>
      </w:r>
    </w:p>
    <w:p w14:paraId="760ECD39" w14:textId="0DEDDE3C" w:rsidR="002A73A7" w:rsidRDefault="004449C9" w:rsidP="000C0553">
      <w:pPr>
        <w:autoSpaceDE w:val="0"/>
        <w:autoSpaceDN w:val="0"/>
        <w:adjustRightInd w:val="0"/>
        <w:spacing w:after="0" w:line="240" w:lineRule="auto"/>
        <w:rPr>
          <w:rFonts w:ascii="Arial" w:hAnsi="Arial" w:cs="Arial"/>
          <w:kern w:val="0"/>
          <w:sz w:val="21"/>
          <w:szCs w:val="21"/>
        </w:rPr>
      </w:pPr>
      <w:r>
        <w:rPr>
          <w:rFonts w:ascii="Arial" w:hAnsi="Arial" w:cs="Arial"/>
          <w:kern w:val="0"/>
          <w:sz w:val="21"/>
          <w:szCs w:val="21"/>
        </w:rPr>
        <w:lastRenderedPageBreak/>
        <w:t xml:space="preserve">*Andrea Bayer, ‘Representation: Art Celebrates Marriage in the Renaissance,’ in </w:t>
      </w:r>
      <w:r>
        <w:rPr>
          <w:rFonts w:ascii="Arial" w:hAnsi="Arial" w:cs="Arial"/>
          <w:sz w:val="20"/>
          <w:szCs w:val="20"/>
        </w:rPr>
        <w:t>Joanne M. Ferraro (ed.), A Cultural History of Marriage in the Renaissance and Early Modern Age (London, 2020), pp. 139-59.</w:t>
      </w:r>
    </w:p>
    <w:p w14:paraId="5963848A" w14:textId="77777777" w:rsidR="000C0553" w:rsidRPr="000C0553" w:rsidRDefault="000C0553" w:rsidP="000C0553">
      <w:pPr>
        <w:autoSpaceDE w:val="0"/>
        <w:autoSpaceDN w:val="0"/>
        <w:adjustRightInd w:val="0"/>
        <w:spacing w:after="0" w:line="240" w:lineRule="auto"/>
        <w:rPr>
          <w:rFonts w:ascii="Arial" w:hAnsi="Arial" w:cs="Arial"/>
          <w:kern w:val="0"/>
          <w:sz w:val="21"/>
          <w:szCs w:val="21"/>
        </w:rPr>
      </w:pPr>
    </w:p>
    <w:p w14:paraId="4AA47966" w14:textId="5EE0EDC7" w:rsidR="002C243F" w:rsidRDefault="002C243F">
      <w:pPr>
        <w:rPr>
          <w:rFonts w:ascii="Arial" w:hAnsi="Arial" w:cs="Arial"/>
          <w:sz w:val="20"/>
          <w:szCs w:val="20"/>
        </w:rPr>
      </w:pPr>
      <w:r>
        <w:rPr>
          <w:rFonts w:ascii="Arial" w:hAnsi="Arial" w:cs="Arial"/>
          <w:sz w:val="20"/>
          <w:szCs w:val="20"/>
        </w:rPr>
        <w:t xml:space="preserve">Katherine Crawford, </w:t>
      </w:r>
      <w:r w:rsidRPr="004E623E">
        <w:rPr>
          <w:rFonts w:ascii="Arial" w:hAnsi="Arial" w:cs="Arial"/>
          <w:i/>
          <w:iCs/>
          <w:sz w:val="20"/>
          <w:szCs w:val="20"/>
        </w:rPr>
        <w:t>European Sexualities</w:t>
      </w:r>
      <w:r w:rsidR="004E623E" w:rsidRPr="004E623E">
        <w:rPr>
          <w:rFonts w:ascii="Arial" w:hAnsi="Arial" w:cs="Arial"/>
          <w:i/>
          <w:iCs/>
          <w:sz w:val="20"/>
          <w:szCs w:val="20"/>
        </w:rPr>
        <w:t>, 1400-1800</w:t>
      </w:r>
      <w:r w:rsidR="004E623E">
        <w:rPr>
          <w:rFonts w:ascii="Arial" w:hAnsi="Arial" w:cs="Arial"/>
          <w:sz w:val="20"/>
          <w:szCs w:val="20"/>
        </w:rPr>
        <w:t xml:space="preserve"> (Cambridge, 2007).</w:t>
      </w:r>
      <w:r w:rsidR="001229C7">
        <w:rPr>
          <w:rFonts w:ascii="Arial" w:hAnsi="Arial" w:cs="Arial"/>
          <w:sz w:val="20"/>
          <w:szCs w:val="20"/>
        </w:rPr>
        <w:t xml:space="preserve"> Very useful for finding further secondary literature as it contains a bibliographical essay after each chapter.</w:t>
      </w:r>
    </w:p>
    <w:p w14:paraId="49FEA77C" w14:textId="1094EC8E" w:rsidR="00457836" w:rsidRDefault="00457836">
      <w:pPr>
        <w:rPr>
          <w:rFonts w:ascii="Arial" w:hAnsi="Arial" w:cs="Arial"/>
          <w:sz w:val="20"/>
          <w:szCs w:val="20"/>
        </w:rPr>
      </w:pPr>
      <w:r>
        <w:rPr>
          <w:rFonts w:ascii="Arial" w:hAnsi="Arial" w:cs="Arial"/>
          <w:sz w:val="20"/>
          <w:szCs w:val="20"/>
        </w:rPr>
        <w:t>Nic</w:t>
      </w:r>
      <w:r w:rsidR="001229C7">
        <w:rPr>
          <w:rFonts w:ascii="Arial" w:hAnsi="Arial" w:cs="Arial"/>
          <w:sz w:val="20"/>
          <w:szCs w:val="20"/>
        </w:rPr>
        <w:t>h</w:t>
      </w:r>
      <w:r>
        <w:rPr>
          <w:rFonts w:ascii="Arial" w:hAnsi="Arial" w:cs="Arial"/>
          <w:sz w:val="20"/>
          <w:szCs w:val="20"/>
        </w:rPr>
        <w:t>olas Davidson, ‘Theology, Nature and the Law: Sexual Sin and Sexual Crime in Italy from the Fourteenth to the Seventeenth Century,’</w:t>
      </w:r>
      <w:r w:rsidR="009C6E12">
        <w:rPr>
          <w:rFonts w:ascii="Arial" w:hAnsi="Arial" w:cs="Arial"/>
          <w:sz w:val="20"/>
          <w:szCs w:val="20"/>
        </w:rPr>
        <w:t xml:space="preserve"> in Trevor Dean and K. J. P. Lowe (eds), </w:t>
      </w:r>
      <w:r w:rsidR="009C6E12" w:rsidRPr="009C6E12">
        <w:rPr>
          <w:rFonts w:ascii="Arial" w:hAnsi="Arial" w:cs="Arial"/>
          <w:i/>
          <w:iCs/>
          <w:sz w:val="20"/>
          <w:szCs w:val="20"/>
        </w:rPr>
        <w:t xml:space="preserve">Crime, </w:t>
      </w:r>
      <w:proofErr w:type="gramStart"/>
      <w:r w:rsidR="009C6E12" w:rsidRPr="009C6E12">
        <w:rPr>
          <w:rFonts w:ascii="Arial" w:hAnsi="Arial" w:cs="Arial"/>
          <w:i/>
          <w:iCs/>
          <w:sz w:val="20"/>
          <w:szCs w:val="20"/>
        </w:rPr>
        <w:t>Society</w:t>
      </w:r>
      <w:proofErr w:type="gramEnd"/>
      <w:r w:rsidR="009C6E12" w:rsidRPr="009C6E12">
        <w:rPr>
          <w:rFonts w:ascii="Arial" w:hAnsi="Arial" w:cs="Arial"/>
          <w:i/>
          <w:iCs/>
          <w:sz w:val="20"/>
          <w:szCs w:val="20"/>
        </w:rPr>
        <w:t xml:space="preserve"> and the Law in Renaissance Italy</w:t>
      </w:r>
      <w:r w:rsidR="009C6E12">
        <w:rPr>
          <w:rFonts w:ascii="Arial" w:hAnsi="Arial" w:cs="Arial"/>
          <w:sz w:val="20"/>
          <w:szCs w:val="20"/>
        </w:rPr>
        <w:t xml:space="preserve"> (Cambridge, 1994),</w:t>
      </w:r>
      <w:r w:rsidR="003A249A">
        <w:rPr>
          <w:rFonts w:ascii="Arial" w:hAnsi="Arial" w:cs="Arial"/>
          <w:sz w:val="20"/>
          <w:szCs w:val="20"/>
        </w:rPr>
        <w:t xml:space="preserve"> </w:t>
      </w:r>
      <w:r w:rsidR="001229C7">
        <w:rPr>
          <w:rFonts w:ascii="Arial" w:hAnsi="Arial" w:cs="Arial"/>
          <w:sz w:val="20"/>
          <w:szCs w:val="20"/>
        </w:rPr>
        <w:t>pp. 74-98.</w:t>
      </w:r>
    </w:p>
    <w:p w14:paraId="6DBC7181" w14:textId="3C43ABAC" w:rsidR="003A249A" w:rsidRDefault="003A249A">
      <w:pPr>
        <w:rPr>
          <w:rFonts w:ascii="Arial" w:hAnsi="Arial" w:cs="Arial"/>
          <w:sz w:val="20"/>
          <w:szCs w:val="20"/>
        </w:rPr>
      </w:pPr>
      <w:r>
        <w:rPr>
          <w:rFonts w:ascii="Arial" w:hAnsi="Arial" w:cs="Arial"/>
          <w:sz w:val="20"/>
          <w:szCs w:val="20"/>
        </w:rPr>
        <w:t xml:space="preserve">Nicholas Davidson, ‘Sodomy in Early Modern Venice,’ </w:t>
      </w:r>
      <w:r w:rsidR="007A68BB">
        <w:rPr>
          <w:rFonts w:ascii="Arial" w:hAnsi="Arial" w:cs="Arial"/>
          <w:sz w:val="20"/>
          <w:szCs w:val="20"/>
        </w:rPr>
        <w:t xml:space="preserve">in Tom Betteridge (ed.), </w:t>
      </w:r>
      <w:r w:rsidR="007A68BB" w:rsidRPr="00DD6358">
        <w:rPr>
          <w:rFonts w:ascii="Arial" w:hAnsi="Arial" w:cs="Arial"/>
          <w:i/>
          <w:iCs/>
          <w:sz w:val="20"/>
          <w:szCs w:val="20"/>
        </w:rPr>
        <w:t>Sodomy in Early Modern Europe</w:t>
      </w:r>
      <w:r w:rsidR="007A68BB">
        <w:rPr>
          <w:rFonts w:ascii="Arial" w:hAnsi="Arial" w:cs="Arial"/>
          <w:sz w:val="20"/>
          <w:szCs w:val="20"/>
        </w:rPr>
        <w:t xml:space="preserve"> (Manchester, 2002),</w:t>
      </w:r>
      <w:r w:rsidR="009C6E12">
        <w:rPr>
          <w:rFonts w:ascii="Arial" w:hAnsi="Arial" w:cs="Arial"/>
          <w:sz w:val="20"/>
          <w:szCs w:val="20"/>
        </w:rPr>
        <w:t xml:space="preserve"> </w:t>
      </w:r>
      <w:r>
        <w:rPr>
          <w:rFonts w:ascii="Arial" w:hAnsi="Arial" w:cs="Arial"/>
          <w:sz w:val="20"/>
          <w:szCs w:val="20"/>
        </w:rPr>
        <w:t>pp. 65-81.</w:t>
      </w:r>
    </w:p>
    <w:p w14:paraId="3B823746" w14:textId="41C4433A" w:rsidR="007A68BB" w:rsidRDefault="00DD6358">
      <w:pPr>
        <w:rPr>
          <w:rFonts w:ascii="Arial" w:hAnsi="Arial" w:cs="Arial"/>
          <w:sz w:val="20"/>
          <w:szCs w:val="20"/>
        </w:rPr>
      </w:pPr>
      <w:r>
        <w:rPr>
          <w:rFonts w:ascii="Arial" w:hAnsi="Arial" w:cs="Arial"/>
          <w:sz w:val="20"/>
          <w:szCs w:val="20"/>
        </w:rPr>
        <w:t>*</w:t>
      </w:r>
      <w:r w:rsidR="007A68BB">
        <w:rPr>
          <w:rFonts w:ascii="Arial" w:hAnsi="Arial" w:cs="Arial"/>
          <w:sz w:val="20"/>
          <w:szCs w:val="20"/>
        </w:rPr>
        <w:t xml:space="preserve">Karen </w:t>
      </w:r>
      <w:proofErr w:type="spellStart"/>
      <w:r w:rsidR="007A68BB">
        <w:rPr>
          <w:rFonts w:ascii="Arial" w:hAnsi="Arial" w:cs="Arial"/>
          <w:sz w:val="20"/>
          <w:szCs w:val="20"/>
        </w:rPr>
        <w:t>Hollewand</w:t>
      </w:r>
      <w:proofErr w:type="spellEnd"/>
      <w:r w:rsidR="007A68BB">
        <w:rPr>
          <w:rFonts w:ascii="Arial" w:hAnsi="Arial" w:cs="Arial"/>
          <w:sz w:val="20"/>
          <w:szCs w:val="20"/>
        </w:rPr>
        <w:t>, ‘Sex and the Classics. The Approaches of Early Modern Humanists to Ancient Sexuality,’ in Dmitri Levitin and Ian Maclean (eds)</w:t>
      </w:r>
      <w:r>
        <w:rPr>
          <w:rFonts w:ascii="Arial" w:hAnsi="Arial" w:cs="Arial"/>
          <w:sz w:val="20"/>
          <w:szCs w:val="20"/>
        </w:rPr>
        <w:t xml:space="preserve">, </w:t>
      </w:r>
      <w:r w:rsidRPr="00DD6358">
        <w:rPr>
          <w:rFonts w:ascii="Arial" w:hAnsi="Arial" w:cs="Arial"/>
          <w:i/>
          <w:iCs/>
          <w:sz w:val="20"/>
          <w:szCs w:val="20"/>
        </w:rPr>
        <w:t>The Worlds of Knowledge and the Classical Tradition in the Early Modern Age</w:t>
      </w:r>
      <w:r>
        <w:rPr>
          <w:rFonts w:ascii="Arial" w:hAnsi="Arial" w:cs="Arial"/>
          <w:sz w:val="20"/>
          <w:szCs w:val="20"/>
        </w:rPr>
        <w:t xml:space="preserve"> (Leiden, 2021), pp. 63-90.</w:t>
      </w:r>
    </w:p>
    <w:p w14:paraId="69FC1537" w14:textId="4154A7B1" w:rsidR="00C00D18" w:rsidRDefault="00C00D18">
      <w:pPr>
        <w:rPr>
          <w:rFonts w:ascii="Arial" w:hAnsi="Arial" w:cs="Arial"/>
          <w:sz w:val="20"/>
          <w:szCs w:val="20"/>
        </w:rPr>
      </w:pPr>
      <w:r>
        <w:rPr>
          <w:rFonts w:ascii="Arial" w:hAnsi="Arial" w:cs="Arial"/>
          <w:sz w:val="20"/>
          <w:szCs w:val="20"/>
        </w:rPr>
        <w:t xml:space="preserve">Lawrence Stone, </w:t>
      </w:r>
      <w:r w:rsidRPr="00C00D18">
        <w:rPr>
          <w:rFonts w:ascii="Arial" w:hAnsi="Arial" w:cs="Arial"/>
          <w:i/>
          <w:iCs/>
          <w:sz w:val="20"/>
          <w:szCs w:val="20"/>
        </w:rPr>
        <w:t>The Family, Sex, and Marriage in England, 1500-1800</w:t>
      </w:r>
      <w:r>
        <w:rPr>
          <w:rFonts w:ascii="Arial" w:hAnsi="Arial" w:cs="Arial"/>
          <w:sz w:val="20"/>
          <w:szCs w:val="20"/>
        </w:rPr>
        <w:t xml:space="preserve"> (New York, 1977).</w:t>
      </w:r>
    </w:p>
    <w:p w14:paraId="77DC46D7" w14:textId="5C1C184C" w:rsidR="001229C7" w:rsidRDefault="001229C7">
      <w:pPr>
        <w:rPr>
          <w:rFonts w:ascii="Arial" w:hAnsi="Arial" w:cs="Arial"/>
          <w:sz w:val="20"/>
          <w:szCs w:val="20"/>
        </w:rPr>
      </w:pPr>
      <w:r>
        <w:rPr>
          <w:rFonts w:ascii="Arial" w:hAnsi="Arial" w:cs="Arial"/>
          <w:sz w:val="20"/>
          <w:szCs w:val="20"/>
        </w:rPr>
        <w:t xml:space="preserve">Sherry Velasco, ‘“If these beds could talk”: Narrating Lesbian Sex Acts in Early Modern Spain,’ </w:t>
      </w:r>
      <w:proofErr w:type="spellStart"/>
      <w:r w:rsidRPr="001229C7">
        <w:rPr>
          <w:rFonts w:ascii="Arial" w:hAnsi="Arial" w:cs="Arial"/>
          <w:i/>
          <w:iCs/>
          <w:sz w:val="20"/>
          <w:szCs w:val="20"/>
        </w:rPr>
        <w:t>Revista</w:t>
      </w:r>
      <w:proofErr w:type="spellEnd"/>
      <w:r w:rsidRPr="001229C7">
        <w:rPr>
          <w:rFonts w:ascii="Arial" w:hAnsi="Arial" w:cs="Arial"/>
          <w:i/>
          <w:iCs/>
          <w:sz w:val="20"/>
          <w:szCs w:val="20"/>
        </w:rPr>
        <w:t xml:space="preserve"> </w:t>
      </w:r>
      <w:proofErr w:type="spellStart"/>
      <w:r w:rsidRPr="001229C7">
        <w:rPr>
          <w:rFonts w:ascii="Arial" w:hAnsi="Arial" w:cs="Arial"/>
          <w:i/>
          <w:iCs/>
          <w:sz w:val="20"/>
          <w:szCs w:val="20"/>
        </w:rPr>
        <w:t>Canadiense</w:t>
      </w:r>
      <w:proofErr w:type="spellEnd"/>
      <w:r w:rsidRPr="001229C7">
        <w:rPr>
          <w:rFonts w:ascii="Arial" w:hAnsi="Arial" w:cs="Arial"/>
          <w:i/>
          <w:iCs/>
          <w:sz w:val="20"/>
          <w:szCs w:val="20"/>
        </w:rPr>
        <w:t xml:space="preserve"> de </w:t>
      </w:r>
      <w:proofErr w:type="spellStart"/>
      <w:r w:rsidRPr="001229C7">
        <w:rPr>
          <w:rFonts w:ascii="Arial" w:hAnsi="Arial" w:cs="Arial"/>
          <w:i/>
          <w:iCs/>
          <w:sz w:val="20"/>
          <w:szCs w:val="20"/>
        </w:rPr>
        <w:t>Estudios</w:t>
      </w:r>
      <w:proofErr w:type="spellEnd"/>
      <w:r w:rsidRPr="001229C7">
        <w:rPr>
          <w:rFonts w:ascii="Arial" w:hAnsi="Arial" w:cs="Arial"/>
          <w:i/>
          <w:iCs/>
          <w:sz w:val="20"/>
          <w:szCs w:val="20"/>
        </w:rPr>
        <w:t xml:space="preserve"> </w:t>
      </w:r>
      <w:proofErr w:type="spellStart"/>
      <w:r w:rsidRPr="001229C7">
        <w:rPr>
          <w:rFonts w:ascii="Arial" w:hAnsi="Arial" w:cs="Arial"/>
          <w:i/>
          <w:iCs/>
          <w:sz w:val="20"/>
          <w:szCs w:val="20"/>
        </w:rPr>
        <w:t>Hispánicos</w:t>
      </w:r>
      <w:proofErr w:type="spellEnd"/>
      <w:r>
        <w:rPr>
          <w:rFonts w:ascii="Arial" w:hAnsi="Arial" w:cs="Arial"/>
          <w:sz w:val="20"/>
          <w:szCs w:val="20"/>
        </w:rPr>
        <w:t xml:space="preserve"> 35/1 (2010), 229-42.</w:t>
      </w:r>
    </w:p>
    <w:p w14:paraId="1F1F8E07" w14:textId="77777777" w:rsidR="000C0553" w:rsidRDefault="000C0553">
      <w:pPr>
        <w:rPr>
          <w:rFonts w:ascii="Arial" w:hAnsi="Arial" w:cs="Arial"/>
          <w:sz w:val="20"/>
          <w:szCs w:val="20"/>
        </w:rPr>
      </w:pPr>
    </w:p>
    <w:p w14:paraId="69D9FB2F" w14:textId="77777777" w:rsidR="000C0553" w:rsidRPr="00C51B21" w:rsidRDefault="000C0553" w:rsidP="000C0553">
      <w:pPr>
        <w:rPr>
          <w:rFonts w:ascii="Arial" w:hAnsi="Arial" w:cs="Arial"/>
          <w:b/>
          <w:bCs/>
          <w:sz w:val="20"/>
          <w:szCs w:val="20"/>
        </w:rPr>
      </w:pPr>
      <w:r w:rsidRPr="00C51B21">
        <w:rPr>
          <w:rFonts w:ascii="Arial" w:hAnsi="Arial" w:cs="Arial"/>
          <w:b/>
          <w:bCs/>
          <w:sz w:val="20"/>
          <w:szCs w:val="20"/>
        </w:rPr>
        <w:t>Podcast</w:t>
      </w:r>
    </w:p>
    <w:p w14:paraId="6A862B37" w14:textId="77777777" w:rsidR="000C0553" w:rsidRPr="00C51B21" w:rsidRDefault="000C0553" w:rsidP="000C0553">
      <w:pPr>
        <w:rPr>
          <w:rFonts w:ascii="Arial" w:hAnsi="Arial" w:cs="Arial"/>
          <w:b/>
          <w:bCs/>
          <w:sz w:val="20"/>
          <w:szCs w:val="20"/>
        </w:rPr>
      </w:pPr>
      <w:r w:rsidRPr="00C51B21">
        <w:rPr>
          <w:rFonts w:ascii="Arial" w:hAnsi="Arial" w:cs="Arial"/>
          <w:sz w:val="20"/>
          <w:szCs w:val="20"/>
        </w:rPr>
        <w:t xml:space="preserve">For those who want to know more about the female humanist and author Isotta </w:t>
      </w:r>
      <w:proofErr w:type="spellStart"/>
      <w:r w:rsidRPr="00C51B21">
        <w:rPr>
          <w:rFonts w:ascii="Arial" w:hAnsi="Arial" w:cs="Arial"/>
          <w:sz w:val="20"/>
          <w:szCs w:val="20"/>
        </w:rPr>
        <w:t>Nogarola</w:t>
      </w:r>
      <w:proofErr w:type="spellEnd"/>
      <w:r w:rsidRPr="00C51B21">
        <w:rPr>
          <w:rFonts w:ascii="Arial" w:hAnsi="Arial" w:cs="Arial"/>
          <w:sz w:val="20"/>
          <w:szCs w:val="20"/>
        </w:rPr>
        <w:t xml:space="preserve"> (1418-1466), there is a podcast about her on the website of the Society for Neo-Latin Studies </w:t>
      </w:r>
      <w:hyperlink r:id="rId5" w:history="1">
        <w:r w:rsidRPr="00C51B21">
          <w:rPr>
            <w:rStyle w:val="Hyperlink"/>
            <w:rFonts w:ascii="Arial" w:hAnsi="Arial" w:cs="Arial"/>
            <w:sz w:val="20"/>
            <w:szCs w:val="20"/>
          </w:rPr>
          <w:t>The Neo-Latin Podcast (warwick.ac.uk)</w:t>
        </w:r>
      </w:hyperlink>
      <w:r w:rsidRPr="00C51B21">
        <w:rPr>
          <w:rFonts w:ascii="Arial" w:hAnsi="Arial" w:cs="Arial"/>
          <w:sz w:val="20"/>
          <w:szCs w:val="20"/>
        </w:rPr>
        <w:t xml:space="preserve"> (Episode 4).</w:t>
      </w:r>
    </w:p>
    <w:p w14:paraId="2C02979F" w14:textId="77777777" w:rsidR="000C0553" w:rsidRPr="001229C7" w:rsidRDefault="000C0553">
      <w:pPr>
        <w:rPr>
          <w:rFonts w:ascii="Arial" w:hAnsi="Arial" w:cs="Arial"/>
          <w:sz w:val="20"/>
          <w:szCs w:val="20"/>
        </w:rPr>
      </w:pPr>
    </w:p>
    <w:p w14:paraId="5A58E725" w14:textId="77777777" w:rsidR="002C243F" w:rsidRPr="00AC4F81" w:rsidRDefault="002C243F">
      <w:pPr>
        <w:rPr>
          <w:rFonts w:ascii="Arial" w:hAnsi="Arial" w:cs="Arial"/>
          <w:sz w:val="20"/>
          <w:szCs w:val="20"/>
        </w:rPr>
      </w:pPr>
    </w:p>
    <w:sectPr w:rsidR="002C243F" w:rsidRPr="00AC4F8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3E34"/>
    <w:rsid w:val="00023E34"/>
    <w:rsid w:val="000B1541"/>
    <w:rsid w:val="000C0553"/>
    <w:rsid w:val="001229C7"/>
    <w:rsid w:val="002207D2"/>
    <w:rsid w:val="00223FDF"/>
    <w:rsid w:val="00280004"/>
    <w:rsid w:val="002A73A7"/>
    <w:rsid w:val="002C082F"/>
    <w:rsid w:val="002C243F"/>
    <w:rsid w:val="00306FF9"/>
    <w:rsid w:val="0031071C"/>
    <w:rsid w:val="003A249A"/>
    <w:rsid w:val="004449C9"/>
    <w:rsid w:val="00451316"/>
    <w:rsid w:val="00457836"/>
    <w:rsid w:val="00477F25"/>
    <w:rsid w:val="004E623E"/>
    <w:rsid w:val="00594730"/>
    <w:rsid w:val="006A2493"/>
    <w:rsid w:val="007A68BB"/>
    <w:rsid w:val="008A009A"/>
    <w:rsid w:val="008E5456"/>
    <w:rsid w:val="008F12CD"/>
    <w:rsid w:val="009C6E12"/>
    <w:rsid w:val="00AC0B66"/>
    <w:rsid w:val="00AC4F81"/>
    <w:rsid w:val="00AE2302"/>
    <w:rsid w:val="00B66D2A"/>
    <w:rsid w:val="00C00D18"/>
    <w:rsid w:val="00C101DA"/>
    <w:rsid w:val="00D62F42"/>
    <w:rsid w:val="00DB0066"/>
    <w:rsid w:val="00DD6358"/>
    <w:rsid w:val="00F726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D773D6"/>
  <w15:chartTrackingRefBased/>
  <w15:docId w15:val="{4D426466-C967-4AB0-8C19-F96E744EB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C055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warwick.ac.uk/fac/arts/ren/snls/podcas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F5AA5A-6A1B-43A7-9152-EEDFE473B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689</Words>
  <Characters>3928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Verhaart, Floris</dc:creator>
  <cp:keywords/>
  <dc:description/>
  <cp:lastModifiedBy>Tom Pert</cp:lastModifiedBy>
  <cp:revision>3</cp:revision>
  <dcterms:created xsi:type="dcterms:W3CDTF">2023-07-23T14:25:00Z</dcterms:created>
  <dcterms:modified xsi:type="dcterms:W3CDTF">2023-08-29T14:27:00Z</dcterms:modified>
</cp:coreProperties>
</file>