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FA223B" w14:textId="124662D2" w:rsidR="00262705" w:rsidRPr="00262705" w:rsidRDefault="00262705">
      <w:pPr>
        <w:rPr>
          <w:rFonts w:ascii="Arial" w:hAnsi="Arial" w:cs="Arial"/>
          <w:b/>
          <w:bCs/>
        </w:rPr>
      </w:pPr>
      <w:r w:rsidRPr="00262705">
        <w:rPr>
          <w:rFonts w:ascii="Arial" w:hAnsi="Arial" w:cs="Arial"/>
          <w:b/>
          <w:bCs/>
        </w:rPr>
        <w:t xml:space="preserve">The </w:t>
      </w:r>
      <w:r w:rsidR="00F50DA7">
        <w:rPr>
          <w:rFonts w:ascii="Arial" w:hAnsi="Arial" w:cs="Arial"/>
          <w:b/>
          <w:bCs/>
        </w:rPr>
        <w:t xml:space="preserve">Thirty Years’ War (1618-1648): The </w:t>
      </w:r>
      <w:r w:rsidRPr="00262705">
        <w:rPr>
          <w:rFonts w:ascii="Arial" w:hAnsi="Arial" w:cs="Arial"/>
          <w:b/>
          <w:bCs/>
        </w:rPr>
        <w:t>Last European War of Religion?</w:t>
      </w:r>
    </w:p>
    <w:p w14:paraId="6BACB8FF" w14:textId="7F387C01" w:rsidR="00262705" w:rsidRDefault="0026270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Thomas Pert</w:t>
      </w:r>
    </w:p>
    <w:p w14:paraId="5ADF5664" w14:textId="77777777" w:rsidR="00505298" w:rsidRDefault="00505298">
      <w:pPr>
        <w:rPr>
          <w:rFonts w:ascii="Arial" w:hAnsi="Arial" w:cs="Arial"/>
          <w:sz w:val="20"/>
          <w:szCs w:val="20"/>
        </w:rPr>
      </w:pPr>
    </w:p>
    <w:p w14:paraId="7E534A31" w14:textId="77FBFC1B" w:rsidR="00505298" w:rsidRDefault="0050529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Thirty Years’ War (1618-1648) was the most destructive conflict in Europe before the 20</w:t>
      </w:r>
      <w:r w:rsidRPr="00505298">
        <w:rPr>
          <w:rFonts w:ascii="Arial" w:hAnsi="Arial" w:cs="Arial"/>
          <w:sz w:val="20"/>
          <w:szCs w:val="20"/>
          <w:vertAlign w:val="superscript"/>
        </w:rPr>
        <w:t>th</w:t>
      </w:r>
      <w:r>
        <w:rPr>
          <w:rFonts w:ascii="Arial" w:hAnsi="Arial" w:cs="Arial"/>
          <w:sz w:val="20"/>
          <w:szCs w:val="20"/>
        </w:rPr>
        <w:t xml:space="preserve"> century, </w:t>
      </w:r>
      <w:r w:rsidR="00BF3DD6">
        <w:rPr>
          <w:rFonts w:ascii="Arial" w:hAnsi="Arial" w:cs="Arial"/>
          <w:sz w:val="20"/>
          <w:szCs w:val="20"/>
        </w:rPr>
        <w:t>involving almost every major European power and resulting in the loss of approximately one-third of the population of the Holy Roman Empire</w:t>
      </w:r>
      <w:r>
        <w:rPr>
          <w:rFonts w:ascii="Arial" w:hAnsi="Arial" w:cs="Arial"/>
          <w:sz w:val="20"/>
          <w:szCs w:val="20"/>
        </w:rPr>
        <w:t>. Traditional scholarship has interpreted the Thirty Years’ War as the ‘Last European War of Religion’, a conflict</w:t>
      </w:r>
      <w:r w:rsidR="002D42EE">
        <w:rPr>
          <w:rFonts w:ascii="Arial" w:hAnsi="Arial" w:cs="Arial"/>
          <w:sz w:val="20"/>
          <w:szCs w:val="20"/>
        </w:rPr>
        <w:t xml:space="preserve"> started</w:t>
      </w:r>
      <w:r>
        <w:rPr>
          <w:rFonts w:ascii="Arial" w:hAnsi="Arial" w:cs="Arial"/>
          <w:sz w:val="20"/>
          <w:szCs w:val="20"/>
        </w:rPr>
        <w:t xml:space="preserve"> by hostilities between Catholics and Protestants but</w:t>
      </w:r>
      <w:r w:rsidR="002D42EE">
        <w:rPr>
          <w:rFonts w:ascii="Arial" w:hAnsi="Arial" w:cs="Arial"/>
          <w:sz w:val="20"/>
          <w:szCs w:val="20"/>
        </w:rPr>
        <w:t xml:space="preserve"> which ended by</w:t>
      </w:r>
      <w:r>
        <w:rPr>
          <w:rFonts w:ascii="Arial" w:hAnsi="Arial" w:cs="Arial"/>
          <w:sz w:val="20"/>
          <w:szCs w:val="20"/>
        </w:rPr>
        <w:t xml:space="preserve"> </w:t>
      </w:r>
      <w:r w:rsidR="002D42EE">
        <w:rPr>
          <w:rFonts w:ascii="Arial" w:hAnsi="Arial" w:cs="Arial"/>
          <w:sz w:val="20"/>
          <w:szCs w:val="20"/>
        </w:rPr>
        <w:t xml:space="preserve">transforming the international political stage into </w:t>
      </w:r>
      <w:r w:rsidR="0008483A">
        <w:rPr>
          <w:rFonts w:ascii="Arial" w:hAnsi="Arial" w:cs="Arial"/>
          <w:sz w:val="20"/>
          <w:szCs w:val="20"/>
        </w:rPr>
        <w:t xml:space="preserve">a more ‘secular’ </w:t>
      </w:r>
      <w:r w:rsidR="002D42EE">
        <w:rPr>
          <w:rFonts w:ascii="Arial" w:hAnsi="Arial" w:cs="Arial"/>
          <w:sz w:val="20"/>
          <w:szCs w:val="20"/>
        </w:rPr>
        <w:t xml:space="preserve">one of independent sovereign states </w:t>
      </w:r>
      <w:r w:rsidR="0008483A">
        <w:rPr>
          <w:rFonts w:ascii="Arial" w:hAnsi="Arial" w:cs="Arial"/>
          <w:sz w:val="20"/>
          <w:szCs w:val="20"/>
        </w:rPr>
        <w:t xml:space="preserve">who would never again go to war over religion. </w:t>
      </w:r>
      <w:r w:rsidR="00BF3DD6">
        <w:rPr>
          <w:rFonts w:ascii="Arial" w:hAnsi="Arial" w:cs="Arial"/>
          <w:sz w:val="20"/>
          <w:szCs w:val="20"/>
        </w:rPr>
        <w:t>However, this interpretation has been greatly challenged in recent years.</w:t>
      </w:r>
    </w:p>
    <w:p w14:paraId="0743964A" w14:textId="7C98B8F8" w:rsidR="00262705" w:rsidRDefault="000848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lecture </w:t>
      </w:r>
      <w:r w:rsidR="00BF3DD6">
        <w:rPr>
          <w:rFonts w:ascii="Arial" w:hAnsi="Arial" w:cs="Arial"/>
          <w:sz w:val="20"/>
          <w:szCs w:val="20"/>
        </w:rPr>
        <w:t xml:space="preserve">will provide an overview of this devastating war, before examining </w:t>
      </w:r>
      <w:r w:rsidR="0063037D">
        <w:rPr>
          <w:rFonts w:ascii="Arial" w:hAnsi="Arial" w:cs="Arial"/>
          <w:sz w:val="20"/>
          <w:szCs w:val="20"/>
        </w:rPr>
        <w:t xml:space="preserve">how far it is possible to describe the Thirty Years’ War as a religious conflict. In doing so, the lecture will also address other causes of the war, as well as the factors which drove various European powers to intervene and turn a localised rebellion into a maelstrom which engulfed much of the continent for three decades. The lecture will also examine the claims that the </w:t>
      </w:r>
      <w:r w:rsidR="00F40A65">
        <w:rPr>
          <w:rFonts w:ascii="Arial" w:hAnsi="Arial" w:cs="Arial"/>
          <w:sz w:val="20"/>
          <w:szCs w:val="20"/>
        </w:rPr>
        <w:t>Peace of Westphalia and the end of the conflict brought an end to Europe’s religious wars and ushered in a secular approach to international relations.</w:t>
      </w:r>
    </w:p>
    <w:p w14:paraId="19A3084E" w14:textId="3CE64550" w:rsidR="00262705" w:rsidRDefault="0077264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 the seminar we will look at a number of sources from across the Thirty Years’ War</w:t>
      </w:r>
      <w:r w:rsidR="009317C9">
        <w:rPr>
          <w:rFonts w:ascii="Arial" w:hAnsi="Arial" w:cs="Arial"/>
          <w:sz w:val="20"/>
          <w:szCs w:val="20"/>
        </w:rPr>
        <w:t>, ranging from printed propaganda to private correspondence, to examine whether contemporaries regarded the conflict as a religious war.</w:t>
      </w:r>
    </w:p>
    <w:p w14:paraId="1BE4D7D7" w14:textId="2D50A287" w:rsidR="00262705" w:rsidRPr="00262705" w:rsidRDefault="0026270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 preparation for the class, you should complete the </w:t>
      </w:r>
      <w:r>
        <w:rPr>
          <w:rFonts w:ascii="Arial" w:hAnsi="Arial" w:cs="Arial"/>
          <w:b/>
          <w:bCs/>
          <w:sz w:val="20"/>
          <w:szCs w:val="20"/>
        </w:rPr>
        <w:t xml:space="preserve">Essential Reading </w:t>
      </w:r>
      <w:r>
        <w:rPr>
          <w:rFonts w:ascii="Arial" w:hAnsi="Arial" w:cs="Arial"/>
          <w:sz w:val="20"/>
          <w:szCs w:val="20"/>
        </w:rPr>
        <w:t xml:space="preserve">listed below and read at least </w:t>
      </w:r>
      <w:r w:rsidR="00B32BF2">
        <w:rPr>
          <w:rFonts w:ascii="Arial" w:hAnsi="Arial" w:cs="Arial"/>
          <w:sz w:val="20"/>
          <w:szCs w:val="20"/>
        </w:rPr>
        <w:t>four</w:t>
      </w:r>
      <w:r>
        <w:rPr>
          <w:rFonts w:ascii="Arial" w:hAnsi="Arial" w:cs="Arial"/>
          <w:sz w:val="20"/>
          <w:szCs w:val="20"/>
        </w:rPr>
        <w:t xml:space="preserve"> of the </w:t>
      </w:r>
      <w:r w:rsidR="00505298">
        <w:rPr>
          <w:rFonts w:ascii="Arial" w:hAnsi="Arial" w:cs="Arial"/>
          <w:sz w:val="20"/>
          <w:szCs w:val="20"/>
        </w:rPr>
        <w:t xml:space="preserve">primary sources </w:t>
      </w:r>
    </w:p>
    <w:p w14:paraId="55D96500" w14:textId="36EAEFB7" w:rsidR="00262705" w:rsidRDefault="0026270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Assignment</w:t>
      </w:r>
    </w:p>
    <w:p w14:paraId="0DCC6EE8" w14:textId="6CC93798" w:rsidR="00EC6B2D" w:rsidRDefault="00B32BF2" w:rsidP="002F07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Read through </w:t>
      </w:r>
      <w:r>
        <w:rPr>
          <w:rFonts w:ascii="Arial" w:hAnsi="Arial" w:cs="Arial"/>
          <w:b/>
          <w:bCs/>
          <w:sz w:val="20"/>
          <w:szCs w:val="20"/>
        </w:rPr>
        <w:t>at least 4</w:t>
      </w:r>
      <w:r w:rsidR="00262705">
        <w:rPr>
          <w:rFonts w:ascii="Arial" w:hAnsi="Arial" w:cs="Arial"/>
          <w:sz w:val="20"/>
          <w:szCs w:val="20"/>
        </w:rPr>
        <w:t xml:space="preserve"> of </w:t>
      </w:r>
      <w:r w:rsidR="00456EC5">
        <w:rPr>
          <w:rFonts w:ascii="Arial" w:hAnsi="Arial" w:cs="Arial"/>
          <w:sz w:val="20"/>
          <w:szCs w:val="20"/>
        </w:rPr>
        <w:t>the following sources</w:t>
      </w:r>
      <w:r>
        <w:rPr>
          <w:rFonts w:ascii="Arial" w:hAnsi="Arial" w:cs="Arial"/>
          <w:sz w:val="20"/>
          <w:szCs w:val="20"/>
        </w:rPr>
        <w:t xml:space="preserve"> and come to the seminar prepared to discuss how they address the question </w:t>
      </w:r>
      <w:r w:rsidRPr="00951668">
        <w:rPr>
          <w:rFonts w:ascii="Arial" w:hAnsi="Arial" w:cs="Arial"/>
          <w:b/>
          <w:bCs/>
          <w:sz w:val="20"/>
          <w:szCs w:val="20"/>
        </w:rPr>
        <w:t>‘Was the Thirty Years’ War a war of religion?’</w:t>
      </w:r>
      <w:r w:rsidR="00456EC5">
        <w:rPr>
          <w:rFonts w:ascii="Arial" w:hAnsi="Arial" w:cs="Arial"/>
          <w:sz w:val="20"/>
          <w:szCs w:val="20"/>
        </w:rPr>
        <w:t xml:space="preserve"> </w:t>
      </w:r>
    </w:p>
    <w:p w14:paraId="7E66C56A" w14:textId="223D2906" w:rsidR="00B32BF2" w:rsidRPr="00B32BF2" w:rsidRDefault="00B32BF2" w:rsidP="002F07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These sources can be found in Peter H. Wilson (ed.), </w:t>
      </w:r>
      <w:r>
        <w:rPr>
          <w:rFonts w:ascii="Arial" w:hAnsi="Arial" w:cs="Arial"/>
          <w:i/>
          <w:iCs/>
          <w:sz w:val="20"/>
          <w:szCs w:val="20"/>
        </w:rPr>
        <w:t xml:space="preserve">The Thirty Years’ War: A Sourcebook </w:t>
      </w:r>
      <w:r>
        <w:rPr>
          <w:rFonts w:ascii="Arial" w:hAnsi="Arial" w:cs="Arial"/>
          <w:sz w:val="20"/>
          <w:szCs w:val="20"/>
        </w:rPr>
        <w:t xml:space="preserve">(London, 2010) and </w:t>
      </w:r>
      <w:proofErr w:type="spellStart"/>
      <w:r>
        <w:rPr>
          <w:rFonts w:ascii="Arial" w:hAnsi="Arial" w:cs="Arial"/>
          <w:sz w:val="20"/>
          <w:szCs w:val="20"/>
        </w:rPr>
        <w:t>Tryntje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Helfferich</w:t>
      </w:r>
      <w:proofErr w:type="spellEnd"/>
      <w:r>
        <w:rPr>
          <w:rFonts w:ascii="Arial" w:hAnsi="Arial" w:cs="Arial"/>
          <w:sz w:val="20"/>
          <w:szCs w:val="20"/>
        </w:rPr>
        <w:t xml:space="preserve"> (ed.), </w:t>
      </w:r>
      <w:r>
        <w:rPr>
          <w:rFonts w:ascii="Arial" w:hAnsi="Arial" w:cs="Arial"/>
          <w:i/>
          <w:iCs/>
          <w:sz w:val="20"/>
          <w:szCs w:val="20"/>
        </w:rPr>
        <w:t xml:space="preserve">The Thirty Years War: A Documentary History </w:t>
      </w:r>
      <w:r>
        <w:rPr>
          <w:rFonts w:ascii="Arial" w:hAnsi="Arial" w:cs="Arial"/>
          <w:sz w:val="20"/>
          <w:szCs w:val="20"/>
        </w:rPr>
        <w:t>(Indianapolis, 2009).</w:t>
      </w:r>
    </w:p>
    <w:p w14:paraId="3A448205" w14:textId="12C676A4" w:rsidR="00B32BF2" w:rsidRDefault="00B32BF2" w:rsidP="0033438A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‘The Bohemian ‘Apology’ for the Defenestration of Prague’, 25 May 1618 (Wilson, </w:t>
      </w:r>
      <w:r>
        <w:rPr>
          <w:rFonts w:ascii="Arial" w:hAnsi="Arial" w:cs="Arial"/>
          <w:i/>
          <w:iCs/>
          <w:sz w:val="20"/>
          <w:szCs w:val="20"/>
        </w:rPr>
        <w:t xml:space="preserve">Sourcebook, </w:t>
      </w:r>
      <w:r>
        <w:rPr>
          <w:rFonts w:ascii="Arial" w:hAnsi="Arial" w:cs="Arial"/>
          <w:sz w:val="20"/>
          <w:szCs w:val="20"/>
        </w:rPr>
        <w:t>pp. 37-40)</w:t>
      </w:r>
    </w:p>
    <w:p w14:paraId="4A677B91" w14:textId="2F85798C" w:rsidR="0033438A" w:rsidRDefault="00EC6B2D" w:rsidP="0033438A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‘Open letter from Frederick V regarding his acceptance of the Bohemian Crown, 7 November 1619’ (Wilson, </w:t>
      </w:r>
      <w:r>
        <w:rPr>
          <w:rFonts w:ascii="Arial" w:hAnsi="Arial" w:cs="Arial"/>
          <w:i/>
          <w:iCs/>
          <w:sz w:val="20"/>
          <w:szCs w:val="20"/>
        </w:rPr>
        <w:t>Sourcebook</w:t>
      </w:r>
      <w:r>
        <w:rPr>
          <w:rFonts w:ascii="Arial" w:hAnsi="Arial" w:cs="Arial"/>
          <w:sz w:val="20"/>
          <w:szCs w:val="20"/>
        </w:rPr>
        <w:t>, pp. 47-52</w:t>
      </w:r>
      <w:r w:rsidR="00B32BF2">
        <w:rPr>
          <w:rFonts w:ascii="Arial" w:hAnsi="Arial" w:cs="Arial"/>
          <w:sz w:val="20"/>
          <w:szCs w:val="20"/>
        </w:rPr>
        <w:t xml:space="preserve"> or </w:t>
      </w:r>
      <w:proofErr w:type="spellStart"/>
      <w:r w:rsidR="00B32BF2">
        <w:rPr>
          <w:rFonts w:ascii="Arial" w:hAnsi="Arial" w:cs="Arial"/>
          <w:sz w:val="20"/>
          <w:szCs w:val="20"/>
        </w:rPr>
        <w:t>Helfferich</w:t>
      </w:r>
      <w:proofErr w:type="spellEnd"/>
      <w:r w:rsidR="00B32BF2">
        <w:rPr>
          <w:rFonts w:ascii="Arial" w:hAnsi="Arial" w:cs="Arial"/>
          <w:sz w:val="20"/>
          <w:szCs w:val="20"/>
        </w:rPr>
        <w:t xml:space="preserve">, </w:t>
      </w:r>
      <w:r w:rsidR="00B32BF2">
        <w:rPr>
          <w:rFonts w:ascii="Arial" w:hAnsi="Arial" w:cs="Arial"/>
          <w:i/>
          <w:iCs/>
          <w:sz w:val="20"/>
          <w:szCs w:val="20"/>
        </w:rPr>
        <w:t>Documentary History</w:t>
      </w:r>
      <w:r w:rsidR="00B32BF2">
        <w:rPr>
          <w:rFonts w:ascii="Arial" w:hAnsi="Arial" w:cs="Arial"/>
          <w:sz w:val="20"/>
          <w:szCs w:val="20"/>
        </w:rPr>
        <w:t>, pp. 31-38)</w:t>
      </w:r>
      <w:r>
        <w:rPr>
          <w:rFonts w:ascii="Arial" w:hAnsi="Arial" w:cs="Arial"/>
          <w:sz w:val="20"/>
          <w:szCs w:val="20"/>
        </w:rPr>
        <w:t xml:space="preserve"> </w:t>
      </w:r>
    </w:p>
    <w:p w14:paraId="2E94CE45" w14:textId="77F77ED2" w:rsidR="00B32BF2" w:rsidRDefault="00B32BF2" w:rsidP="0033438A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‘The Miracle of White Mountain’ (Wilson, </w:t>
      </w:r>
      <w:r>
        <w:rPr>
          <w:rFonts w:ascii="Arial" w:hAnsi="Arial" w:cs="Arial"/>
          <w:i/>
          <w:iCs/>
          <w:sz w:val="20"/>
          <w:szCs w:val="20"/>
        </w:rPr>
        <w:t>Sourcebook</w:t>
      </w:r>
      <w:r>
        <w:rPr>
          <w:rFonts w:ascii="Arial" w:hAnsi="Arial" w:cs="Arial"/>
          <w:sz w:val="20"/>
          <w:szCs w:val="20"/>
        </w:rPr>
        <w:t>, pp. 70-1)</w:t>
      </w:r>
    </w:p>
    <w:p w14:paraId="0E11548E" w14:textId="05486C0E" w:rsidR="00CD5950" w:rsidRDefault="00CD5950" w:rsidP="001B3468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‘Letter of Elector John George of Saxony, 23 February 1623’ (</w:t>
      </w:r>
      <w:proofErr w:type="spellStart"/>
      <w:r>
        <w:rPr>
          <w:rFonts w:ascii="Arial" w:hAnsi="Arial" w:cs="Arial"/>
          <w:sz w:val="20"/>
          <w:szCs w:val="20"/>
        </w:rPr>
        <w:t>Helfferich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i/>
          <w:iCs/>
          <w:sz w:val="20"/>
          <w:szCs w:val="20"/>
        </w:rPr>
        <w:t>Documentary History</w:t>
      </w:r>
      <w:r>
        <w:rPr>
          <w:rFonts w:ascii="Arial" w:hAnsi="Arial" w:cs="Arial"/>
          <w:sz w:val="20"/>
          <w:szCs w:val="20"/>
        </w:rPr>
        <w:t>, pp. 63-66)</w:t>
      </w:r>
    </w:p>
    <w:p w14:paraId="3B7DD9CC" w14:textId="75CDDF58" w:rsidR="00451135" w:rsidRDefault="00EC6B2D" w:rsidP="001B3468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‘The </w:t>
      </w:r>
      <w:r w:rsidR="00451135">
        <w:rPr>
          <w:rFonts w:ascii="Arial" w:hAnsi="Arial" w:cs="Arial"/>
          <w:sz w:val="20"/>
          <w:szCs w:val="20"/>
        </w:rPr>
        <w:t>Edict of Restitution</w:t>
      </w:r>
      <w:r>
        <w:rPr>
          <w:rFonts w:ascii="Arial" w:hAnsi="Arial" w:cs="Arial"/>
          <w:sz w:val="20"/>
          <w:szCs w:val="20"/>
        </w:rPr>
        <w:t xml:space="preserve">, 6 March 1629’ (Wilson, </w:t>
      </w:r>
      <w:r>
        <w:rPr>
          <w:rFonts w:ascii="Arial" w:hAnsi="Arial" w:cs="Arial"/>
          <w:i/>
          <w:iCs/>
          <w:sz w:val="20"/>
          <w:szCs w:val="20"/>
        </w:rPr>
        <w:t xml:space="preserve">Sourcebook, </w:t>
      </w:r>
      <w:r>
        <w:rPr>
          <w:rFonts w:ascii="Arial" w:hAnsi="Arial" w:cs="Arial"/>
          <w:sz w:val="20"/>
          <w:szCs w:val="20"/>
        </w:rPr>
        <w:t>pp. 114-17</w:t>
      </w:r>
      <w:r w:rsidR="00CD5950">
        <w:rPr>
          <w:rFonts w:ascii="Arial" w:hAnsi="Arial" w:cs="Arial"/>
          <w:sz w:val="20"/>
          <w:szCs w:val="20"/>
        </w:rPr>
        <w:t xml:space="preserve"> or </w:t>
      </w:r>
      <w:proofErr w:type="spellStart"/>
      <w:r w:rsidR="00CD5950">
        <w:rPr>
          <w:rFonts w:ascii="Arial" w:hAnsi="Arial" w:cs="Arial"/>
          <w:sz w:val="20"/>
          <w:szCs w:val="20"/>
        </w:rPr>
        <w:t>Helfferich</w:t>
      </w:r>
      <w:proofErr w:type="spellEnd"/>
      <w:r w:rsidR="00CD5950">
        <w:rPr>
          <w:rFonts w:ascii="Arial" w:hAnsi="Arial" w:cs="Arial"/>
          <w:sz w:val="20"/>
          <w:szCs w:val="20"/>
        </w:rPr>
        <w:t xml:space="preserve">, </w:t>
      </w:r>
      <w:r w:rsidR="00CD5950">
        <w:rPr>
          <w:rFonts w:ascii="Arial" w:hAnsi="Arial" w:cs="Arial"/>
          <w:i/>
          <w:iCs/>
          <w:sz w:val="20"/>
          <w:szCs w:val="20"/>
        </w:rPr>
        <w:t>Documentary History</w:t>
      </w:r>
      <w:r w:rsidR="00CD5950">
        <w:rPr>
          <w:rFonts w:ascii="Arial" w:hAnsi="Arial" w:cs="Arial"/>
          <w:sz w:val="20"/>
          <w:szCs w:val="20"/>
        </w:rPr>
        <w:t>, pp. 91-98</w:t>
      </w:r>
      <w:r>
        <w:rPr>
          <w:rFonts w:ascii="Arial" w:hAnsi="Arial" w:cs="Arial"/>
          <w:sz w:val="20"/>
          <w:szCs w:val="20"/>
        </w:rPr>
        <w:t>)</w:t>
      </w:r>
    </w:p>
    <w:p w14:paraId="17FDE814" w14:textId="4C08F7E1" w:rsidR="001B3468" w:rsidRDefault="00EC6B2D" w:rsidP="00CD5950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‘The Swedish Manifesto, 1630’ </w:t>
      </w:r>
      <w:r w:rsidR="00511900">
        <w:rPr>
          <w:rFonts w:ascii="Arial" w:hAnsi="Arial" w:cs="Arial"/>
          <w:sz w:val="20"/>
          <w:szCs w:val="20"/>
        </w:rPr>
        <w:t xml:space="preserve">(Wilson, </w:t>
      </w:r>
      <w:r w:rsidR="00511900">
        <w:rPr>
          <w:rFonts w:ascii="Arial" w:hAnsi="Arial" w:cs="Arial"/>
          <w:i/>
          <w:iCs/>
          <w:sz w:val="20"/>
          <w:szCs w:val="20"/>
        </w:rPr>
        <w:t>Sourcebook</w:t>
      </w:r>
      <w:r w:rsidR="00511900">
        <w:rPr>
          <w:rFonts w:ascii="Arial" w:hAnsi="Arial" w:cs="Arial"/>
          <w:sz w:val="20"/>
          <w:szCs w:val="20"/>
        </w:rPr>
        <w:t>, pp. 122-30)</w:t>
      </w:r>
    </w:p>
    <w:p w14:paraId="0F1A4084" w14:textId="1CFB3FB7" w:rsidR="002F077C" w:rsidRDefault="002F077C" w:rsidP="00CD5950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‘Advice of Cardinal Richelieu of France, after 6 September 1634’ (</w:t>
      </w:r>
      <w:proofErr w:type="spellStart"/>
      <w:r>
        <w:rPr>
          <w:rFonts w:ascii="Arial" w:hAnsi="Arial" w:cs="Arial"/>
          <w:sz w:val="20"/>
          <w:szCs w:val="20"/>
        </w:rPr>
        <w:t>Helfferich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i/>
          <w:iCs/>
          <w:sz w:val="20"/>
          <w:szCs w:val="20"/>
        </w:rPr>
        <w:t>Documentary History</w:t>
      </w:r>
      <w:r>
        <w:rPr>
          <w:rFonts w:ascii="Arial" w:hAnsi="Arial" w:cs="Arial"/>
          <w:sz w:val="20"/>
          <w:szCs w:val="20"/>
        </w:rPr>
        <w:t>, pp. 151-52)</w:t>
      </w:r>
    </w:p>
    <w:p w14:paraId="6DC809FF" w14:textId="364E25D8" w:rsidR="002F077C" w:rsidRPr="00CD5950" w:rsidRDefault="002F077C" w:rsidP="00CD5950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‘The Peace of Westphalia, 24 October 1648’ (</w:t>
      </w:r>
      <w:proofErr w:type="spellStart"/>
      <w:r>
        <w:rPr>
          <w:rFonts w:ascii="Arial" w:hAnsi="Arial" w:cs="Arial"/>
          <w:sz w:val="20"/>
          <w:szCs w:val="20"/>
        </w:rPr>
        <w:t>Helfferich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i/>
          <w:iCs/>
          <w:sz w:val="20"/>
          <w:szCs w:val="20"/>
        </w:rPr>
        <w:t>Documentary History</w:t>
      </w:r>
      <w:r>
        <w:rPr>
          <w:rFonts w:ascii="Arial" w:hAnsi="Arial" w:cs="Arial"/>
          <w:sz w:val="20"/>
          <w:szCs w:val="20"/>
        </w:rPr>
        <w:t xml:space="preserve">, pp. 252-74 or Wilson, </w:t>
      </w:r>
      <w:r>
        <w:rPr>
          <w:rFonts w:ascii="Arial" w:hAnsi="Arial" w:cs="Arial"/>
          <w:i/>
          <w:iCs/>
          <w:sz w:val="20"/>
          <w:szCs w:val="20"/>
        </w:rPr>
        <w:t>Sourcebook</w:t>
      </w:r>
      <w:r>
        <w:rPr>
          <w:rFonts w:ascii="Arial" w:hAnsi="Arial" w:cs="Arial"/>
          <w:sz w:val="20"/>
          <w:szCs w:val="20"/>
        </w:rPr>
        <w:t>, pp. 303-23)</w:t>
      </w:r>
    </w:p>
    <w:p w14:paraId="354BC7CB" w14:textId="42FB44A5" w:rsidR="00262705" w:rsidRDefault="0026270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Essential Reading</w:t>
      </w:r>
    </w:p>
    <w:p w14:paraId="665B93AF" w14:textId="68FDD76A" w:rsidR="00CC36E9" w:rsidRPr="009317C9" w:rsidRDefault="00CC36E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Peter H. Wilson, ‘Dynasty, Constitution, and Confession: The Role of Religion in the Thirty Years War’, </w:t>
      </w:r>
      <w:r>
        <w:rPr>
          <w:rFonts w:ascii="Arial" w:hAnsi="Arial" w:cs="Arial"/>
          <w:i/>
          <w:iCs/>
          <w:sz w:val="20"/>
          <w:szCs w:val="20"/>
        </w:rPr>
        <w:t xml:space="preserve">The International History Review, </w:t>
      </w:r>
      <w:r>
        <w:rPr>
          <w:rFonts w:ascii="Arial" w:hAnsi="Arial" w:cs="Arial"/>
          <w:sz w:val="20"/>
          <w:szCs w:val="20"/>
        </w:rPr>
        <w:t>30/3 (2008), 473-514.</w:t>
      </w:r>
    </w:p>
    <w:p w14:paraId="4CB46392" w14:textId="260F5F24" w:rsidR="00262705" w:rsidRDefault="0026270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Further Reading</w:t>
      </w:r>
    </w:p>
    <w:p w14:paraId="36C1A991" w14:textId="0F25799F" w:rsidR="003749CB" w:rsidRDefault="00456E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Cornel </w:t>
      </w:r>
      <w:proofErr w:type="spellStart"/>
      <w:r>
        <w:rPr>
          <w:rFonts w:ascii="Arial" w:hAnsi="Arial" w:cs="Arial"/>
          <w:sz w:val="20"/>
          <w:szCs w:val="20"/>
        </w:rPr>
        <w:t>Zwierlein</w:t>
      </w:r>
      <w:proofErr w:type="spellEnd"/>
      <w:r>
        <w:rPr>
          <w:rFonts w:ascii="Arial" w:hAnsi="Arial" w:cs="Arial"/>
          <w:sz w:val="20"/>
          <w:szCs w:val="20"/>
        </w:rPr>
        <w:t xml:space="preserve">, ‘The Thirty Years’ War – A Religious War? Religion and </w:t>
      </w:r>
      <w:proofErr w:type="spellStart"/>
      <w:r>
        <w:rPr>
          <w:rFonts w:ascii="Arial" w:hAnsi="Arial" w:cs="Arial"/>
          <w:sz w:val="20"/>
          <w:szCs w:val="20"/>
        </w:rPr>
        <w:t>Machiavellism</w:t>
      </w:r>
      <w:proofErr w:type="spellEnd"/>
      <w:r>
        <w:rPr>
          <w:rFonts w:ascii="Arial" w:hAnsi="Arial" w:cs="Arial"/>
          <w:sz w:val="20"/>
          <w:szCs w:val="20"/>
        </w:rPr>
        <w:t xml:space="preserve"> at the Turning Point of 1635’, in O. </w:t>
      </w:r>
      <w:proofErr w:type="spellStart"/>
      <w:r>
        <w:rPr>
          <w:rFonts w:ascii="Arial" w:hAnsi="Arial" w:cs="Arial"/>
          <w:sz w:val="20"/>
          <w:szCs w:val="20"/>
        </w:rPr>
        <w:t>Asbach</w:t>
      </w:r>
      <w:proofErr w:type="spellEnd"/>
      <w:r>
        <w:rPr>
          <w:rFonts w:ascii="Arial" w:hAnsi="Arial" w:cs="Arial"/>
          <w:sz w:val="20"/>
          <w:szCs w:val="20"/>
        </w:rPr>
        <w:t xml:space="preserve"> &amp; P. </w:t>
      </w:r>
      <w:proofErr w:type="spellStart"/>
      <w:r>
        <w:rPr>
          <w:rFonts w:ascii="Arial" w:hAnsi="Arial" w:cs="Arial"/>
          <w:sz w:val="20"/>
          <w:szCs w:val="20"/>
        </w:rPr>
        <w:t>Schröder</w:t>
      </w:r>
      <w:proofErr w:type="spellEnd"/>
      <w:r>
        <w:rPr>
          <w:rFonts w:ascii="Arial" w:hAnsi="Arial" w:cs="Arial"/>
          <w:sz w:val="20"/>
          <w:szCs w:val="20"/>
        </w:rPr>
        <w:t xml:space="preserve"> (eds.), </w:t>
      </w:r>
      <w:r>
        <w:rPr>
          <w:rFonts w:ascii="Arial" w:hAnsi="Arial" w:cs="Arial"/>
          <w:i/>
          <w:iCs/>
          <w:sz w:val="20"/>
          <w:szCs w:val="20"/>
        </w:rPr>
        <w:t xml:space="preserve">The </w:t>
      </w:r>
      <w:bookmarkStart w:id="0" w:name="_GoBack"/>
      <w:r>
        <w:rPr>
          <w:rFonts w:ascii="Arial" w:hAnsi="Arial" w:cs="Arial"/>
          <w:i/>
          <w:iCs/>
          <w:sz w:val="20"/>
          <w:szCs w:val="20"/>
        </w:rPr>
        <w:t>Ashgate</w:t>
      </w:r>
      <w:bookmarkEnd w:id="0"/>
      <w:r>
        <w:rPr>
          <w:rFonts w:ascii="Arial" w:hAnsi="Arial" w:cs="Arial"/>
          <w:i/>
          <w:iCs/>
          <w:sz w:val="20"/>
          <w:szCs w:val="20"/>
        </w:rPr>
        <w:t xml:space="preserve"> Research Companion to the Thirty Years’ War </w:t>
      </w:r>
      <w:r>
        <w:rPr>
          <w:rFonts w:ascii="Arial" w:hAnsi="Arial" w:cs="Arial"/>
          <w:sz w:val="20"/>
          <w:szCs w:val="20"/>
        </w:rPr>
        <w:t xml:space="preserve">(Farnham, 2014), pp. </w:t>
      </w:r>
      <w:r w:rsidR="003749CB">
        <w:rPr>
          <w:rFonts w:ascii="Arial" w:hAnsi="Arial" w:cs="Arial"/>
          <w:sz w:val="20"/>
          <w:szCs w:val="20"/>
        </w:rPr>
        <w:t>231-43</w:t>
      </w:r>
      <w:r w:rsidR="009119A0">
        <w:rPr>
          <w:rFonts w:ascii="Arial" w:hAnsi="Arial" w:cs="Arial"/>
          <w:sz w:val="20"/>
          <w:szCs w:val="20"/>
        </w:rPr>
        <w:t xml:space="preserve"> (</w:t>
      </w:r>
      <w:r w:rsidR="009119A0" w:rsidRPr="009119A0">
        <w:rPr>
          <w:rFonts w:ascii="Arial" w:hAnsi="Arial" w:cs="Arial"/>
          <w:b/>
          <w:sz w:val="20"/>
          <w:szCs w:val="20"/>
        </w:rPr>
        <w:t>PDF provided</w:t>
      </w:r>
      <w:r w:rsidR="009119A0">
        <w:rPr>
          <w:rFonts w:ascii="Arial" w:hAnsi="Arial" w:cs="Arial"/>
          <w:sz w:val="20"/>
          <w:szCs w:val="20"/>
        </w:rPr>
        <w:t>)</w:t>
      </w:r>
    </w:p>
    <w:p w14:paraId="3CE68448" w14:textId="559A9199" w:rsidR="00951668" w:rsidRDefault="0095166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Lucien </w:t>
      </w:r>
      <w:proofErr w:type="spellStart"/>
      <w:r>
        <w:rPr>
          <w:rFonts w:ascii="Arial" w:hAnsi="Arial" w:cs="Arial"/>
          <w:sz w:val="20"/>
          <w:szCs w:val="20"/>
        </w:rPr>
        <w:t>Bély</w:t>
      </w:r>
      <w:proofErr w:type="spellEnd"/>
      <w:r>
        <w:rPr>
          <w:rFonts w:ascii="Arial" w:hAnsi="Arial" w:cs="Arial"/>
          <w:sz w:val="20"/>
          <w:szCs w:val="20"/>
        </w:rPr>
        <w:t xml:space="preserve">, ‘France and the Thirty Years’ War’, in O. </w:t>
      </w:r>
      <w:proofErr w:type="spellStart"/>
      <w:r>
        <w:rPr>
          <w:rFonts w:ascii="Arial" w:hAnsi="Arial" w:cs="Arial"/>
          <w:sz w:val="20"/>
          <w:szCs w:val="20"/>
        </w:rPr>
        <w:t>Asbach</w:t>
      </w:r>
      <w:proofErr w:type="spellEnd"/>
      <w:r>
        <w:rPr>
          <w:rFonts w:ascii="Arial" w:hAnsi="Arial" w:cs="Arial"/>
          <w:sz w:val="20"/>
          <w:szCs w:val="20"/>
        </w:rPr>
        <w:t xml:space="preserve"> &amp; P. </w:t>
      </w:r>
      <w:proofErr w:type="spellStart"/>
      <w:r>
        <w:rPr>
          <w:rFonts w:ascii="Arial" w:hAnsi="Arial" w:cs="Arial"/>
          <w:sz w:val="20"/>
          <w:szCs w:val="20"/>
        </w:rPr>
        <w:t>Schröder</w:t>
      </w:r>
      <w:proofErr w:type="spellEnd"/>
      <w:r>
        <w:rPr>
          <w:rFonts w:ascii="Arial" w:hAnsi="Arial" w:cs="Arial"/>
          <w:sz w:val="20"/>
          <w:szCs w:val="20"/>
        </w:rPr>
        <w:t xml:space="preserve"> (eds.), </w:t>
      </w:r>
      <w:r>
        <w:rPr>
          <w:rFonts w:ascii="Arial" w:hAnsi="Arial" w:cs="Arial"/>
          <w:i/>
          <w:iCs/>
          <w:sz w:val="20"/>
          <w:szCs w:val="20"/>
        </w:rPr>
        <w:t xml:space="preserve">The Ashgate Research Companion to the Thirty Years’ War </w:t>
      </w:r>
      <w:r>
        <w:rPr>
          <w:rFonts w:ascii="Arial" w:hAnsi="Arial" w:cs="Arial"/>
          <w:sz w:val="20"/>
          <w:szCs w:val="20"/>
        </w:rPr>
        <w:t xml:space="preserve">(Farnham, 2014), pp. </w:t>
      </w:r>
      <w:r w:rsidR="0072317E">
        <w:rPr>
          <w:rFonts w:ascii="Arial" w:hAnsi="Arial" w:cs="Arial"/>
          <w:sz w:val="20"/>
          <w:szCs w:val="20"/>
        </w:rPr>
        <w:t>87-99</w:t>
      </w:r>
      <w:r w:rsidR="009119A0">
        <w:rPr>
          <w:rFonts w:ascii="Arial" w:hAnsi="Arial" w:cs="Arial"/>
          <w:sz w:val="20"/>
          <w:szCs w:val="20"/>
        </w:rPr>
        <w:t xml:space="preserve"> </w:t>
      </w:r>
      <w:r w:rsidR="009119A0">
        <w:rPr>
          <w:rFonts w:ascii="Arial" w:hAnsi="Arial" w:cs="Arial"/>
          <w:sz w:val="20"/>
          <w:szCs w:val="20"/>
        </w:rPr>
        <w:t>(</w:t>
      </w:r>
      <w:r w:rsidR="009119A0" w:rsidRPr="009119A0">
        <w:rPr>
          <w:rFonts w:ascii="Arial" w:hAnsi="Arial" w:cs="Arial"/>
          <w:b/>
          <w:sz w:val="20"/>
          <w:szCs w:val="20"/>
        </w:rPr>
        <w:t>PDF provided</w:t>
      </w:r>
      <w:r w:rsidR="009119A0">
        <w:rPr>
          <w:rFonts w:ascii="Arial" w:hAnsi="Arial" w:cs="Arial"/>
          <w:sz w:val="20"/>
          <w:szCs w:val="20"/>
        </w:rPr>
        <w:t>)</w:t>
      </w:r>
    </w:p>
    <w:p w14:paraId="0E19C0B4" w14:textId="6EE77D4F" w:rsidR="0072317E" w:rsidRDefault="0072317E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Pärtel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Piirimäe</w:t>
      </w:r>
      <w:proofErr w:type="spellEnd"/>
      <w:r>
        <w:rPr>
          <w:rFonts w:ascii="Arial" w:hAnsi="Arial" w:cs="Arial"/>
          <w:sz w:val="20"/>
          <w:szCs w:val="20"/>
        </w:rPr>
        <w:t xml:space="preserve">, ‘Sweden’, in O. </w:t>
      </w:r>
      <w:proofErr w:type="spellStart"/>
      <w:r>
        <w:rPr>
          <w:rFonts w:ascii="Arial" w:hAnsi="Arial" w:cs="Arial"/>
          <w:sz w:val="20"/>
          <w:szCs w:val="20"/>
        </w:rPr>
        <w:t>Asbach</w:t>
      </w:r>
      <w:proofErr w:type="spellEnd"/>
      <w:r>
        <w:rPr>
          <w:rFonts w:ascii="Arial" w:hAnsi="Arial" w:cs="Arial"/>
          <w:sz w:val="20"/>
          <w:szCs w:val="20"/>
        </w:rPr>
        <w:t xml:space="preserve"> &amp; P. </w:t>
      </w:r>
      <w:proofErr w:type="spellStart"/>
      <w:r>
        <w:rPr>
          <w:rFonts w:ascii="Arial" w:hAnsi="Arial" w:cs="Arial"/>
          <w:sz w:val="20"/>
          <w:szCs w:val="20"/>
        </w:rPr>
        <w:t>Schröder</w:t>
      </w:r>
      <w:proofErr w:type="spellEnd"/>
      <w:r>
        <w:rPr>
          <w:rFonts w:ascii="Arial" w:hAnsi="Arial" w:cs="Arial"/>
          <w:sz w:val="20"/>
          <w:szCs w:val="20"/>
        </w:rPr>
        <w:t xml:space="preserve"> (eds.), </w:t>
      </w:r>
      <w:r>
        <w:rPr>
          <w:rFonts w:ascii="Arial" w:hAnsi="Arial" w:cs="Arial"/>
          <w:i/>
          <w:iCs/>
          <w:sz w:val="20"/>
          <w:szCs w:val="20"/>
        </w:rPr>
        <w:t xml:space="preserve">The Ashgate Research Companion to the Thirty Years’ War </w:t>
      </w:r>
      <w:r>
        <w:rPr>
          <w:rFonts w:ascii="Arial" w:hAnsi="Arial" w:cs="Arial"/>
          <w:sz w:val="20"/>
          <w:szCs w:val="20"/>
        </w:rPr>
        <w:t>(Farnham, 2014), pp. 77-85</w:t>
      </w:r>
      <w:r w:rsidR="009119A0">
        <w:rPr>
          <w:rFonts w:ascii="Arial" w:hAnsi="Arial" w:cs="Arial"/>
          <w:sz w:val="20"/>
          <w:szCs w:val="20"/>
        </w:rPr>
        <w:t xml:space="preserve"> </w:t>
      </w:r>
      <w:r w:rsidR="009119A0">
        <w:rPr>
          <w:rFonts w:ascii="Arial" w:hAnsi="Arial" w:cs="Arial"/>
          <w:sz w:val="20"/>
          <w:szCs w:val="20"/>
        </w:rPr>
        <w:t>(</w:t>
      </w:r>
      <w:r w:rsidR="009119A0" w:rsidRPr="009119A0">
        <w:rPr>
          <w:rFonts w:ascii="Arial" w:hAnsi="Arial" w:cs="Arial"/>
          <w:b/>
          <w:sz w:val="20"/>
          <w:szCs w:val="20"/>
        </w:rPr>
        <w:t>PDF provided</w:t>
      </w:r>
      <w:r w:rsidR="009119A0">
        <w:rPr>
          <w:rFonts w:ascii="Arial" w:hAnsi="Arial" w:cs="Arial"/>
          <w:sz w:val="20"/>
          <w:szCs w:val="20"/>
        </w:rPr>
        <w:t>)</w:t>
      </w:r>
    </w:p>
    <w:p w14:paraId="14287954" w14:textId="4C4908D9" w:rsidR="0033438A" w:rsidRDefault="00456E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Robert </w:t>
      </w:r>
      <w:proofErr w:type="spellStart"/>
      <w:r>
        <w:rPr>
          <w:rFonts w:ascii="Arial" w:hAnsi="Arial" w:cs="Arial"/>
          <w:sz w:val="20"/>
          <w:szCs w:val="20"/>
        </w:rPr>
        <w:t>Bireley</w:t>
      </w:r>
      <w:proofErr w:type="spellEnd"/>
      <w:r>
        <w:rPr>
          <w:rFonts w:ascii="Arial" w:hAnsi="Arial" w:cs="Arial"/>
          <w:sz w:val="20"/>
          <w:szCs w:val="20"/>
        </w:rPr>
        <w:t xml:space="preserve">, ‘The Peace of Prague (1635) and the Counterreformation in Germany’, </w:t>
      </w:r>
      <w:r>
        <w:rPr>
          <w:rFonts w:ascii="Arial" w:hAnsi="Arial" w:cs="Arial"/>
          <w:i/>
          <w:iCs/>
          <w:sz w:val="20"/>
          <w:szCs w:val="20"/>
        </w:rPr>
        <w:t xml:space="preserve">The Journal of Modern History, </w:t>
      </w:r>
      <w:r>
        <w:rPr>
          <w:rFonts w:ascii="Arial" w:hAnsi="Arial" w:cs="Arial"/>
          <w:sz w:val="20"/>
          <w:szCs w:val="20"/>
        </w:rPr>
        <w:t>48/1 (1976), pp. 31-70.</w:t>
      </w:r>
    </w:p>
    <w:p w14:paraId="28E53A89" w14:textId="413F6FA0" w:rsidR="002373CA" w:rsidRDefault="002373C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Peter H. Wilson, </w:t>
      </w:r>
      <w:r>
        <w:rPr>
          <w:rFonts w:ascii="Arial" w:hAnsi="Arial" w:cs="Arial"/>
          <w:i/>
          <w:iCs/>
          <w:sz w:val="20"/>
          <w:szCs w:val="20"/>
        </w:rPr>
        <w:t xml:space="preserve">Europe’s Tragedy: A New History of the Thirty Years’ War </w:t>
      </w:r>
      <w:r>
        <w:rPr>
          <w:rFonts w:ascii="Arial" w:hAnsi="Arial" w:cs="Arial"/>
          <w:sz w:val="20"/>
          <w:szCs w:val="20"/>
        </w:rPr>
        <w:t>(London, 2009),</w:t>
      </w:r>
      <w:r>
        <w:rPr>
          <w:rFonts w:ascii="Arial" w:hAnsi="Arial" w:cs="Arial"/>
          <w:i/>
          <w:iCs/>
          <w:sz w:val="20"/>
          <w:szCs w:val="20"/>
        </w:rPr>
        <w:t xml:space="preserve"> ‘</w:t>
      </w:r>
      <w:r>
        <w:rPr>
          <w:rFonts w:ascii="Arial" w:hAnsi="Arial" w:cs="Arial"/>
          <w:sz w:val="20"/>
          <w:szCs w:val="20"/>
        </w:rPr>
        <w:t xml:space="preserve">Chapter 1: Introduction’ and ‘Chapter 9: The Bohemian Revolt’ </w:t>
      </w:r>
    </w:p>
    <w:p w14:paraId="39AA2B29" w14:textId="6BA2298E" w:rsidR="001B3468" w:rsidRPr="001B3468" w:rsidRDefault="001B346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Derek Croxton, </w:t>
      </w:r>
      <w:r>
        <w:rPr>
          <w:rFonts w:ascii="Arial" w:hAnsi="Arial" w:cs="Arial"/>
          <w:i/>
          <w:iCs/>
          <w:sz w:val="20"/>
          <w:szCs w:val="20"/>
        </w:rPr>
        <w:t xml:space="preserve">Westphalia: The Last Christian Peace </w:t>
      </w:r>
      <w:r>
        <w:rPr>
          <w:rFonts w:ascii="Arial" w:hAnsi="Arial" w:cs="Arial"/>
          <w:sz w:val="20"/>
          <w:szCs w:val="20"/>
        </w:rPr>
        <w:t>(New York, 2013), Chapters 10 and 11.</w:t>
      </w:r>
    </w:p>
    <w:p w14:paraId="5C2FDB38" w14:textId="603F8B23" w:rsidR="00DB0B7B" w:rsidRDefault="00DB0B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Recommended Listening</w:t>
      </w:r>
    </w:p>
    <w:p w14:paraId="00273C05" w14:textId="47211FAD" w:rsidR="00DB0B7B" w:rsidRPr="00DB0B7B" w:rsidRDefault="00DB0B7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For a good overview of the Thirty Years’ War, I recommend listening to the ‘Thirty Years’ War’ episode of the </w:t>
      </w:r>
      <w:r>
        <w:rPr>
          <w:rFonts w:ascii="Arial" w:hAnsi="Arial" w:cs="Arial"/>
          <w:i/>
          <w:iCs/>
          <w:sz w:val="20"/>
          <w:szCs w:val="20"/>
        </w:rPr>
        <w:t xml:space="preserve">In Our Time </w:t>
      </w:r>
      <w:r>
        <w:rPr>
          <w:rFonts w:ascii="Arial" w:hAnsi="Arial" w:cs="Arial"/>
          <w:sz w:val="20"/>
          <w:szCs w:val="20"/>
        </w:rPr>
        <w:t>podcast (6 Dec 2018) (</w:t>
      </w:r>
      <w:r w:rsidRPr="00DB0B7B">
        <w:rPr>
          <w:rFonts w:ascii="Arial" w:hAnsi="Arial" w:cs="Arial"/>
          <w:sz w:val="20"/>
          <w:szCs w:val="20"/>
        </w:rPr>
        <w:t>https://www.youtube.com/watch?v=ognWSK50qLY</w:t>
      </w:r>
      <w:r>
        <w:rPr>
          <w:rFonts w:ascii="Arial" w:hAnsi="Arial" w:cs="Arial"/>
          <w:sz w:val="20"/>
          <w:szCs w:val="20"/>
        </w:rPr>
        <w:t>)</w:t>
      </w:r>
    </w:p>
    <w:sectPr w:rsidR="00DB0B7B" w:rsidRPr="00DB0B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A06EE1"/>
    <w:multiLevelType w:val="hybridMultilevel"/>
    <w:tmpl w:val="782225E6"/>
    <w:lvl w:ilvl="0" w:tplc="E76A4CDE">
      <w:start w:val="23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705"/>
    <w:rsid w:val="0008483A"/>
    <w:rsid w:val="00111CAD"/>
    <w:rsid w:val="001B3468"/>
    <w:rsid w:val="002373CA"/>
    <w:rsid w:val="00255EC2"/>
    <w:rsid w:val="00262705"/>
    <w:rsid w:val="002D42EE"/>
    <w:rsid w:val="002F077C"/>
    <w:rsid w:val="0033438A"/>
    <w:rsid w:val="003749CB"/>
    <w:rsid w:val="00451135"/>
    <w:rsid w:val="00456EC5"/>
    <w:rsid w:val="00505298"/>
    <w:rsid w:val="00511900"/>
    <w:rsid w:val="0063037D"/>
    <w:rsid w:val="0072317E"/>
    <w:rsid w:val="00772641"/>
    <w:rsid w:val="009119A0"/>
    <w:rsid w:val="009317C9"/>
    <w:rsid w:val="00951668"/>
    <w:rsid w:val="00B32BF2"/>
    <w:rsid w:val="00BF3DD6"/>
    <w:rsid w:val="00CC36E9"/>
    <w:rsid w:val="00CD5950"/>
    <w:rsid w:val="00DB0B7B"/>
    <w:rsid w:val="00EC6B2D"/>
    <w:rsid w:val="00F40A65"/>
    <w:rsid w:val="00F5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3B2058"/>
  <w15:chartTrackingRefBased/>
  <w15:docId w15:val="{CE5A66B4-E8EF-4199-8CF0-60A0A72BC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3438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B0B7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0B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803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1615</TotalTime>
  <Pages>2</Pages>
  <Words>645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Pert</dc:creator>
  <cp:keywords/>
  <dc:description/>
  <cp:lastModifiedBy>Claudia Daniotti</cp:lastModifiedBy>
  <cp:revision>4</cp:revision>
  <dcterms:created xsi:type="dcterms:W3CDTF">2021-10-26T15:03:00Z</dcterms:created>
  <dcterms:modified xsi:type="dcterms:W3CDTF">2021-11-15T18:57:00Z</dcterms:modified>
</cp:coreProperties>
</file>