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3E0CC4" w14:textId="77777777" w:rsidR="00B1624C" w:rsidRDefault="00B1624C" w:rsidP="00B1624C">
      <w:pPr>
        <w:pStyle w:val="NormalWeb"/>
      </w:pPr>
      <w:r>
        <w:t>In the competitive medical marketplace of the Renaissance, Hippocratic-Galenic medicine offered university-trained physicians a sophisticated framework for understanding diseases and their causes. They reasoned, for example, about affections as imbalance of humours and qualities, the proper function of bodily parts, or the interaction between individual constitution and external factors. Within this tradition, physicians developed various explanations for why people fell ill. This class examines some of the main pathological concepts and the question of how far they shaped medical practice, with particular attention to ideas of contagion in the Italian physician and philosopher Girolamo Fracastoro.</w:t>
      </w:r>
    </w:p>
    <w:p w14:paraId="707C7D23" w14:textId="77777777" w:rsidR="00B1624C" w:rsidRDefault="00B1624C" w:rsidP="00B1624C">
      <w:pPr>
        <w:pStyle w:val="NormalWeb"/>
      </w:pPr>
      <w:r>
        <w:t>The session will also provide an overview of the history and significance of the London Company of Barber-Surgeons, a key institution in the development of medical practice in early modern England. After its creation in 1540, by merging of the barbers and surgeons guilds, the Company regulated surgical practice and professional standards in London. The lecture will examine the specialities of the barber-surgeons along with influential members and their roles in the development of professional medical standards and impacts on public health. We will also consider the ways in which the Company reflected broader tensions in the development of medicinal disciplines as organised professions.</w:t>
      </w:r>
    </w:p>
    <w:p w14:paraId="72D9A1EC" w14:textId="77777777" w:rsidR="00B1624C" w:rsidRDefault="00B1624C" w:rsidP="00B1624C">
      <w:pPr>
        <w:pStyle w:val="NormalWeb"/>
      </w:pPr>
      <w:r>
        <w:rPr>
          <w:rStyle w:val="Strong"/>
          <w:rFonts w:eastAsiaTheme="majorEastAsia"/>
        </w:rPr>
        <w:t>Essential readings</w:t>
      </w:r>
    </w:p>
    <w:p w14:paraId="2225BE77" w14:textId="77777777" w:rsidR="00B1624C" w:rsidRDefault="00B1624C" w:rsidP="00B1624C">
      <w:pPr>
        <w:pStyle w:val="NormalWeb"/>
      </w:pPr>
      <w:r>
        <w:t>Stolberg, Michael, Learned Physicians and Everyday Medical Practice (De Gruyter, 2022), see in particular pp. 117-145 (chapter on ‘Pathology’, in ‘From theory to practice’)</w:t>
      </w:r>
    </w:p>
    <w:p w14:paraId="1D08AC15" w14:textId="77777777" w:rsidR="00B1624C" w:rsidRDefault="00B1624C" w:rsidP="00B1624C">
      <w:pPr>
        <w:pStyle w:val="NormalWeb"/>
      </w:pPr>
      <w:r>
        <w:t xml:space="preserve">Nutton, Vivian, ‘The Seeds of Disease: an Explanation of Contagion and Infection from the Greeks to the Renaissance’, Medical History, 27 (1983), pp. 1-34, </w:t>
      </w:r>
      <w:hyperlink r:id="rId4" w:history="1">
        <w:r>
          <w:rPr>
            <w:rStyle w:val="Hyperlink"/>
            <w:rFonts w:eastAsiaTheme="majorEastAsia"/>
          </w:rPr>
          <w:t>doi:10.1017/S002572730004</w:t>
        </w:r>
        <w:r>
          <w:rPr>
            <w:rStyle w:val="Hyperlink"/>
            <w:rFonts w:eastAsiaTheme="majorEastAsia"/>
          </w:rPr>
          <w:t>2</w:t>
        </w:r>
        <w:r>
          <w:rPr>
            <w:rStyle w:val="Hyperlink"/>
            <w:rFonts w:eastAsiaTheme="majorEastAsia"/>
          </w:rPr>
          <w:t>241</w:t>
        </w:r>
      </w:hyperlink>
    </w:p>
    <w:p w14:paraId="70BE54BA" w14:textId="77777777" w:rsidR="00B1624C" w:rsidRDefault="00B1624C" w:rsidP="00B1624C">
      <w:pPr>
        <w:pStyle w:val="NormalWeb"/>
      </w:pPr>
      <w:r>
        <w:t>Please see the preface (pp. 1-28, ending before the Institution of a Chirurgian); Gale, T.1563, </w:t>
      </w:r>
      <w:hyperlink r:id="rId5" w:history="1">
        <w:r>
          <w:rPr>
            <w:rStyle w:val="Hyperlink"/>
            <w:rFonts w:eastAsiaTheme="majorEastAsia"/>
          </w:rPr>
          <w:t>Certaine vvorkes</w:t>
        </w:r>
        <w:r>
          <w:rPr>
            <w:rStyle w:val="Hyperlink"/>
            <w:rFonts w:eastAsiaTheme="majorEastAsia"/>
          </w:rPr>
          <w:t xml:space="preserve"> </w:t>
        </w:r>
        <w:r>
          <w:rPr>
            <w:rStyle w:val="Hyperlink"/>
            <w:rFonts w:eastAsiaTheme="majorEastAsia"/>
          </w:rPr>
          <w:t>of chirurgerie</w:t>
        </w:r>
      </w:hyperlink>
      <w:r>
        <w:t>, Rouland Hall.</w:t>
      </w:r>
    </w:p>
    <w:p w14:paraId="50C55F20" w14:textId="77777777" w:rsidR="00B1624C" w:rsidRDefault="00B1624C" w:rsidP="00B1624C">
      <w:pPr>
        <w:pStyle w:val="NormalWeb"/>
      </w:pPr>
      <w:r>
        <w:rPr>
          <w:rStyle w:val="Strong"/>
          <w:rFonts w:eastAsiaTheme="majorEastAsia"/>
        </w:rPr>
        <w:t xml:space="preserve">Discussion questions: </w:t>
      </w:r>
    </w:p>
    <w:p w14:paraId="3EDF3CB2" w14:textId="77777777" w:rsidR="00B1624C" w:rsidRDefault="00B1624C" w:rsidP="00B1624C">
      <w:pPr>
        <w:pStyle w:val="NormalWeb"/>
      </w:pPr>
      <w:r>
        <w:t>What were the main pathological frameworks available to learned physicians for understanding diseases and their causes?</w:t>
      </w:r>
    </w:p>
    <w:p w14:paraId="15284BFD" w14:textId="77777777" w:rsidR="00B1624C" w:rsidRDefault="00B1624C" w:rsidP="00B1624C">
      <w:pPr>
        <w:pStyle w:val="NormalWeb"/>
      </w:pPr>
      <w:r>
        <w:t>Nutton traces theories of contagion and "seeds of disease" from antiquity through the Renaissance. What does this long history suggest about how we should understand Fracastoro's De contagione? Should we interpret it in terms of innovation or continuity?</w:t>
      </w:r>
    </w:p>
    <w:p w14:paraId="45F7DBC9" w14:textId="77777777" w:rsidR="00B1624C" w:rsidRDefault="00B1624C" w:rsidP="00B1624C">
      <w:pPr>
        <w:pStyle w:val="NormalWeb"/>
      </w:pPr>
      <w:r>
        <w:t>Why was the merger of barbers and surgeons in 1540 significant for the regulation of medical practice?</w:t>
      </w:r>
    </w:p>
    <w:p w14:paraId="50B794AC" w14:textId="77777777" w:rsidR="00B1624C" w:rsidRDefault="00B1624C" w:rsidP="00B1624C">
      <w:pPr>
        <w:pStyle w:val="NormalWeb"/>
      </w:pPr>
      <w:r>
        <w:t>How did the apprenticeship system shape the training and identity of surgeons in early modern England?</w:t>
      </w:r>
    </w:p>
    <w:p w14:paraId="2DCF5E7B" w14:textId="77777777" w:rsidR="00B1624C" w:rsidRDefault="00B1624C" w:rsidP="00B1624C">
      <w:pPr>
        <w:pStyle w:val="NormalWeb"/>
      </w:pPr>
      <w:r>
        <w:t>In what ways did the Company develop and enforce standards of practice, and how effective were these measures?</w:t>
      </w:r>
    </w:p>
    <w:p w14:paraId="07685FEA" w14:textId="77777777" w:rsidR="00B1624C" w:rsidRDefault="00B1624C" w:rsidP="00B1624C">
      <w:pPr>
        <w:pStyle w:val="NormalWeb"/>
      </w:pPr>
      <w:r>
        <w:rPr>
          <w:rStyle w:val="Strong"/>
          <w:rFonts w:eastAsiaTheme="majorEastAsia"/>
        </w:rPr>
        <w:t>Recommended readings:</w:t>
      </w:r>
    </w:p>
    <w:p w14:paraId="4A345592" w14:textId="77777777" w:rsidR="00B1624C" w:rsidRDefault="00B1624C" w:rsidP="00B1624C">
      <w:pPr>
        <w:pStyle w:val="NormalWeb"/>
      </w:pPr>
      <w:r>
        <w:lastRenderedPageBreak/>
        <w:t>Cohn, Samuel K., Cultures of Plague: Medical Thinking at the End of the Renaissance (Oxford University Press, 2010)</w:t>
      </w:r>
    </w:p>
    <w:p w14:paraId="54C39968" w14:textId="77777777" w:rsidR="00B1624C" w:rsidRDefault="00B1624C" w:rsidP="00B1624C">
      <w:pPr>
        <w:pStyle w:val="NormalWeb"/>
      </w:pPr>
      <w:r>
        <w:t>Nutton, Vivian, Renaissance Medicine: A Short History of European Medicine in the Sixteenth Century (Routledge, 2022); see in particular for this class ch.8 ‘Learned Medicine’</w:t>
      </w:r>
    </w:p>
    <w:p w14:paraId="6EE0FCAD" w14:textId="77777777" w:rsidR="00B1624C" w:rsidRDefault="00B1624C" w:rsidP="00B1624C">
      <w:pPr>
        <w:pStyle w:val="NormalWeb"/>
      </w:pPr>
      <w:r>
        <w:t xml:space="preserve">Nutton, Vivian, ‘The Reception of Fracastoro’s Theory of Contagion: The Seed That Fell Among Thorns?’, Osiris, 6 (1990), pp. 196-234, </w:t>
      </w:r>
      <w:hyperlink r:id="rId6" w:history="1">
        <w:r>
          <w:rPr>
            <w:rStyle w:val="Hyperlink"/>
            <w:rFonts w:eastAsiaTheme="majorEastAsia"/>
          </w:rPr>
          <w:t>https://doi.org/10.1086/368701</w:t>
        </w:r>
      </w:hyperlink>
    </w:p>
    <w:p w14:paraId="484A6724" w14:textId="77777777" w:rsidR="00B1624C" w:rsidRDefault="00B1624C" w:rsidP="00B1624C">
      <w:pPr>
        <w:pStyle w:val="NormalWeb"/>
      </w:pPr>
      <w:r>
        <w:t>Siraisi, Nancy, Medieval and Early Renaissance Medicine. An Introduction to Theory and Practice (The University of Chicago Press, 1990); see in particular ch.4 ‘Physiological and Anatomical Knowledge’, and ch.5 ‘Disease and Treatment’</w:t>
      </w:r>
    </w:p>
    <w:p w14:paraId="6963B84D" w14:textId="77777777" w:rsidR="00B1624C" w:rsidRDefault="00B1624C" w:rsidP="00B1624C">
      <w:pPr>
        <w:pStyle w:val="NormalWeb"/>
      </w:pPr>
      <w:r>
        <w:t>For an example of Renaissance medical treatise in English translation see:</w:t>
      </w:r>
    </w:p>
    <w:p w14:paraId="31A25537" w14:textId="77777777" w:rsidR="00B1624C" w:rsidRDefault="00B1624C" w:rsidP="00B1624C">
      <w:pPr>
        <w:pStyle w:val="NormalWeb"/>
      </w:pPr>
      <w:r>
        <w:t>Girolamo Mercuriale, On Pestilence: a Renaissance treatise on plague, trans. and with an introduction by C. Martin (University of Pennsylvania Press, 2022)</w:t>
      </w:r>
    </w:p>
    <w:p w14:paraId="3BABE065" w14:textId="77777777" w:rsidR="00B1624C" w:rsidRDefault="00B1624C" w:rsidP="00B1624C">
      <w:pPr>
        <w:pStyle w:val="NormalWeb"/>
      </w:pPr>
      <w:r>
        <w:t>Lupton, D. (2012), Medicine as culture: Illness, disease and the body, 3rd edn, Sage.</w:t>
      </w:r>
    </w:p>
    <w:p w14:paraId="4BCC4C1F" w14:textId="77777777" w:rsidR="00B1624C" w:rsidRDefault="00B1624C" w:rsidP="00B1624C">
      <w:pPr>
        <w:pStyle w:val="NormalWeb"/>
      </w:pPr>
      <w:r>
        <w:t>Pelling, M. (2003), Medical conflicts in early modern London: Patronage, physicians, and irregular practitioners 1550–1640, Oxford University Press.</w:t>
      </w:r>
    </w:p>
    <w:p w14:paraId="77911B66" w14:textId="77777777" w:rsidR="00B1624C" w:rsidRDefault="00B1624C" w:rsidP="00B1624C">
      <w:pPr>
        <w:pStyle w:val="NormalWeb"/>
      </w:pPr>
      <w:r>
        <w:t>Pelling, M. (2014), ‘Barber-surgeons’ guilds and ordinances in early modern British towns – the story so far’, </w:t>
      </w:r>
      <w:hyperlink r:id="rId7" w:history="1">
        <w:r>
          <w:rPr>
            <w:rStyle w:val="Hyperlink"/>
            <w:rFonts w:eastAsiaTheme="majorEastAsia"/>
          </w:rPr>
          <w:t>https://practitioners.exeter.ac.uk/wp-content/uploads/2014/11/Pelling_BarberSurgeonsOrds-2.pdf</w:t>
        </w:r>
      </w:hyperlink>
    </w:p>
    <w:p w14:paraId="14D5059A" w14:textId="77777777" w:rsidR="00B1624C" w:rsidRDefault="00B1624C" w:rsidP="00B1624C">
      <w:pPr>
        <w:pStyle w:val="NormalWeb"/>
      </w:pPr>
      <w:r>
        <w:t>Ryrie, A. (2008), The sorcerer's tale: Faith and fraud in Tudor England, Oxford University Press.</w:t>
      </w:r>
    </w:p>
    <w:p w14:paraId="4B44ADDA" w14:textId="77777777" w:rsidR="00B1624C" w:rsidRDefault="00B1624C" w:rsidP="00B1624C">
      <w:pPr>
        <w:pStyle w:val="NormalWeb"/>
      </w:pPr>
      <w:r>
        <w:t>Wallis, P. (2012), ‘Apprenticeship and training in premodern England’, in Howlett, P. &amp; Morgan, M. (eds.), How well do facts travel?: The dissemination of reliable knowledge, Cambridge University Press.</w:t>
      </w:r>
    </w:p>
    <w:p w14:paraId="24CE53EC" w14:textId="77777777" w:rsidR="00B1624C" w:rsidRDefault="00B1624C" w:rsidP="00B1624C">
      <w:pPr>
        <w:pStyle w:val="NormalWeb"/>
      </w:pPr>
      <w:r>
        <w:t>Young, S. &amp; Young, A.T. 1890, </w:t>
      </w:r>
      <w:hyperlink r:id="rId8" w:history="1">
        <w:r>
          <w:rPr>
            <w:rStyle w:val="Hyperlink"/>
            <w:rFonts w:eastAsiaTheme="majorEastAsia"/>
          </w:rPr>
          <w:t>The annals of the barber-surgeons of London: Compiled from their records and other sources, with illustrations</w:t>
        </w:r>
      </w:hyperlink>
      <w:r>
        <w:t>, Blades, East &amp; Blades, London.</w:t>
      </w:r>
    </w:p>
    <w:p w14:paraId="52783A34" w14:textId="77777777" w:rsidR="004B6C93" w:rsidRDefault="004B6C93"/>
    <w:sectPr w:rsidR="004B6C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24C"/>
    <w:rsid w:val="00011B31"/>
    <w:rsid w:val="000252EA"/>
    <w:rsid w:val="00025CF6"/>
    <w:rsid w:val="000345DA"/>
    <w:rsid w:val="00042D03"/>
    <w:rsid w:val="00047EBA"/>
    <w:rsid w:val="00064ACF"/>
    <w:rsid w:val="000652B9"/>
    <w:rsid w:val="00090F73"/>
    <w:rsid w:val="000961FA"/>
    <w:rsid w:val="000A1FC6"/>
    <w:rsid w:val="000A4DCE"/>
    <w:rsid w:val="000A5982"/>
    <w:rsid w:val="000B0244"/>
    <w:rsid w:val="000B0EEC"/>
    <w:rsid w:val="000D42E2"/>
    <w:rsid w:val="000D470D"/>
    <w:rsid w:val="000E6595"/>
    <w:rsid w:val="000F5DEF"/>
    <w:rsid w:val="001001AC"/>
    <w:rsid w:val="0010708F"/>
    <w:rsid w:val="001126A7"/>
    <w:rsid w:val="00121114"/>
    <w:rsid w:val="00147578"/>
    <w:rsid w:val="00156C51"/>
    <w:rsid w:val="001652A7"/>
    <w:rsid w:val="00174AF4"/>
    <w:rsid w:val="00175814"/>
    <w:rsid w:val="00175E0F"/>
    <w:rsid w:val="001873D1"/>
    <w:rsid w:val="001A56E8"/>
    <w:rsid w:val="001B4075"/>
    <w:rsid w:val="001C721D"/>
    <w:rsid w:val="001D4FEC"/>
    <w:rsid w:val="001D7C1D"/>
    <w:rsid w:val="001F2A5D"/>
    <w:rsid w:val="00207C07"/>
    <w:rsid w:val="002313E4"/>
    <w:rsid w:val="00251FB0"/>
    <w:rsid w:val="002778DA"/>
    <w:rsid w:val="00293124"/>
    <w:rsid w:val="00293825"/>
    <w:rsid w:val="002942A8"/>
    <w:rsid w:val="00294331"/>
    <w:rsid w:val="00296C40"/>
    <w:rsid w:val="002A1473"/>
    <w:rsid w:val="002A78DA"/>
    <w:rsid w:val="002B0104"/>
    <w:rsid w:val="002C2191"/>
    <w:rsid w:val="002C7035"/>
    <w:rsid w:val="002D519D"/>
    <w:rsid w:val="002E0B79"/>
    <w:rsid w:val="002F7E2A"/>
    <w:rsid w:val="0030688E"/>
    <w:rsid w:val="00312B11"/>
    <w:rsid w:val="00313C6A"/>
    <w:rsid w:val="0032461D"/>
    <w:rsid w:val="00334A67"/>
    <w:rsid w:val="00342705"/>
    <w:rsid w:val="00342CF0"/>
    <w:rsid w:val="003502C8"/>
    <w:rsid w:val="00350C32"/>
    <w:rsid w:val="00371831"/>
    <w:rsid w:val="00380416"/>
    <w:rsid w:val="003935EE"/>
    <w:rsid w:val="00393A75"/>
    <w:rsid w:val="00395BE1"/>
    <w:rsid w:val="003A26A5"/>
    <w:rsid w:val="003A454B"/>
    <w:rsid w:val="003E1AFB"/>
    <w:rsid w:val="003E4646"/>
    <w:rsid w:val="003F0BCA"/>
    <w:rsid w:val="00400322"/>
    <w:rsid w:val="0040433F"/>
    <w:rsid w:val="00405613"/>
    <w:rsid w:val="00406C75"/>
    <w:rsid w:val="00410E3E"/>
    <w:rsid w:val="00411D70"/>
    <w:rsid w:val="00414891"/>
    <w:rsid w:val="00417767"/>
    <w:rsid w:val="004204D6"/>
    <w:rsid w:val="0043394B"/>
    <w:rsid w:val="004354DC"/>
    <w:rsid w:val="004371FF"/>
    <w:rsid w:val="0044158B"/>
    <w:rsid w:val="00443E7A"/>
    <w:rsid w:val="0045151B"/>
    <w:rsid w:val="00456471"/>
    <w:rsid w:val="0047245F"/>
    <w:rsid w:val="004875D1"/>
    <w:rsid w:val="00490829"/>
    <w:rsid w:val="00496B68"/>
    <w:rsid w:val="004A6A4A"/>
    <w:rsid w:val="004A7D11"/>
    <w:rsid w:val="004B6C93"/>
    <w:rsid w:val="00500463"/>
    <w:rsid w:val="00506E9D"/>
    <w:rsid w:val="00511082"/>
    <w:rsid w:val="00511C5E"/>
    <w:rsid w:val="00517A5A"/>
    <w:rsid w:val="00530DE7"/>
    <w:rsid w:val="00583785"/>
    <w:rsid w:val="005A0BE0"/>
    <w:rsid w:val="005A2968"/>
    <w:rsid w:val="005A678C"/>
    <w:rsid w:val="005B389D"/>
    <w:rsid w:val="005C5183"/>
    <w:rsid w:val="005C68ED"/>
    <w:rsid w:val="005E1B7B"/>
    <w:rsid w:val="005E1BD4"/>
    <w:rsid w:val="005E27B9"/>
    <w:rsid w:val="005F0416"/>
    <w:rsid w:val="005F66C3"/>
    <w:rsid w:val="006062D9"/>
    <w:rsid w:val="00606810"/>
    <w:rsid w:val="0060741F"/>
    <w:rsid w:val="006119FD"/>
    <w:rsid w:val="0061426A"/>
    <w:rsid w:val="0062333F"/>
    <w:rsid w:val="006429F3"/>
    <w:rsid w:val="00651A49"/>
    <w:rsid w:val="00653AC4"/>
    <w:rsid w:val="00675BD3"/>
    <w:rsid w:val="0068067E"/>
    <w:rsid w:val="00680E98"/>
    <w:rsid w:val="00681082"/>
    <w:rsid w:val="006844B8"/>
    <w:rsid w:val="006865B7"/>
    <w:rsid w:val="006958A0"/>
    <w:rsid w:val="006A4396"/>
    <w:rsid w:val="006D315E"/>
    <w:rsid w:val="006D6D29"/>
    <w:rsid w:val="006D760C"/>
    <w:rsid w:val="006E6B9B"/>
    <w:rsid w:val="006F3A49"/>
    <w:rsid w:val="00705799"/>
    <w:rsid w:val="00707EDF"/>
    <w:rsid w:val="00731216"/>
    <w:rsid w:val="00736263"/>
    <w:rsid w:val="0076516F"/>
    <w:rsid w:val="00767C08"/>
    <w:rsid w:val="007750A1"/>
    <w:rsid w:val="00793434"/>
    <w:rsid w:val="00793E4F"/>
    <w:rsid w:val="00795E19"/>
    <w:rsid w:val="007A04F0"/>
    <w:rsid w:val="007A6B71"/>
    <w:rsid w:val="007B15C4"/>
    <w:rsid w:val="007B2E2B"/>
    <w:rsid w:val="007C3CEA"/>
    <w:rsid w:val="007C4E40"/>
    <w:rsid w:val="007E07F7"/>
    <w:rsid w:val="007E23BA"/>
    <w:rsid w:val="007F38BE"/>
    <w:rsid w:val="0080133A"/>
    <w:rsid w:val="00807914"/>
    <w:rsid w:val="00814A60"/>
    <w:rsid w:val="008155AC"/>
    <w:rsid w:val="008218DA"/>
    <w:rsid w:val="00836D4A"/>
    <w:rsid w:val="0083770F"/>
    <w:rsid w:val="008408D3"/>
    <w:rsid w:val="008438B4"/>
    <w:rsid w:val="00846B4F"/>
    <w:rsid w:val="00847414"/>
    <w:rsid w:val="008A203D"/>
    <w:rsid w:val="008B4245"/>
    <w:rsid w:val="008D138E"/>
    <w:rsid w:val="008D229E"/>
    <w:rsid w:val="008E2599"/>
    <w:rsid w:val="008E27D2"/>
    <w:rsid w:val="008E2851"/>
    <w:rsid w:val="008E480D"/>
    <w:rsid w:val="008E55C6"/>
    <w:rsid w:val="008F2175"/>
    <w:rsid w:val="008F43D4"/>
    <w:rsid w:val="008F6089"/>
    <w:rsid w:val="00904F86"/>
    <w:rsid w:val="009129F1"/>
    <w:rsid w:val="00924425"/>
    <w:rsid w:val="00933440"/>
    <w:rsid w:val="009366EE"/>
    <w:rsid w:val="00940599"/>
    <w:rsid w:val="00953671"/>
    <w:rsid w:val="00964653"/>
    <w:rsid w:val="0096720F"/>
    <w:rsid w:val="00971EEA"/>
    <w:rsid w:val="0097246E"/>
    <w:rsid w:val="00991B16"/>
    <w:rsid w:val="00997AFE"/>
    <w:rsid w:val="009A4038"/>
    <w:rsid w:val="009B0AC4"/>
    <w:rsid w:val="009B1751"/>
    <w:rsid w:val="009B28C9"/>
    <w:rsid w:val="009B3143"/>
    <w:rsid w:val="009C43FC"/>
    <w:rsid w:val="009C7551"/>
    <w:rsid w:val="009E12D3"/>
    <w:rsid w:val="009E65EC"/>
    <w:rsid w:val="009F26BF"/>
    <w:rsid w:val="009F311F"/>
    <w:rsid w:val="00A042D4"/>
    <w:rsid w:val="00A071BB"/>
    <w:rsid w:val="00A101B2"/>
    <w:rsid w:val="00A22250"/>
    <w:rsid w:val="00A306EB"/>
    <w:rsid w:val="00A40013"/>
    <w:rsid w:val="00A42812"/>
    <w:rsid w:val="00A4454A"/>
    <w:rsid w:val="00A45B76"/>
    <w:rsid w:val="00A50F58"/>
    <w:rsid w:val="00A71F0F"/>
    <w:rsid w:val="00A749FB"/>
    <w:rsid w:val="00A7657B"/>
    <w:rsid w:val="00A801B3"/>
    <w:rsid w:val="00A955A8"/>
    <w:rsid w:val="00A97739"/>
    <w:rsid w:val="00AA1905"/>
    <w:rsid w:val="00AE4E32"/>
    <w:rsid w:val="00AE7A07"/>
    <w:rsid w:val="00AE7FB8"/>
    <w:rsid w:val="00B02390"/>
    <w:rsid w:val="00B10BBA"/>
    <w:rsid w:val="00B13A5F"/>
    <w:rsid w:val="00B1624C"/>
    <w:rsid w:val="00B368AB"/>
    <w:rsid w:val="00B40B7A"/>
    <w:rsid w:val="00B445A3"/>
    <w:rsid w:val="00B47E98"/>
    <w:rsid w:val="00B515AD"/>
    <w:rsid w:val="00B61CD3"/>
    <w:rsid w:val="00B67A88"/>
    <w:rsid w:val="00B7305C"/>
    <w:rsid w:val="00B904E8"/>
    <w:rsid w:val="00B97725"/>
    <w:rsid w:val="00BA02CF"/>
    <w:rsid w:val="00BA0682"/>
    <w:rsid w:val="00BA415E"/>
    <w:rsid w:val="00BA6145"/>
    <w:rsid w:val="00BB1779"/>
    <w:rsid w:val="00BB36EE"/>
    <w:rsid w:val="00BB4EF9"/>
    <w:rsid w:val="00BF0973"/>
    <w:rsid w:val="00C02269"/>
    <w:rsid w:val="00C16453"/>
    <w:rsid w:val="00C45A84"/>
    <w:rsid w:val="00C5475E"/>
    <w:rsid w:val="00C564D6"/>
    <w:rsid w:val="00C807D6"/>
    <w:rsid w:val="00C926F0"/>
    <w:rsid w:val="00C93469"/>
    <w:rsid w:val="00C9777B"/>
    <w:rsid w:val="00CA411A"/>
    <w:rsid w:val="00CA7C33"/>
    <w:rsid w:val="00CB5F18"/>
    <w:rsid w:val="00CB6E12"/>
    <w:rsid w:val="00CF46CD"/>
    <w:rsid w:val="00D119D8"/>
    <w:rsid w:val="00D43797"/>
    <w:rsid w:val="00D600F1"/>
    <w:rsid w:val="00D66F8C"/>
    <w:rsid w:val="00D75432"/>
    <w:rsid w:val="00D80F55"/>
    <w:rsid w:val="00D908B4"/>
    <w:rsid w:val="00D90E99"/>
    <w:rsid w:val="00D91301"/>
    <w:rsid w:val="00D9542D"/>
    <w:rsid w:val="00DA513E"/>
    <w:rsid w:val="00DD191D"/>
    <w:rsid w:val="00DF034C"/>
    <w:rsid w:val="00E37E27"/>
    <w:rsid w:val="00E550E4"/>
    <w:rsid w:val="00E636BB"/>
    <w:rsid w:val="00E6375C"/>
    <w:rsid w:val="00E737C7"/>
    <w:rsid w:val="00E75640"/>
    <w:rsid w:val="00E75F54"/>
    <w:rsid w:val="00E806D7"/>
    <w:rsid w:val="00E826CC"/>
    <w:rsid w:val="00E84E22"/>
    <w:rsid w:val="00E918E5"/>
    <w:rsid w:val="00E92D9F"/>
    <w:rsid w:val="00E956BA"/>
    <w:rsid w:val="00EA2E8B"/>
    <w:rsid w:val="00EB05CF"/>
    <w:rsid w:val="00EC6B6C"/>
    <w:rsid w:val="00ED5651"/>
    <w:rsid w:val="00EE088A"/>
    <w:rsid w:val="00EE1D93"/>
    <w:rsid w:val="00EE5FB3"/>
    <w:rsid w:val="00EF3C2B"/>
    <w:rsid w:val="00EF7DD5"/>
    <w:rsid w:val="00F4109A"/>
    <w:rsid w:val="00F518F1"/>
    <w:rsid w:val="00F559AD"/>
    <w:rsid w:val="00F578C4"/>
    <w:rsid w:val="00F57D66"/>
    <w:rsid w:val="00F760A6"/>
    <w:rsid w:val="00F87E6C"/>
    <w:rsid w:val="00F91294"/>
    <w:rsid w:val="00F94701"/>
    <w:rsid w:val="00FC034F"/>
    <w:rsid w:val="00FD0007"/>
    <w:rsid w:val="00FD6AAC"/>
    <w:rsid w:val="00FE1D69"/>
    <w:rsid w:val="00FF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9E196A3"/>
  <w15:chartTrackingRefBased/>
  <w15:docId w15:val="{0F392D53-3EFC-7740-AAA1-AB109BB0F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62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62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624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624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624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624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624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624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624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624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624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624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624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624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624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624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624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624C"/>
    <w:rPr>
      <w:rFonts w:eastAsiaTheme="majorEastAsia" w:cstheme="majorBidi"/>
      <w:color w:val="272727" w:themeColor="text1" w:themeTint="D8"/>
    </w:rPr>
  </w:style>
  <w:style w:type="paragraph" w:styleId="Title">
    <w:name w:val="Title"/>
    <w:basedOn w:val="Normal"/>
    <w:next w:val="Normal"/>
    <w:link w:val="TitleChar"/>
    <w:uiPriority w:val="10"/>
    <w:qFormat/>
    <w:rsid w:val="00B1624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624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624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624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624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B1624C"/>
    <w:rPr>
      <w:i/>
      <w:iCs/>
      <w:color w:val="404040" w:themeColor="text1" w:themeTint="BF"/>
    </w:rPr>
  </w:style>
  <w:style w:type="paragraph" w:styleId="ListParagraph">
    <w:name w:val="List Paragraph"/>
    <w:basedOn w:val="Normal"/>
    <w:uiPriority w:val="34"/>
    <w:qFormat/>
    <w:rsid w:val="00B1624C"/>
    <w:pPr>
      <w:ind w:left="720"/>
      <w:contextualSpacing/>
    </w:pPr>
  </w:style>
  <w:style w:type="character" w:styleId="IntenseEmphasis">
    <w:name w:val="Intense Emphasis"/>
    <w:basedOn w:val="DefaultParagraphFont"/>
    <w:uiPriority w:val="21"/>
    <w:qFormat/>
    <w:rsid w:val="00B1624C"/>
    <w:rPr>
      <w:i/>
      <w:iCs/>
      <w:color w:val="0F4761" w:themeColor="accent1" w:themeShade="BF"/>
    </w:rPr>
  </w:style>
  <w:style w:type="paragraph" w:styleId="IntenseQuote">
    <w:name w:val="Intense Quote"/>
    <w:basedOn w:val="Normal"/>
    <w:next w:val="Normal"/>
    <w:link w:val="IntenseQuoteChar"/>
    <w:uiPriority w:val="30"/>
    <w:qFormat/>
    <w:rsid w:val="00B162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624C"/>
    <w:rPr>
      <w:i/>
      <w:iCs/>
      <w:color w:val="0F4761" w:themeColor="accent1" w:themeShade="BF"/>
    </w:rPr>
  </w:style>
  <w:style w:type="character" w:styleId="IntenseReference">
    <w:name w:val="Intense Reference"/>
    <w:basedOn w:val="DefaultParagraphFont"/>
    <w:uiPriority w:val="32"/>
    <w:qFormat/>
    <w:rsid w:val="00B1624C"/>
    <w:rPr>
      <w:b/>
      <w:bCs/>
      <w:smallCaps/>
      <w:color w:val="0F4761" w:themeColor="accent1" w:themeShade="BF"/>
      <w:spacing w:val="5"/>
    </w:rPr>
  </w:style>
  <w:style w:type="paragraph" w:styleId="NormalWeb">
    <w:name w:val="Normal (Web)"/>
    <w:basedOn w:val="Normal"/>
    <w:uiPriority w:val="99"/>
    <w:semiHidden/>
    <w:unhideWhenUsed/>
    <w:rsid w:val="00B1624C"/>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B1624C"/>
    <w:rPr>
      <w:color w:val="0000FF"/>
      <w:u w:val="single"/>
    </w:rPr>
  </w:style>
  <w:style w:type="character" w:styleId="Strong">
    <w:name w:val="Strong"/>
    <w:basedOn w:val="DefaultParagraphFont"/>
    <w:uiPriority w:val="22"/>
    <w:qFormat/>
    <w:rsid w:val="00B1624C"/>
    <w:rPr>
      <w:b/>
      <w:bCs/>
    </w:rPr>
  </w:style>
  <w:style w:type="character" w:styleId="FollowedHyperlink">
    <w:name w:val="FollowedHyperlink"/>
    <w:basedOn w:val="DefaultParagraphFont"/>
    <w:uiPriority w:val="99"/>
    <w:semiHidden/>
    <w:unhideWhenUsed/>
    <w:rsid w:val="008155A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chive.org/details/b21364473/mode/2up" TargetMode="External"/><Relationship Id="rId3" Type="http://schemas.openxmlformats.org/officeDocument/2006/relationships/webSettings" Target="webSettings.xml"/><Relationship Id="rId7" Type="http://schemas.openxmlformats.org/officeDocument/2006/relationships/hyperlink" Target="https://practitioners.exeter.ac.uk/wp-content/uploads/2014/11/Pelling_BarberSurgeonsOrds-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86/368701" TargetMode="External"/><Relationship Id="rId5" Type="http://schemas.openxmlformats.org/officeDocument/2006/relationships/hyperlink" Target="https://archive.org/details/certainevvorkeso00gale" TargetMode="External"/><Relationship Id="rId10" Type="http://schemas.openxmlformats.org/officeDocument/2006/relationships/theme" Target="theme/theme1.xml"/><Relationship Id="rId4" Type="http://schemas.openxmlformats.org/officeDocument/2006/relationships/hyperlink" Target="https://www.cambridge.org/core/journals/medical-history/article/seeds-of-disease-an-explanation-of-contagion-and-infection-from-the-greeks-to-the-renaissance/50E6CF1F702718F0476BE9781088A673"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744</Words>
  <Characters>4246</Characters>
  <Application>Microsoft Office Word</Application>
  <DocSecurity>0</DocSecurity>
  <Lines>35</Lines>
  <Paragraphs>9</Paragraphs>
  <ScaleCrop>false</ScaleCrop>
  <Company/>
  <LinksUpToDate>false</LinksUpToDate>
  <CharactersWithSpaces>4981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Erin Connelly</dc:creator>
  <cp:keywords/>
  <dc:description/>
  <cp:lastModifiedBy>Erin Connelly</cp:lastModifiedBy>
  <cp:revision>2</cp:revision>
  <dcterms:created xsi:type="dcterms:W3CDTF">2026-01-21T15:05:00Z</dcterms:created>
  <dcterms:modified xsi:type="dcterms:W3CDTF">2026-01-21T15:06:00Z</dcterms:modified>
</cp:coreProperties>
</file>