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3B3A" w:rsidRPr="00E20A8E" w:rsidRDefault="00073B3A" w:rsidP="004D322D">
      <w:pPr>
        <w:spacing w:line="240" w:lineRule="auto"/>
        <w:rPr>
          <w:rFonts w:ascii="Times New Roman" w:hAnsi="Times New Roman" w:cs="Times New Roman"/>
        </w:rPr>
      </w:pPr>
    </w:p>
    <w:p w:rsidR="00073B3A" w:rsidRPr="00E20A8E" w:rsidRDefault="00073B3A" w:rsidP="004D322D">
      <w:pPr>
        <w:spacing w:line="240" w:lineRule="auto"/>
        <w:rPr>
          <w:rFonts w:ascii="Times New Roman" w:hAnsi="Times New Roman" w:cs="Times New Roman"/>
          <w:b/>
        </w:rPr>
      </w:pPr>
      <w:r w:rsidRPr="00E20A8E">
        <w:rPr>
          <w:rFonts w:ascii="Times New Roman" w:hAnsi="Times New Roman" w:cs="Times New Roman"/>
          <w:b/>
        </w:rPr>
        <w:t>The Structure of Cultural Policy</w:t>
      </w:r>
    </w:p>
    <w:p w:rsidR="00E20A8E" w:rsidRDefault="00073B3A" w:rsidP="004D322D">
      <w:pPr>
        <w:spacing w:line="240" w:lineRule="auto"/>
        <w:rPr>
          <w:rFonts w:ascii="Times New Roman" w:hAnsi="Times New Roman" w:cs="Times New Roman"/>
          <w:b/>
        </w:rPr>
      </w:pPr>
      <w:r w:rsidRPr="00E20A8E">
        <w:rPr>
          <w:rFonts w:ascii="Times New Roman" w:hAnsi="Times New Roman" w:cs="Times New Roman"/>
          <w:b/>
        </w:rPr>
        <w:t xml:space="preserve">Clive Gray </w:t>
      </w:r>
    </w:p>
    <w:p w:rsidR="00073B3A" w:rsidRDefault="00073B3A" w:rsidP="004D322D">
      <w:pPr>
        <w:spacing w:line="240" w:lineRule="auto"/>
        <w:rPr>
          <w:rFonts w:ascii="Times New Roman" w:hAnsi="Times New Roman" w:cs="Times New Roman"/>
        </w:rPr>
      </w:pPr>
      <w:r w:rsidRPr="00E20A8E">
        <w:rPr>
          <w:rFonts w:ascii="Times New Roman" w:hAnsi="Times New Roman" w:cs="Times New Roman"/>
        </w:rPr>
        <w:t>University of Warwick, UK</w:t>
      </w:r>
    </w:p>
    <w:p w:rsidR="00F216B5" w:rsidRDefault="00F216B5" w:rsidP="004D322D">
      <w:pPr>
        <w:spacing w:line="240" w:lineRule="auto"/>
        <w:rPr>
          <w:rFonts w:ascii="Times New Roman" w:hAnsi="Times New Roman" w:cs="Times New Roman"/>
        </w:rPr>
      </w:pPr>
      <w:r>
        <w:rPr>
          <w:rFonts w:ascii="Times New Roman" w:hAnsi="Times New Roman" w:cs="Times New Roman"/>
        </w:rPr>
        <w:t xml:space="preserve">C.J.Gray@ Warwick.ac.uk </w:t>
      </w:r>
    </w:p>
    <w:p w:rsidR="00F216B5" w:rsidRPr="00E20A8E" w:rsidRDefault="00F216B5" w:rsidP="004D322D">
      <w:pPr>
        <w:spacing w:line="240" w:lineRule="auto"/>
        <w:rPr>
          <w:rFonts w:ascii="Times New Roman" w:hAnsi="Times New Roman" w:cs="Times New Roman"/>
        </w:rPr>
      </w:pPr>
    </w:p>
    <w:p w:rsidR="00073B3A" w:rsidRDefault="00E20A8E" w:rsidP="004D322D">
      <w:pPr>
        <w:spacing w:line="240" w:lineRule="auto"/>
        <w:rPr>
          <w:rFonts w:ascii="Times New Roman" w:hAnsi="Times New Roman" w:cs="Times New Roman"/>
        </w:rPr>
      </w:pPr>
      <w:r w:rsidRPr="00E20A8E">
        <w:rPr>
          <w:rFonts w:ascii="Times New Roman" w:hAnsi="Times New Roman" w:cs="Times New Roman"/>
        </w:rPr>
        <w:t>Centre</w:t>
      </w:r>
      <w:r>
        <w:rPr>
          <w:rFonts w:ascii="Times New Roman" w:hAnsi="Times New Roman" w:cs="Times New Roman"/>
        </w:rPr>
        <w:t xml:space="preserve"> for Cultural Policy Studies,</w:t>
      </w:r>
    </w:p>
    <w:p w:rsidR="00E20A8E" w:rsidRDefault="00E20A8E" w:rsidP="004D322D">
      <w:pPr>
        <w:spacing w:line="240" w:lineRule="auto"/>
        <w:rPr>
          <w:rFonts w:ascii="Times New Roman" w:hAnsi="Times New Roman" w:cs="Times New Roman"/>
        </w:rPr>
      </w:pPr>
      <w:r>
        <w:rPr>
          <w:rFonts w:ascii="Times New Roman" w:hAnsi="Times New Roman" w:cs="Times New Roman"/>
        </w:rPr>
        <w:t>Millburn House,</w:t>
      </w:r>
    </w:p>
    <w:p w:rsidR="00E20A8E" w:rsidRDefault="00E20A8E" w:rsidP="004D322D">
      <w:pPr>
        <w:spacing w:line="240" w:lineRule="auto"/>
        <w:rPr>
          <w:rFonts w:ascii="Times New Roman" w:hAnsi="Times New Roman" w:cs="Times New Roman"/>
        </w:rPr>
      </w:pPr>
      <w:r>
        <w:rPr>
          <w:rFonts w:ascii="Times New Roman" w:hAnsi="Times New Roman" w:cs="Times New Roman"/>
        </w:rPr>
        <w:t>University of Warwick,</w:t>
      </w:r>
    </w:p>
    <w:p w:rsidR="00E20A8E" w:rsidRDefault="00E20A8E" w:rsidP="004D322D">
      <w:pPr>
        <w:spacing w:line="240" w:lineRule="auto"/>
        <w:rPr>
          <w:rFonts w:ascii="Times New Roman" w:hAnsi="Times New Roman" w:cs="Times New Roman"/>
        </w:rPr>
      </w:pPr>
      <w:r>
        <w:rPr>
          <w:rFonts w:ascii="Times New Roman" w:hAnsi="Times New Roman" w:cs="Times New Roman"/>
        </w:rPr>
        <w:t xml:space="preserve">Coventry CV4 7HS </w:t>
      </w:r>
    </w:p>
    <w:p w:rsidR="00E20A8E" w:rsidRDefault="00E20A8E" w:rsidP="004D322D">
      <w:pPr>
        <w:spacing w:line="240" w:lineRule="auto"/>
        <w:rPr>
          <w:rFonts w:ascii="Times New Roman" w:hAnsi="Times New Roman" w:cs="Times New Roman"/>
        </w:rPr>
      </w:pPr>
      <w:r>
        <w:rPr>
          <w:rFonts w:ascii="Times New Roman" w:hAnsi="Times New Roman" w:cs="Times New Roman"/>
        </w:rPr>
        <w:t>United Kingdom</w:t>
      </w:r>
    </w:p>
    <w:p w:rsidR="00E20A8E" w:rsidRDefault="00E20A8E" w:rsidP="004D322D">
      <w:pPr>
        <w:spacing w:line="240" w:lineRule="auto"/>
        <w:rPr>
          <w:rFonts w:ascii="Times New Roman" w:hAnsi="Times New Roman" w:cs="Times New Roman"/>
        </w:rPr>
      </w:pPr>
    </w:p>
    <w:p w:rsidR="00E20A8E" w:rsidRDefault="00E20A8E" w:rsidP="004D322D">
      <w:pPr>
        <w:spacing w:line="240" w:lineRule="auto"/>
        <w:rPr>
          <w:rFonts w:ascii="Times New Roman" w:hAnsi="Times New Roman" w:cs="Times New Roman"/>
        </w:rPr>
      </w:pPr>
      <w:r>
        <w:rPr>
          <w:rFonts w:ascii="Times New Roman" w:hAnsi="Times New Roman" w:cs="Times New Roman"/>
        </w:rPr>
        <w:t>Clive Gray has published widely on theory and methods in cultural policy, the state and cultural policy, and the politics of the museums sector. He is currently undertaking research on structure and agency in the museums and galleries sector in England.</w:t>
      </w:r>
    </w:p>
    <w:p w:rsidR="00E20A8E" w:rsidRDefault="00E20A8E" w:rsidP="003B099E">
      <w:pPr>
        <w:spacing w:line="360" w:lineRule="auto"/>
        <w:rPr>
          <w:rFonts w:ascii="Times New Roman" w:hAnsi="Times New Roman" w:cs="Times New Roman"/>
        </w:rPr>
      </w:pPr>
    </w:p>
    <w:p w:rsidR="00E20A8E" w:rsidRPr="00E20A8E" w:rsidRDefault="00E20A8E" w:rsidP="003B099E">
      <w:pPr>
        <w:spacing w:line="360" w:lineRule="auto"/>
        <w:rPr>
          <w:rFonts w:ascii="Times New Roman" w:hAnsi="Times New Roman" w:cs="Times New Roman"/>
        </w:rPr>
      </w:pPr>
    </w:p>
    <w:p w:rsidR="00073B3A" w:rsidRPr="00E20A8E" w:rsidRDefault="00073B3A" w:rsidP="004D322D">
      <w:pPr>
        <w:spacing w:line="240" w:lineRule="auto"/>
        <w:rPr>
          <w:rFonts w:ascii="Times New Roman" w:hAnsi="Times New Roman" w:cs="Times New Roman"/>
        </w:rPr>
      </w:pPr>
      <w:r w:rsidRPr="00E20A8E">
        <w:rPr>
          <w:rFonts w:ascii="Times New Roman" w:hAnsi="Times New Roman" w:cs="Times New Roman"/>
          <w:b/>
        </w:rPr>
        <w:t>Abstract</w:t>
      </w:r>
    </w:p>
    <w:p w:rsidR="00073B3A" w:rsidRPr="00E20A8E" w:rsidRDefault="00073B3A" w:rsidP="004D322D">
      <w:pPr>
        <w:spacing w:line="240" w:lineRule="auto"/>
        <w:rPr>
          <w:rFonts w:ascii="Times New Roman" w:hAnsi="Times New Roman" w:cs="Times New Roman"/>
        </w:rPr>
      </w:pPr>
      <w:r w:rsidRPr="00E20A8E">
        <w:rPr>
          <w:rFonts w:ascii="Times New Roman" w:hAnsi="Times New Roman" w:cs="Times New Roman"/>
        </w:rPr>
        <w:t>This paper identifies the policy setting within which cultural policy operates. It identifies a range of behavioural and structural features that can be used to identify the key constraints on, and opportunities for, action that are associated with the cultural policy field. It divides these features between systemic principles (such as ideologies and rationalities), o</w:t>
      </w:r>
      <w:r w:rsidR="00947009" w:rsidRPr="00E20A8E">
        <w:rPr>
          <w:rFonts w:ascii="Times New Roman" w:hAnsi="Times New Roman" w:cs="Times New Roman"/>
        </w:rPr>
        <w:t>verarching</w:t>
      </w:r>
      <w:r w:rsidRPr="00E20A8E">
        <w:rPr>
          <w:rFonts w:ascii="Times New Roman" w:hAnsi="Times New Roman" w:cs="Times New Roman"/>
        </w:rPr>
        <w:t xml:space="preserve"> policy structures (such as policy priorities and policy instruments), and sectoral policy specifics (such as organisational policy content and policy actors). The paper provides, in consequence, a framework that can be used for the analysis of cultural policy in both the public, voluntary, community and private sectors.</w:t>
      </w:r>
    </w:p>
    <w:p w:rsidR="00073B3A" w:rsidRPr="00E20A8E" w:rsidRDefault="00073B3A" w:rsidP="003B099E">
      <w:pPr>
        <w:spacing w:line="360" w:lineRule="auto"/>
        <w:rPr>
          <w:rFonts w:ascii="Times New Roman" w:hAnsi="Times New Roman" w:cs="Times New Roman"/>
        </w:rPr>
      </w:pPr>
    </w:p>
    <w:p w:rsidR="00073B3A" w:rsidRPr="00E20A8E" w:rsidRDefault="00073B3A" w:rsidP="004D322D">
      <w:pPr>
        <w:spacing w:line="240" w:lineRule="auto"/>
        <w:rPr>
          <w:rFonts w:ascii="Times New Roman" w:hAnsi="Times New Roman" w:cs="Times New Roman"/>
        </w:rPr>
      </w:pPr>
      <w:r w:rsidRPr="00E20A8E">
        <w:rPr>
          <w:rFonts w:ascii="Times New Roman" w:hAnsi="Times New Roman" w:cs="Times New Roman"/>
        </w:rPr>
        <w:t xml:space="preserve">The approach that is adopted is developed from the cultural policy and public policy literatures and allows for the creative construction of a theoretically and empirically derived framework for the analysis of cultural policy. The structure of the framework is derived from a social realist ontological position and is thus not prescriptive of how analysis should be undertaken. By focusing on the relationship between structural and agential factors in </w:t>
      </w:r>
      <w:r w:rsidR="00C76719" w:rsidRPr="00E20A8E">
        <w:rPr>
          <w:rFonts w:ascii="Times New Roman" w:hAnsi="Times New Roman" w:cs="Times New Roman"/>
        </w:rPr>
        <w:t xml:space="preserve">policy analysis it is anticipated that the framework should allow analysts from a diverse range of disciplinary and methodological backgrounds to locate their research endeavours within a common setting. This should also allow for the development of a more effective comparison of research approaches - and their strengths and weaknesses – than is currently available. It should also allow for the potential to develop effective policy learning in so far as it should allow for the identification of common themes, issues and approaches within cultural policy research as a whole. Finally, it should allow for the identification of under-researched issues within cultural policy, and for the development of future research agendas. </w:t>
      </w:r>
    </w:p>
    <w:p w:rsidR="00073B3A" w:rsidRDefault="00073B3A" w:rsidP="003B099E">
      <w:pPr>
        <w:spacing w:line="360" w:lineRule="auto"/>
        <w:rPr>
          <w:rFonts w:ascii="Times New Roman" w:hAnsi="Times New Roman" w:cs="Times New Roman"/>
          <w:b/>
        </w:rPr>
      </w:pPr>
    </w:p>
    <w:p w:rsidR="00E20A8E" w:rsidRDefault="00E20A8E" w:rsidP="004D322D">
      <w:pPr>
        <w:spacing w:line="240" w:lineRule="auto"/>
        <w:rPr>
          <w:rFonts w:ascii="Times New Roman" w:hAnsi="Times New Roman" w:cs="Times New Roman"/>
        </w:rPr>
      </w:pPr>
      <w:r>
        <w:rPr>
          <w:rFonts w:ascii="Times New Roman" w:hAnsi="Times New Roman" w:cs="Times New Roman"/>
          <w:b/>
        </w:rPr>
        <w:t>Keywords:</w:t>
      </w:r>
      <w:r>
        <w:rPr>
          <w:rFonts w:ascii="Times New Roman" w:hAnsi="Times New Roman" w:cs="Times New Roman"/>
        </w:rPr>
        <w:t xml:space="preserve"> Structure and Agency; Policy structures; Politics</w:t>
      </w:r>
    </w:p>
    <w:p w:rsidR="00E20A8E" w:rsidRPr="00E20A8E" w:rsidRDefault="00E20A8E" w:rsidP="004D322D">
      <w:pPr>
        <w:spacing w:line="240" w:lineRule="auto"/>
        <w:rPr>
          <w:rFonts w:ascii="Times New Roman" w:hAnsi="Times New Roman" w:cs="Times New Roman"/>
        </w:rPr>
      </w:pPr>
      <w:r>
        <w:rPr>
          <w:rFonts w:ascii="Times New Roman" w:hAnsi="Times New Roman" w:cs="Times New Roman"/>
          <w:b/>
        </w:rPr>
        <w:t>Word Count:</w:t>
      </w:r>
      <w:r>
        <w:rPr>
          <w:rFonts w:ascii="Times New Roman" w:hAnsi="Times New Roman" w:cs="Times New Roman"/>
        </w:rPr>
        <w:t xml:space="preserve"> 8,637</w:t>
      </w:r>
    </w:p>
    <w:p w:rsidR="00073B3A" w:rsidRPr="00E20A8E" w:rsidRDefault="00073B3A" w:rsidP="003B099E">
      <w:pPr>
        <w:spacing w:line="360" w:lineRule="auto"/>
        <w:rPr>
          <w:rFonts w:ascii="Times New Roman" w:hAnsi="Times New Roman" w:cs="Times New Roman"/>
          <w:b/>
        </w:rPr>
      </w:pPr>
    </w:p>
    <w:p w:rsidR="00073B3A" w:rsidRPr="00E20A8E" w:rsidRDefault="00073B3A" w:rsidP="003B099E">
      <w:pPr>
        <w:spacing w:line="360" w:lineRule="auto"/>
        <w:rPr>
          <w:rFonts w:ascii="Times New Roman" w:hAnsi="Times New Roman" w:cs="Times New Roman"/>
          <w:b/>
        </w:rPr>
      </w:pPr>
    </w:p>
    <w:p w:rsidR="00073B3A" w:rsidRPr="00E20A8E" w:rsidRDefault="00073B3A" w:rsidP="003B099E">
      <w:pPr>
        <w:spacing w:line="360" w:lineRule="auto"/>
        <w:rPr>
          <w:rFonts w:ascii="Times New Roman" w:hAnsi="Times New Roman" w:cs="Times New Roman"/>
          <w:b/>
        </w:rPr>
      </w:pPr>
    </w:p>
    <w:p w:rsidR="00887C09" w:rsidRPr="00E20A8E" w:rsidRDefault="00887C09" w:rsidP="004D322D">
      <w:pPr>
        <w:spacing w:line="240" w:lineRule="auto"/>
        <w:rPr>
          <w:rFonts w:ascii="Times New Roman" w:hAnsi="Times New Roman" w:cs="Times New Roman"/>
        </w:rPr>
      </w:pPr>
      <w:r w:rsidRPr="00E20A8E">
        <w:rPr>
          <w:rFonts w:ascii="Times New Roman" w:hAnsi="Times New Roman" w:cs="Times New Roman"/>
          <w:b/>
        </w:rPr>
        <w:t>Introduction</w:t>
      </w:r>
      <w:r w:rsidR="00ED3862" w:rsidRPr="00E20A8E">
        <w:rPr>
          <w:rStyle w:val="FootnoteReference"/>
          <w:rFonts w:ascii="Times New Roman" w:hAnsi="Times New Roman" w:cs="Times New Roman"/>
          <w:b/>
        </w:rPr>
        <w:footnoteReference w:id="1"/>
      </w:r>
    </w:p>
    <w:p w:rsidR="00820101" w:rsidRPr="00E20A8E" w:rsidRDefault="00887C09" w:rsidP="004D322D">
      <w:pPr>
        <w:spacing w:line="240" w:lineRule="auto"/>
        <w:rPr>
          <w:rFonts w:ascii="Times New Roman" w:hAnsi="Times New Roman" w:cs="Times New Roman"/>
        </w:rPr>
      </w:pPr>
      <w:r w:rsidRPr="00E20A8E">
        <w:rPr>
          <w:rFonts w:ascii="Times New Roman" w:hAnsi="Times New Roman" w:cs="Times New Roman"/>
        </w:rPr>
        <w:t xml:space="preserve">The focus of this paper is on the internal policy decisions that are made </w:t>
      </w:r>
      <w:r w:rsidR="00C76719" w:rsidRPr="00E20A8E">
        <w:rPr>
          <w:rFonts w:ascii="Times New Roman" w:hAnsi="Times New Roman" w:cs="Times New Roman"/>
        </w:rPr>
        <w:t xml:space="preserve">for the creation of cultural policies </w:t>
      </w:r>
      <w:r w:rsidR="006260E1" w:rsidRPr="00E20A8E">
        <w:rPr>
          <w:rFonts w:ascii="Times New Roman" w:hAnsi="Times New Roman" w:cs="Times New Roman"/>
        </w:rPr>
        <w:t>within</w:t>
      </w:r>
      <w:r w:rsidR="00C76719" w:rsidRPr="00E20A8E">
        <w:rPr>
          <w:rFonts w:ascii="Times New Roman" w:hAnsi="Times New Roman" w:cs="Times New Roman"/>
        </w:rPr>
        <w:t xml:space="preserve"> individual cultural organisations</w:t>
      </w:r>
      <w:r w:rsidRPr="00E20A8E">
        <w:rPr>
          <w:rFonts w:ascii="Times New Roman" w:hAnsi="Times New Roman" w:cs="Times New Roman"/>
        </w:rPr>
        <w:t>. While the impact on these o</w:t>
      </w:r>
      <w:r w:rsidR="006260E1" w:rsidRPr="00E20A8E">
        <w:rPr>
          <w:rFonts w:ascii="Times New Roman" w:hAnsi="Times New Roman" w:cs="Times New Roman"/>
        </w:rPr>
        <w:t>n</w:t>
      </w:r>
      <w:r w:rsidRPr="00E20A8E">
        <w:rPr>
          <w:rFonts w:ascii="Times New Roman" w:hAnsi="Times New Roman" w:cs="Times New Roman"/>
        </w:rPr>
        <w:t xml:space="preserve"> the policies that are being pursued by a range of other</w:t>
      </w:r>
      <w:r w:rsidR="00C76719" w:rsidRPr="00E20A8E">
        <w:rPr>
          <w:rFonts w:ascii="Times New Roman" w:hAnsi="Times New Roman" w:cs="Times New Roman"/>
        </w:rPr>
        <w:t>, external,</w:t>
      </w:r>
      <w:r w:rsidRPr="00E20A8E">
        <w:rPr>
          <w:rFonts w:ascii="Times New Roman" w:hAnsi="Times New Roman" w:cs="Times New Roman"/>
        </w:rPr>
        <w:t xml:space="preserve"> policy actors from central to local government</w:t>
      </w:r>
      <w:r w:rsidR="00C76719" w:rsidRPr="00E20A8E">
        <w:rPr>
          <w:rFonts w:ascii="Times New Roman" w:hAnsi="Times New Roman" w:cs="Times New Roman"/>
        </w:rPr>
        <w:t>s</w:t>
      </w:r>
      <w:r w:rsidRPr="00E20A8E">
        <w:rPr>
          <w:rFonts w:ascii="Times New Roman" w:hAnsi="Times New Roman" w:cs="Times New Roman"/>
        </w:rPr>
        <w:t>, to external funding agencies</w:t>
      </w:r>
      <w:r w:rsidR="00C76719" w:rsidRPr="00E20A8E">
        <w:rPr>
          <w:rFonts w:ascii="Times New Roman" w:hAnsi="Times New Roman" w:cs="Times New Roman"/>
        </w:rPr>
        <w:t xml:space="preserve">, to a range of community and </w:t>
      </w:r>
      <w:r w:rsidR="004E3831" w:rsidRPr="00E20A8E">
        <w:rPr>
          <w:rFonts w:ascii="Times New Roman" w:hAnsi="Times New Roman" w:cs="Times New Roman"/>
        </w:rPr>
        <w:t>voluntary organisations</w:t>
      </w:r>
      <w:r w:rsidR="00947009" w:rsidRPr="00E20A8E">
        <w:rPr>
          <w:rFonts w:ascii="Times New Roman" w:hAnsi="Times New Roman" w:cs="Times New Roman"/>
        </w:rPr>
        <w:t xml:space="preserve"> </w:t>
      </w:r>
      <w:r w:rsidRPr="00E20A8E">
        <w:rPr>
          <w:rFonts w:ascii="Times New Roman" w:hAnsi="Times New Roman" w:cs="Times New Roman"/>
        </w:rPr>
        <w:t>are seen as being significant in their own right</w:t>
      </w:r>
      <w:r w:rsidR="00BF4EE2" w:rsidRPr="00E20A8E">
        <w:rPr>
          <w:rFonts w:ascii="Times New Roman" w:hAnsi="Times New Roman" w:cs="Times New Roman"/>
        </w:rPr>
        <w:t>,</w:t>
      </w:r>
      <w:r w:rsidRPr="00E20A8E">
        <w:rPr>
          <w:rFonts w:ascii="Times New Roman" w:hAnsi="Times New Roman" w:cs="Times New Roman"/>
        </w:rPr>
        <w:t xml:space="preserve"> they are not the central topic of concern. Thus, precisely why </w:t>
      </w:r>
      <w:r w:rsidR="00C76719" w:rsidRPr="00E20A8E">
        <w:rPr>
          <w:rFonts w:ascii="Times New Roman" w:hAnsi="Times New Roman" w:cs="Times New Roman"/>
        </w:rPr>
        <w:t>government departments</w:t>
      </w:r>
      <w:r w:rsidRPr="00E20A8E">
        <w:rPr>
          <w:rFonts w:ascii="Times New Roman" w:hAnsi="Times New Roman" w:cs="Times New Roman"/>
        </w:rPr>
        <w:t xml:space="preserve"> made the</w:t>
      </w:r>
      <w:r w:rsidR="00C76719" w:rsidRPr="00E20A8E">
        <w:rPr>
          <w:rFonts w:ascii="Times New Roman" w:hAnsi="Times New Roman" w:cs="Times New Roman"/>
        </w:rPr>
        <w:t xml:space="preserve"> individual</w:t>
      </w:r>
      <w:r w:rsidRPr="00E20A8E">
        <w:rPr>
          <w:rFonts w:ascii="Times New Roman" w:hAnsi="Times New Roman" w:cs="Times New Roman"/>
        </w:rPr>
        <w:t xml:space="preserve"> decisions that they did </w:t>
      </w:r>
      <w:r w:rsidR="00054B87" w:rsidRPr="00E20A8E">
        <w:rPr>
          <w:rFonts w:ascii="Times New Roman" w:hAnsi="Times New Roman" w:cs="Times New Roman"/>
        </w:rPr>
        <w:t xml:space="preserve">over topics ranging from </w:t>
      </w:r>
      <w:r w:rsidR="00C76719" w:rsidRPr="00E20A8E">
        <w:rPr>
          <w:rFonts w:ascii="Times New Roman" w:hAnsi="Times New Roman" w:cs="Times New Roman"/>
        </w:rPr>
        <w:t>cultural</w:t>
      </w:r>
      <w:r w:rsidR="00054B87" w:rsidRPr="00E20A8E">
        <w:rPr>
          <w:rFonts w:ascii="Times New Roman" w:hAnsi="Times New Roman" w:cs="Times New Roman"/>
        </w:rPr>
        <w:t xml:space="preserve"> regeneration strategies, </w:t>
      </w:r>
      <w:r w:rsidR="00C76719" w:rsidRPr="00E20A8E">
        <w:rPr>
          <w:rFonts w:ascii="Times New Roman" w:hAnsi="Times New Roman" w:cs="Times New Roman"/>
        </w:rPr>
        <w:t xml:space="preserve">culture as a tool for </w:t>
      </w:r>
      <w:r w:rsidR="00054B87" w:rsidRPr="00E20A8E">
        <w:rPr>
          <w:rFonts w:ascii="Times New Roman" w:hAnsi="Times New Roman" w:cs="Times New Roman"/>
        </w:rPr>
        <w:t>social inclusion</w:t>
      </w:r>
      <w:r w:rsidR="00C76719" w:rsidRPr="00E20A8E">
        <w:rPr>
          <w:rFonts w:ascii="Times New Roman" w:hAnsi="Times New Roman" w:cs="Times New Roman"/>
        </w:rPr>
        <w:t>, or the promotion of cultural excellence</w:t>
      </w:r>
      <w:r w:rsidR="00054B87" w:rsidRPr="00E20A8E">
        <w:rPr>
          <w:rFonts w:ascii="Times New Roman" w:hAnsi="Times New Roman" w:cs="Times New Roman"/>
        </w:rPr>
        <w:t xml:space="preserve"> is not </w:t>
      </w:r>
      <w:r w:rsidR="003411F9" w:rsidRPr="00E20A8E">
        <w:rPr>
          <w:rFonts w:ascii="Times New Roman" w:hAnsi="Times New Roman" w:cs="Times New Roman"/>
        </w:rPr>
        <w:t xml:space="preserve">necessarily </w:t>
      </w:r>
      <w:r w:rsidR="00054B87" w:rsidRPr="00E20A8E">
        <w:rPr>
          <w:rFonts w:ascii="Times New Roman" w:hAnsi="Times New Roman" w:cs="Times New Roman"/>
        </w:rPr>
        <w:t xml:space="preserve">the </w:t>
      </w:r>
      <w:r w:rsidR="00905E7A" w:rsidRPr="00E20A8E">
        <w:rPr>
          <w:rFonts w:ascii="Times New Roman" w:hAnsi="Times New Roman" w:cs="Times New Roman"/>
        </w:rPr>
        <w:t xml:space="preserve">central </w:t>
      </w:r>
      <w:r w:rsidR="00054B87" w:rsidRPr="00E20A8E">
        <w:rPr>
          <w:rFonts w:ascii="Times New Roman" w:hAnsi="Times New Roman" w:cs="Times New Roman"/>
        </w:rPr>
        <w:t xml:space="preserve">issue: instead, the focus is on how staff within the </w:t>
      </w:r>
      <w:r w:rsidR="00C76719" w:rsidRPr="00E20A8E">
        <w:rPr>
          <w:rFonts w:ascii="Times New Roman" w:hAnsi="Times New Roman" w:cs="Times New Roman"/>
        </w:rPr>
        <w:t xml:space="preserve">organisations that are affected by these decisions </w:t>
      </w:r>
      <w:r w:rsidR="00054B87" w:rsidRPr="00E20A8E">
        <w:rPr>
          <w:rFonts w:ascii="Times New Roman" w:hAnsi="Times New Roman" w:cs="Times New Roman"/>
        </w:rPr>
        <w:t>manage the</w:t>
      </w:r>
      <w:r w:rsidR="00C76719" w:rsidRPr="00E20A8E">
        <w:rPr>
          <w:rFonts w:ascii="Times New Roman" w:hAnsi="Times New Roman" w:cs="Times New Roman"/>
        </w:rPr>
        <w:t>m</w:t>
      </w:r>
      <w:r w:rsidR="00054B87" w:rsidRPr="00E20A8E">
        <w:rPr>
          <w:rFonts w:ascii="Times New Roman" w:hAnsi="Times New Roman" w:cs="Times New Roman"/>
        </w:rPr>
        <w:t xml:space="preserve"> in the context of their own decision and policy-making strategies</w:t>
      </w:r>
      <w:r w:rsidR="00905E7A" w:rsidRPr="00E20A8E">
        <w:rPr>
          <w:rStyle w:val="FootnoteReference"/>
          <w:rFonts w:ascii="Times New Roman" w:hAnsi="Times New Roman" w:cs="Times New Roman"/>
        </w:rPr>
        <w:footnoteReference w:id="2"/>
      </w:r>
      <w:r w:rsidR="00054B87" w:rsidRPr="00E20A8E">
        <w:rPr>
          <w:rFonts w:ascii="Times New Roman" w:hAnsi="Times New Roman" w:cs="Times New Roman"/>
        </w:rPr>
        <w:t>. This discussion and analysis is framed within the context of the general argument within the</w:t>
      </w:r>
      <w:r w:rsidR="00905E7A" w:rsidRPr="00E20A8E">
        <w:rPr>
          <w:rFonts w:ascii="Times New Roman" w:hAnsi="Times New Roman" w:cs="Times New Roman"/>
        </w:rPr>
        <w:t xml:space="preserve"> social sciences </w:t>
      </w:r>
      <w:r w:rsidR="00054B87" w:rsidRPr="00E20A8E">
        <w:rPr>
          <w:rFonts w:ascii="Times New Roman" w:hAnsi="Times New Roman" w:cs="Times New Roman"/>
        </w:rPr>
        <w:t xml:space="preserve">about the interplay between structure and agency. </w:t>
      </w:r>
    </w:p>
    <w:p w:rsidR="00820101" w:rsidRPr="00E20A8E" w:rsidRDefault="00820101" w:rsidP="004D322D">
      <w:pPr>
        <w:spacing w:line="240" w:lineRule="auto"/>
        <w:rPr>
          <w:rFonts w:ascii="Times New Roman" w:hAnsi="Times New Roman" w:cs="Times New Roman"/>
        </w:rPr>
      </w:pPr>
    </w:p>
    <w:p w:rsidR="00887C09" w:rsidRPr="00E20A8E" w:rsidRDefault="00054B87" w:rsidP="004D322D">
      <w:pPr>
        <w:spacing w:line="240" w:lineRule="auto"/>
        <w:rPr>
          <w:rFonts w:ascii="Times New Roman" w:hAnsi="Times New Roman" w:cs="Times New Roman"/>
        </w:rPr>
      </w:pPr>
      <w:r w:rsidRPr="00E20A8E">
        <w:rPr>
          <w:rFonts w:ascii="Times New Roman" w:hAnsi="Times New Roman" w:cs="Times New Roman"/>
        </w:rPr>
        <w:t>A common argument within this context concern</w:t>
      </w:r>
      <w:r w:rsidR="006260E1" w:rsidRPr="00E20A8E">
        <w:rPr>
          <w:rFonts w:ascii="Times New Roman" w:hAnsi="Times New Roman" w:cs="Times New Roman"/>
        </w:rPr>
        <w:t>s</w:t>
      </w:r>
      <w:r w:rsidRPr="00E20A8E">
        <w:rPr>
          <w:rFonts w:ascii="Times New Roman" w:hAnsi="Times New Roman" w:cs="Times New Roman"/>
        </w:rPr>
        <w:t xml:space="preserve"> the relative significance of structure and agency for the functioning of individual and organisational decision processes, with policy actors being either, like Macbeth, ‘cabined, cribbed, confined, bound in’ by a set of </w:t>
      </w:r>
      <w:r w:rsidR="00820101" w:rsidRPr="00E20A8E">
        <w:rPr>
          <w:rFonts w:ascii="Times New Roman" w:hAnsi="Times New Roman" w:cs="Times New Roman"/>
        </w:rPr>
        <w:t xml:space="preserve">relatively </w:t>
      </w:r>
      <w:r w:rsidRPr="00E20A8E">
        <w:rPr>
          <w:rFonts w:ascii="Times New Roman" w:hAnsi="Times New Roman" w:cs="Times New Roman"/>
        </w:rPr>
        <w:t xml:space="preserve">invariant </w:t>
      </w:r>
      <w:r w:rsidR="00820101" w:rsidRPr="00E20A8E">
        <w:rPr>
          <w:rFonts w:ascii="Times New Roman" w:hAnsi="Times New Roman" w:cs="Times New Roman"/>
        </w:rPr>
        <w:t>structural constraints, or capable of claiming that ‘we are not a government poodle’ (West &amp; Smith, 2005)</w:t>
      </w:r>
      <w:r w:rsidR="00BF4EE2" w:rsidRPr="00E20A8E">
        <w:rPr>
          <w:rFonts w:ascii="Times New Roman" w:hAnsi="Times New Roman" w:cs="Times New Roman"/>
        </w:rPr>
        <w:t>,</w:t>
      </w:r>
      <w:r w:rsidR="00820101" w:rsidRPr="00E20A8E">
        <w:rPr>
          <w:rFonts w:ascii="Times New Roman" w:hAnsi="Times New Roman" w:cs="Times New Roman"/>
        </w:rPr>
        <w:t xml:space="preserve"> able</w:t>
      </w:r>
      <w:r w:rsidR="00135290" w:rsidRPr="00E20A8E">
        <w:rPr>
          <w:rFonts w:ascii="Times New Roman" w:hAnsi="Times New Roman" w:cs="Times New Roman"/>
        </w:rPr>
        <w:t>, instead,</w:t>
      </w:r>
      <w:r w:rsidR="00820101" w:rsidRPr="00E20A8E">
        <w:rPr>
          <w:rFonts w:ascii="Times New Roman" w:hAnsi="Times New Roman" w:cs="Times New Roman"/>
        </w:rPr>
        <w:t xml:space="preserve"> to make their own independent choices through the exercise of political agency. The extent to which such positions are either tenable or relevant to an understanding of structure and agency in the context of social action rather depends upon the underlying ontological, epistemological, theoretical and methodological positions that analysts assume (Gray, 2010). </w:t>
      </w:r>
      <w:r w:rsidR="008F7601" w:rsidRPr="00E20A8E">
        <w:rPr>
          <w:rFonts w:ascii="Times New Roman" w:hAnsi="Times New Roman" w:cs="Times New Roman"/>
        </w:rPr>
        <w:t xml:space="preserve">If </w:t>
      </w:r>
      <w:r w:rsidR="00820101" w:rsidRPr="00E20A8E">
        <w:rPr>
          <w:rFonts w:ascii="Times New Roman" w:hAnsi="Times New Roman" w:cs="Times New Roman"/>
        </w:rPr>
        <w:t xml:space="preserve">a realist </w:t>
      </w:r>
      <w:r w:rsidR="008F7601" w:rsidRPr="00E20A8E">
        <w:rPr>
          <w:rFonts w:ascii="Times New Roman" w:hAnsi="Times New Roman" w:cs="Times New Roman"/>
        </w:rPr>
        <w:t>ontological position is adopted,</w:t>
      </w:r>
      <w:r w:rsidR="00820101" w:rsidRPr="00E20A8E">
        <w:rPr>
          <w:rFonts w:ascii="Times New Roman" w:hAnsi="Times New Roman" w:cs="Times New Roman"/>
        </w:rPr>
        <w:t xml:space="preserve"> where agency and structure are seen as continuously intertwined</w:t>
      </w:r>
      <w:r w:rsidR="00F92167" w:rsidRPr="00E20A8E">
        <w:rPr>
          <w:rFonts w:ascii="Times New Roman" w:hAnsi="Times New Roman" w:cs="Times New Roman"/>
        </w:rPr>
        <w:t xml:space="preserve"> (Archer, 198</w:t>
      </w:r>
      <w:r w:rsidR="009624EC" w:rsidRPr="00E20A8E">
        <w:rPr>
          <w:rFonts w:ascii="Times New Roman" w:hAnsi="Times New Roman" w:cs="Times New Roman"/>
        </w:rPr>
        <w:t>8</w:t>
      </w:r>
      <w:r w:rsidR="00F92167" w:rsidRPr="00E20A8E">
        <w:rPr>
          <w:rFonts w:ascii="Times New Roman" w:hAnsi="Times New Roman" w:cs="Times New Roman"/>
        </w:rPr>
        <w:t>, 1995; 2003</w:t>
      </w:r>
      <w:r w:rsidR="00905E7A" w:rsidRPr="00E20A8E">
        <w:rPr>
          <w:rFonts w:ascii="Times New Roman" w:hAnsi="Times New Roman" w:cs="Times New Roman"/>
        </w:rPr>
        <w:t>; Elder-Vass, 2010</w:t>
      </w:r>
      <w:r w:rsidR="00707611" w:rsidRPr="00E20A8E">
        <w:rPr>
          <w:rFonts w:ascii="Times New Roman" w:hAnsi="Times New Roman" w:cs="Times New Roman"/>
        </w:rPr>
        <w:t>), with each being recognised as central to an effective analysis of policy activity</w:t>
      </w:r>
      <w:r w:rsidR="000F4BFF" w:rsidRPr="00E20A8E">
        <w:rPr>
          <w:rFonts w:ascii="Times New Roman" w:hAnsi="Times New Roman" w:cs="Times New Roman"/>
        </w:rPr>
        <w:t>,</w:t>
      </w:r>
      <w:r w:rsidR="008F7601" w:rsidRPr="00E20A8E">
        <w:rPr>
          <w:rFonts w:ascii="Times New Roman" w:hAnsi="Times New Roman" w:cs="Times New Roman"/>
        </w:rPr>
        <w:t xml:space="preserve"> then </w:t>
      </w:r>
      <w:r w:rsidR="00707611" w:rsidRPr="00E20A8E">
        <w:rPr>
          <w:rFonts w:ascii="Times New Roman" w:hAnsi="Times New Roman" w:cs="Times New Roman"/>
        </w:rPr>
        <w:t xml:space="preserve">the relative importance of differing structural and agential factors </w:t>
      </w:r>
      <w:r w:rsidR="000F4BFF" w:rsidRPr="00E20A8E">
        <w:rPr>
          <w:rFonts w:ascii="Times New Roman" w:hAnsi="Times New Roman" w:cs="Times New Roman"/>
        </w:rPr>
        <w:t xml:space="preserve">in any given individual case </w:t>
      </w:r>
      <w:r w:rsidR="00707611" w:rsidRPr="00E20A8E">
        <w:rPr>
          <w:rFonts w:ascii="Times New Roman" w:hAnsi="Times New Roman" w:cs="Times New Roman"/>
        </w:rPr>
        <w:t xml:space="preserve">can only be determined empirically and is not amenable to definitional </w:t>
      </w:r>
      <w:r w:rsidR="00707611" w:rsidRPr="00E20A8E">
        <w:rPr>
          <w:rFonts w:ascii="Times New Roman" w:hAnsi="Times New Roman" w:cs="Times New Roman"/>
          <w:i/>
        </w:rPr>
        <w:t>fiat</w:t>
      </w:r>
      <w:r w:rsidR="00707611" w:rsidRPr="00E20A8E">
        <w:rPr>
          <w:rFonts w:ascii="Times New Roman" w:hAnsi="Times New Roman" w:cs="Times New Roman"/>
        </w:rPr>
        <w:t xml:space="preserve">. </w:t>
      </w:r>
      <w:r w:rsidR="008F7601" w:rsidRPr="00E20A8E">
        <w:rPr>
          <w:rFonts w:ascii="Times New Roman" w:hAnsi="Times New Roman" w:cs="Times New Roman"/>
        </w:rPr>
        <w:t xml:space="preserve">Of necessity such empirical </w:t>
      </w:r>
      <w:r w:rsidR="004E0E07" w:rsidRPr="00E20A8E">
        <w:rPr>
          <w:rFonts w:ascii="Times New Roman" w:hAnsi="Times New Roman" w:cs="Times New Roman"/>
        </w:rPr>
        <w:t>analysis must incorporate both structure and agency to be effective, which raises questions about the appropriateness of differing methodological means for making sense of their interplay.</w:t>
      </w:r>
    </w:p>
    <w:p w:rsidR="004E0E07" w:rsidRPr="00E20A8E" w:rsidRDefault="004E0E07" w:rsidP="004D322D">
      <w:pPr>
        <w:spacing w:line="240" w:lineRule="auto"/>
        <w:rPr>
          <w:rFonts w:ascii="Times New Roman" w:hAnsi="Times New Roman" w:cs="Times New Roman"/>
        </w:rPr>
      </w:pPr>
    </w:p>
    <w:p w:rsidR="004E0E07" w:rsidRPr="00E20A8E" w:rsidRDefault="004E0E07" w:rsidP="004D322D">
      <w:pPr>
        <w:spacing w:line="240" w:lineRule="auto"/>
        <w:rPr>
          <w:rFonts w:ascii="Times New Roman" w:hAnsi="Times New Roman" w:cs="Times New Roman"/>
        </w:rPr>
      </w:pPr>
      <w:r w:rsidRPr="00E20A8E">
        <w:rPr>
          <w:rFonts w:ascii="Times New Roman" w:hAnsi="Times New Roman" w:cs="Times New Roman"/>
          <w:b/>
        </w:rPr>
        <w:lastRenderedPageBreak/>
        <w:t>Structure, Agency and Policies</w:t>
      </w:r>
    </w:p>
    <w:p w:rsidR="00B81DDB" w:rsidRPr="00E20A8E" w:rsidRDefault="000F4BFF" w:rsidP="004D322D">
      <w:pPr>
        <w:spacing w:line="240" w:lineRule="auto"/>
        <w:rPr>
          <w:rFonts w:ascii="Times New Roman" w:hAnsi="Times New Roman" w:cs="Times New Roman"/>
        </w:rPr>
      </w:pPr>
      <w:r w:rsidRPr="00E20A8E">
        <w:rPr>
          <w:rFonts w:ascii="Times New Roman" w:hAnsi="Times New Roman" w:cs="Times New Roman"/>
        </w:rPr>
        <w:t xml:space="preserve">The basic starting-point </w:t>
      </w:r>
      <w:r w:rsidR="003411F9" w:rsidRPr="00E20A8E">
        <w:rPr>
          <w:rFonts w:ascii="Times New Roman" w:hAnsi="Times New Roman" w:cs="Times New Roman"/>
        </w:rPr>
        <w:t xml:space="preserve">for analysis </w:t>
      </w:r>
      <w:r w:rsidRPr="00E20A8E">
        <w:rPr>
          <w:rFonts w:ascii="Times New Roman" w:hAnsi="Times New Roman" w:cs="Times New Roman"/>
        </w:rPr>
        <w:t>is that</w:t>
      </w:r>
      <w:r w:rsidR="004E0E07" w:rsidRPr="00E20A8E">
        <w:rPr>
          <w:rFonts w:ascii="Times New Roman" w:hAnsi="Times New Roman" w:cs="Times New Roman"/>
        </w:rPr>
        <w:t xml:space="preserve"> policies arise from a combination</w:t>
      </w:r>
      <w:r w:rsidR="00BE0F92" w:rsidRPr="00E20A8E">
        <w:rPr>
          <w:rFonts w:ascii="Times New Roman" w:hAnsi="Times New Roman" w:cs="Times New Roman"/>
        </w:rPr>
        <w:t xml:space="preserve"> of exogenous and endogenous factors. The exogenous factors may range from the policies that are adopted by sponsoring or funding bodies that are institutionally separate from the individual </w:t>
      </w:r>
      <w:r w:rsidRPr="00E20A8E">
        <w:rPr>
          <w:rFonts w:ascii="Times New Roman" w:hAnsi="Times New Roman" w:cs="Times New Roman"/>
        </w:rPr>
        <w:t xml:space="preserve">organisations that are the focus of </w:t>
      </w:r>
      <w:r w:rsidR="004E3831" w:rsidRPr="00E20A8E">
        <w:rPr>
          <w:rFonts w:ascii="Times New Roman" w:hAnsi="Times New Roman" w:cs="Times New Roman"/>
        </w:rPr>
        <w:t>concern but</w:t>
      </w:r>
      <w:r w:rsidRPr="00E20A8E">
        <w:rPr>
          <w:rFonts w:ascii="Times New Roman" w:hAnsi="Times New Roman" w:cs="Times New Roman"/>
        </w:rPr>
        <w:t xml:space="preserve"> which are</w:t>
      </w:r>
      <w:r w:rsidR="00BE0F92" w:rsidRPr="00E20A8E">
        <w:rPr>
          <w:rFonts w:ascii="Times New Roman" w:hAnsi="Times New Roman" w:cs="Times New Roman"/>
        </w:rPr>
        <w:t xml:space="preserve"> affected</w:t>
      </w:r>
      <w:r w:rsidRPr="00E20A8E">
        <w:rPr>
          <w:rFonts w:ascii="Times New Roman" w:hAnsi="Times New Roman" w:cs="Times New Roman"/>
        </w:rPr>
        <w:t xml:space="preserve"> by the</w:t>
      </w:r>
      <w:r w:rsidR="00947009" w:rsidRPr="00E20A8E">
        <w:rPr>
          <w:rFonts w:ascii="Times New Roman" w:hAnsi="Times New Roman" w:cs="Times New Roman"/>
        </w:rPr>
        <w:t>se policies</w:t>
      </w:r>
      <w:r w:rsidR="00BE0F92" w:rsidRPr="00E20A8E">
        <w:rPr>
          <w:rFonts w:ascii="Times New Roman" w:hAnsi="Times New Roman" w:cs="Times New Roman"/>
        </w:rPr>
        <w:t xml:space="preserve">, </w:t>
      </w:r>
      <w:r w:rsidR="00B81DDB" w:rsidRPr="00E20A8E">
        <w:rPr>
          <w:rFonts w:ascii="Times New Roman" w:hAnsi="Times New Roman" w:cs="Times New Roman"/>
        </w:rPr>
        <w:t xml:space="preserve">to </w:t>
      </w:r>
      <w:r w:rsidR="00BE0F92" w:rsidRPr="00E20A8E">
        <w:rPr>
          <w:rFonts w:ascii="Times New Roman" w:hAnsi="Times New Roman" w:cs="Times New Roman"/>
        </w:rPr>
        <w:t xml:space="preserve">the ideologies that underlie policy choice, to the consequences of actions that have been undertaken in other policy sectors altogether. The endogenous factors are seen as deriving from the choices that are made by actors internal to the </w:t>
      </w:r>
      <w:r w:rsidR="001F0163" w:rsidRPr="00E20A8E">
        <w:rPr>
          <w:rFonts w:ascii="Times New Roman" w:hAnsi="Times New Roman" w:cs="Times New Roman"/>
        </w:rPr>
        <w:t xml:space="preserve">specific policy </w:t>
      </w:r>
      <w:r w:rsidR="00BE0F92" w:rsidRPr="00E20A8E">
        <w:rPr>
          <w:rFonts w:ascii="Times New Roman" w:hAnsi="Times New Roman" w:cs="Times New Roman"/>
        </w:rPr>
        <w:t>sector</w:t>
      </w:r>
      <w:r w:rsidR="001F0163" w:rsidRPr="00E20A8E">
        <w:rPr>
          <w:rFonts w:ascii="Times New Roman" w:hAnsi="Times New Roman" w:cs="Times New Roman"/>
        </w:rPr>
        <w:t xml:space="preserve"> that is concerned</w:t>
      </w:r>
      <w:r w:rsidR="00BF4EE2" w:rsidRPr="00E20A8E">
        <w:rPr>
          <w:rFonts w:ascii="Times New Roman" w:hAnsi="Times New Roman" w:cs="Times New Roman"/>
        </w:rPr>
        <w:t>, which can be influenced by, amongst many other things, organisational strategies, professional standards</w:t>
      </w:r>
      <w:r w:rsidR="006260E1" w:rsidRPr="00E20A8E">
        <w:rPr>
          <w:rStyle w:val="FootnoteReference"/>
          <w:rFonts w:ascii="Times New Roman" w:hAnsi="Times New Roman" w:cs="Times New Roman"/>
        </w:rPr>
        <w:footnoteReference w:id="3"/>
      </w:r>
      <w:r w:rsidR="00BF4EE2" w:rsidRPr="00E20A8E">
        <w:rPr>
          <w:rFonts w:ascii="Times New Roman" w:hAnsi="Times New Roman" w:cs="Times New Roman"/>
        </w:rPr>
        <w:t xml:space="preserve"> and the patterns of accountability that exist</w:t>
      </w:r>
      <w:r w:rsidR="00947009" w:rsidRPr="00E20A8E">
        <w:rPr>
          <w:rFonts w:ascii="Times New Roman" w:hAnsi="Times New Roman" w:cs="Times New Roman"/>
        </w:rPr>
        <w:t xml:space="preserve"> within these sectors</w:t>
      </w:r>
      <w:r w:rsidR="00BE0F92" w:rsidRPr="00E20A8E">
        <w:rPr>
          <w:rFonts w:ascii="Times New Roman" w:hAnsi="Times New Roman" w:cs="Times New Roman"/>
        </w:rPr>
        <w:t xml:space="preserve">. Overall policy is seen as being a response to the differing pressures that are generated from each set of factors, with this response being mediated by the conflicts and agreements that policy actors are involved </w:t>
      </w:r>
      <w:r w:rsidR="00947009" w:rsidRPr="00E20A8E">
        <w:rPr>
          <w:rFonts w:ascii="Times New Roman" w:hAnsi="Times New Roman" w:cs="Times New Roman"/>
        </w:rPr>
        <w:t>with</w:t>
      </w:r>
      <w:r w:rsidR="00B81DDB" w:rsidRPr="00E20A8E">
        <w:rPr>
          <w:rFonts w:ascii="Times New Roman" w:hAnsi="Times New Roman" w:cs="Times New Roman"/>
        </w:rPr>
        <w:t>,</w:t>
      </w:r>
      <w:r w:rsidR="00BE0F92" w:rsidRPr="00E20A8E">
        <w:rPr>
          <w:rFonts w:ascii="Times New Roman" w:hAnsi="Times New Roman" w:cs="Times New Roman"/>
        </w:rPr>
        <w:t xml:space="preserve"> both internally and externally. The conditions of uncertainty that exist in all of these serve to make predictions about the likely outcome of any given case extremely difficult</w:t>
      </w:r>
      <w:r w:rsidR="00947009" w:rsidRPr="00E20A8E">
        <w:rPr>
          <w:rFonts w:ascii="Times New Roman" w:hAnsi="Times New Roman" w:cs="Times New Roman"/>
        </w:rPr>
        <w:t xml:space="preserve"> </w:t>
      </w:r>
      <w:r w:rsidR="006260E1" w:rsidRPr="00E20A8E">
        <w:rPr>
          <w:rFonts w:ascii="Times New Roman" w:hAnsi="Times New Roman" w:cs="Times New Roman"/>
        </w:rPr>
        <w:t xml:space="preserve">to make with any credibility </w:t>
      </w:r>
      <w:r w:rsidR="001A64FC" w:rsidRPr="00E20A8E">
        <w:rPr>
          <w:rFonts w:ascii="Times New Roman" w:hAnsi="Times New Roman" w:cs="Times New Roman"/>
        </w:rPr>
        <w:t>– but not impossible.</w:t>
      </w:r>
    </w:p>
    <w:p w:rsidR="00B81DDB" w:rsidRPr="00E20A8E" w:rsidRDefault="00B81DDB" w:rsidP="004D322D">
      <w:pPr>
        <w:spacing w:line="240" w:lineRule="auto"/>
        <w:rPr>
          <w:rFonts w:ascii="Times New Roman" w:hAnsi="Times New Roman" w:cs="Times New Roman"/>
        </w:rPr>
      </w:pPr>
    </w:p>
    <w:p w:rsidR="004E0E07" w:rsidRPr="00E20A8E" w:rsidRDefault="00B81DDB" w:rsidP="004D322D">
      <w:pPr>
        <w:spacing w:line="240" w:lineRule="auto"/>
        <w:rPr>
          <w:rFonts w:ascii="Times New Roman" w:hAnsi="Times New Roman" w:cs="Times New Roman"/>
        </w:rPr>
      </w:pPr>
      <w:r w:rsidRPr="00E20A8E">
        <w:rPr>
          <w:rFonts w:ascii="Times New Roman" w:hAnsi="Times New Roman" w:cs="Times New Roman"/>
        </w:rPr>
        <w:t xml:space="preserve">If both sets of factors </w:t>
      </w:r>
      <w:r w:rsidR="00135290" w:rsidRPr="00E20A8E">
        <w:rPr>
          <w:rFonts w:ascii="Times New Roman" w:hAnsi="Times New Roman" w:cs="Times New Roman"/>
        </w:rPr>
        <w:t xml:space="preserve">– exogenous and endogenous - </w:t>
      </w:r>
      <w:r w:rsidRPr="00E20A8E">
        <w:rPr>
          <w:rFonts w:ascii="Times New Roman" w:hAnsi="Times New Roman" w:cs="Times New Roman"/>
        </w:rPr>
        <w:t xml:space="preserve">are important for understanding the precise detail of </w:t>
      </w:r>
      <w:r w:rsidR="000F4BFF" w:rsidRPr="00E20A8E">
        <w:rPr>
          <w:rFonts w:ascii="Times New Roman" w:hAnsi="Times New Roman" w:cs="Times New Roman"/>
        </w:rPr>
        <w:t>cultural</w:t>
      </w:r>
      <w:r w:rsidRPr="00E20A8E">
        <w:rPr>
          <w:rFonts w:ascii="Times New Roman" w:hAnsi="Times New Roman" w:cs="Times New Roman"/>
        </w:rPr>
        <w:t xml:space="preserve"> polic</w:t>
      </w:r>
      <w:r w:rsidR="000F4BFF" w:rsidRPr="00E20A8E">
        <w:rPr>
          <w:rFonts w:ascii="Times New Roman" w:hAnsi="Times New Roman" w:cs="Times New Roman"/>
        </w:rPr>
        <w:t>ies</w:t>
      </w:r>
      <w:r w:rsidRPr="00E20A8E">
        <w:rPr>
          <w:rFonts w:ascii="Times New Roman" w:hAnsi="Times New Roman" w:cs="Times New Roman"/>
        </w:rPr>
        <w:t xml:space="preserve"> then the question of how to make sense of what may otherwise appear to be a set of disaggregated component policy </w:t>
      </w:r>
      <w:r w:rsidR="00B60AC4" w:rsidRPr="00E20A8E">
        <w:rPr>
          <w:rFonts w:ascii="Times New Roman" w:hAnsi="Times New Roman" w:cs="Times New Roman"/>
        </w:rPr>
        <w:t>parts becomes</w:t>
      </w:r>
      <w:r w:rsidRPr="00E20A8E">
        <w:rPr>
          <w:rFonts w:ascii="Times New Roman" w:hAnsi="Times New Roman" w:cs="Times New Roman"/>
        </w:rPr>
        <w:t xml:space="preserve"> analytically important. Archer (</w:t>
      </w:r>
      <w:r w:rsidR="00F10BC6" w:rsidRPr="00E20A8E">
        <w:rPr>
          <w:rFonts w:ascii="Times New Roman" w:hAnsi="Times New Roman" w:cs="Times New Roman"/>
        </w:rPr>
        <w:t>1995</w:t>
      </w:r>
      <w:r w:rsidRPr="00E20A8E">
        <w:rPr>
          <w:rFonts w:ascii="Times New Roman" w:hAnsi="Times New Roman" w:cs="Times New Roman"/>
        </w:rPr>
        <w:t>)</w:t>
      </w:r>
      <w:r w:rsidR="006260E1" w:rsidRPr="00E20A8E">
        <w:rPr>
          <w:rFonts w:ascii="Times New Roman" w:hAnsi="Times New Roman" w:cs="Times New Roman"/>
        </w:rPr>
        <w:t>, from a position of analytical dualism,</w:t>
      </w:r>
      <w:r w:rsidRPr="00E20A8E">
        <w:rPr>
          <w:rFonts w:ascii="Times New Roman" w:hAnsi="Times New Roman" w:cs="Times New Roman"/>
        </w:rPr>
        <w:t xml:space="preserve"> argues that, in effect, it is possible to start from a focus on either structure or agency as being the dependent or independent variable in question</w:t>
      </w:r>
      <w:r w:rsidR="00135290" w:rsidRPr="00E20A8E">
        <w:rPr>
          <w:rFonts w:ascii="Times New Roman" w:hAnsi="Times New Roman" w:cs="Times New Roman"/>
        </w:rPr>
        <w:t>, with the choice of either being dependent upon the specific questions that the investigator wishes to analyse</w:t>
      </w:r>
      <w:r w:rsidRPr="00E20A8E">
        <w:rPr>
          <w:rFonts w:ascii="Times New Roman" w:hAnsi="Times New Roman" w:cs="Times New Roman"/>
        </w:rPr>
        <w:t xml:space="preserve">. The </w:t>
      </w:r>
      <w:r w:rsidR="00F10BC6" w:rsidRPr="00E20A8E">
        <w:rPr>
          <w:rFonts w:ascii="Times New Roman" w:hAnsi="Times New Roman" w:cs="Times New Roman"/>
        </w:rPr>
        <w:t xml:space="preserve">classic </w:t>
      </w:r>
      <w:r w:rsidRPr="00E20A8E">
        <w:rPr>
          <w:rFonts w:ascii="Times New Roman" w:hAnsi="Times New Roman" w:cs="Times New Roman"/>
        </w:rPr>
        <w:t xml:space="preserve">view </w:t>
      </w:r>
      <w:r w:rsidR="00F10BC6" w:rsidRPr="00E20A8E">
        <w:rPr>
          <w:rFonts w:ascii="Times New Roman" w:hAnsi="Times New Roman" w:cs="Times New Roman"/>
        </w:rPr>
        <w:t xml:space="preserve">from Marx (1973, 146) </w:t>
      </w:r>
      <w:r w:rsidRPr="00E20A8E">
        <w:rPr>
          <w:rFonts w:ascii="Times New Roman" w:hAnsi="Times New Roman" w:cs="Times New Roman"/>
        </w:rPr>
        <w:t xml:space="preserve">that ‘men make their own history, but not of their own free will; not under circumstances they themselves have chosen but under the given and inherited circumstances </w:t>
      </w:r>
      <w:r w:rsidR="00F10BC6" w:rsidRPr="00E20A8E">
        <w:rPr>
          <w:rFonts w:ascii="Times New Roman" w:hAnsi="Times New Roman" w:cs="Times New Roman"/>
        </w:rPr>
        <w:t xml:space="preserve">with which they are directly confronted’, for example, takes a structural starting point, requiring an identification of the surrounding ‘circumstances’ before sense can be made of the choices that are arrived at. </w:t>
      </w:r>
      <w:r w:rsidR="00005CB9" w:rsidRPr="00E20A8E">
        <w:rPr>
          <w:rFonts w:ascii="Times New Roman" w:hAnsi="Times New Roman" w:cs="Times New Roman"/>
        </w:rPr>
        <w:t>This may be seen clearly in rational choice approaches to analysis where the identification of the underlying value preferences that individuals h</w:t>
      </w:r>
      <w:r w:rsidR="00947009" w:rsidRPr="00E20A8E">
        <w:rPr>
          <w:rFonts w:ascii="Times New Roman" w:hAnsi="Times New Roman" w:cs="Times New Roman"/>
        </w:rPr>
        <w:t>old</w:t>
      </w:r>
      <w:r w:rsidR="00005CB9" w:rsidRPr="00E20A8E">
        <w:rPr>
          <w:rFonts w:ascii="Times New Roman" w:hAnsi="Times New Roman" w:cs="Times New Roman"/>
        </w:rPr>
        <w:t xml:space="preserve"> serve to structure the choices that are</w:t>
      </w:r>
      <w:r w:rsidR="0058325F" w:rsidRPr="00E20A8E">
        <w:rPr>
          <w:rFonts w:ascii="Times New Roman" w:hAnsi="Times New Roman" w:cs="Times New Roman"/>
        </w:rPr>
        <w:t>, and can be,</w:t>
      </w:r>
      <w:r w:rsidR="00005CB9" w:rsidRPr="00E20A8E">
        <w:rPr>
          <w:rFonts w:ascii="Times New Roman" w:hAnsi="Times New Roman" w:cs="Times New Roman"/>
        </w:rPr>
        <w:t xml:space="preserve"> then made</w:t>
      </w:r>
      <w:r w:rsidR="0058325F" w:rsidRPr="00E20A8E">
        <w:rPr>
          <w:rStyle w:val="FootnoteReference"/>
          <w:rFonts w:ascii="Times New Roman" w:hAnsi="Times New Roman" w:cs="Times New Roman"/>
        </w:rPr>
        <w:footnoteReference w:id="4"/>
      </w:r>
      <w:r w:rsidR="00005CB9" w:rsidRPr="00E20A8E">
        <w:rPr>
          <w:rFonts w:ascii="Times New Roman" w:hAnsi="Times New Roman" w:cs="Times New Roman"/>
        </w:rPr>
        <w:t xml:space="preserve"> (Hindmoor, 200</w:t>
      </w:r>
      <w:r w:rsidR="0058325F" w:rsidRPr="00E20A8E">
        <w:rPr>
          <w:rFonts w:ascii="Times New Roman" w:hAnsi="Times New Roman" w:cs="Times New Roman"/>
        </w:rPr>
        <w:t>6</w:t>
      </w:r>
      <w:r w:rsidR="00005CB9" w:rsidRPr="00E20A8E">
        <w:rPr>
          <w:rFonts w:ascii="Times New Roman" w:hAnsi="Times New Roman" w:cs="Times New Roman"/>
        </w:rPr>
        <w:t xml:space="preserve">). </w:t>
      </w:r>
      <w:r w:rsidR="00F10BC6" w:rsidRPr="00E20A8E">
        <w:rPr>
          <w:rFonts w:ascii="Times New Roman" w:hAnsi="Times New Roman" w:cs="Times New Roman"/>
        </w:rPr>
        <w:t xml:space="preserve">More voluntaristic approaches, such as those deriving from a phenomenological ontology, would tend to focus on how actors make sense of these constraints in the first instance before investigating how they are then manipulated or managed </w:t>
      </w:r>
      <w:r w:rsidR="00005CB9" w:rsidRPr="00E20A8E">
        <w:rPr>
          <w:rFonts w:ascii="Times New Roman" w:hAnsi="Times New Roman" w:cs="Times New Roman"/>
        </w:rPr>
        <w:t>by these knowing actors.</w:t>
      </w:r>
      <w:r w:rsidR="00947009" w:rsidRPr="00E20A8E">
        <w:rPr>
          <w:rFonts w:ascii="Times New Roman" w:hAnsi="Times New Roman" w:cs="Times New Roman"/>
        </w:rPr>
        <w:t xml:space="preserve"> </w:t>
      </w:r>
      <w:r w:rsidR="009C6505" w:rsidRPr="00E20A8E">
        <w:rPr>
          <w:rFonts w:ascii="Times New Roman" w:hAnsi="Times New Roman" w:cs="Times New Roman"/>
        </w:rPr>
        <w:t xml:space="preserve">Versions of interpretive analysis that concentrate on the role of individual actors in the creation of meaning </w:t>
      </w:r>
      <w:r w:rsidR="00741192" w:rsidRPr="00E20A8E">
        <w:rPr>
          <w:rFonts w:ascii="Times New Roman" w:hAnsi="Times New Roman" w:cs="Times New Roman"/>
        </w:rPr>
        <w:t>through their manipulation of ideas and their reliance on personal experience demonstrate this approach to analysis: Newman, 2011, for example, argues that an analysis of individual responses to museum displays casts doubt on the efficacy of the top-down structural requirements</w:t>
      </w:r>
      <w:r w:rsidR="00947009" w:rsidRPr="00E20A8E">
        <w:rPr>
          <w:rFonts w:ascii="Times New Roman" w:hAnsi="Times New Roman" w:cs="Times New Roman"/>
        </w:rPr>
        <w:t xml:space="preserve"> </w:t>
      </w:r>
      <w:r w:rsidR="00741192" w:rsidRPr="00E20A8E">
        <w:rPr>
          <w:rFonts w:ascii="Times New Roman" w:hAnsi="Times New Roman" w:cs="Times New Roman"/>
        </w:rPr>
        <w:t xml:space="preserve">of management tools to capture the actual cultural </w:t>
      </w:r>
      <w:r w:rsidR="00891AD2" w:rsidRPr="00E20A8E">
        <w:rPr>
          <w:rFonts w:ascii="Times New Roman" w:hAnsi="Times New Roman" w:cs="Times New Roman"/>
        </w:rPr>
        <w:t>impacts that visiting museums and galleries may give rise to</w:t>
      </w:r>
      <w:r w:rsidR="000F4BFF" w:rsidRPr="00E20A8E">
        <w:rPr>
          <w:rFonts w:ascii="Times New Roman" w:hAnsi="Times New Roman" w:cs="Times New Roman"/>
        </w:rPr>
        <w:t>, and if these impacts are to be effectively understood then an investigation of the personal responses of actors to the contexts within which they are located is required</w:t>
      </w:r>
      <w:r w:rsidR="003411F9" w:rsidRPr="00E20A8E">
        <w:rPr>
          <w:rFonts w:ascii="Times New Roman" w:hAnsi="Times New Roman" w:cs="Times New Roman"/>
        </w:rPr>
        <w:t xml:space="preserve"> and</w:t>
      </w:r>
      <w:r w:rsidR="00E311AF" w:rsidRPr="00E20A8E">
        <w:rPr>
          <w:rFonts w:ascii="Times New Roman" w:hAnsi="Times New Roman" w:cs="Times New Roman"/>
        </w:rPr>
        <w:t xml:space="preserve">, indeed, </w:t>
      </w:r>
      <w:r w:rsidR="003411F9" w:rsidRPr="00E20A8E">
        <w:rPr>
          <w:rFonts w:ascii="Times New Roman" w:hAnsi="Times New Roman" w:cs="Times New Roman"/>
        </w:rPr>
        <w:t>assumes primacy in an investigation of visiting effects</w:t>
      </w:r>
      <w:r w:rsidR="007B54C8" w:rsidRPr="00E20A8E">
        <w:rPr>
          <w:rStyle w:val="FootnoteReference"/>
          <w:rFonts w:ascii="Times New Roman" w:hAnsi="Times New Roman" w:cs="Times New Roman"/>
        </w:rPr>
        <w:footnoteReference w:id="5"/>
      </w:r>
      <w:r w:rsidR="00891AD2" w:rsidRPr="00E20A8E">
        <w:rPr>
          <w:rFonts w:ascii="Times New Roman" w:hAnsi="Times New Roman" w:cs="Times New Roman"/>
        </w:rPr>
        <w:t>.</w:t>
      </w:r>
    </w:p>
    <w:p w:rsidR="000F4BFF" w:rsidRPr="00E20A8E" w:rsidRDefault="000F4BFF" w:rsidP="004D322D">
      <w:pPr>
        <w:spacing w:line="240" w:lineRule="auto"/>
        <w:rPr>
          <w:rFonts w:ascii="Times New Roman" w:hAnsi="Times New Roman" w:cs="Times New Roman"/>
        </w:rPr>
      </w:pPr>
    </w:p>
    <w:p w:rsidR="007957A1" w:rsidRPr="00E20A8E" w:rsidRDefault="000F4BFF" w:rsidP="004D322D">
      <w:pPr>
        <w:spacing w:line="240" w:lineRule="auto"/>
        <w:rPr>
          <w:rFonts w:ascii="Times New Roman" w:hAnsi="Times New Roman" w:cs="Times New Roman"/>
        </w:rPr>
      </w:pPr>
      <w:r w:rsidRPr="00E20A8E">
        <w:rPr>
          <w:rFonts w:ascii="Times New Roman" w:hAnsi="Times New Roman" w:cs="Times New Roman"/>
        </w:rPr>
        <w:t xml:space="preserve">A literature review of the range of variables that exist, however, is unlikely to do more than descriptively list the potential effects that they may have on policy. More helpful, it is argued, could </w:t>
      </w:r>
      <w:r w:rsidRPr="00E20A8E">
        <w:rPr>
          <w:rFonts w:ascii="Times New Roman" w:hAnsi="Times New Roman" w:cs="Times New Roman"/>
        </w:rPr>
        <w:lastRenderedPageBreak/>
        <w:t>be the identification of a framework within which the roles of a host of policy variables could be located</w:t>
      </w:r>
      <w:r w:rsidR="00B60AC4" w:rsidRPr="00E20A8E">
        <w:rPr>
          <w:rFonts w:ascii="Times New Roman" w:hAnsi="Times New Roman" w:cs="Times New Roman"/>
        </w:rPr>
        <w:t xml:space="preserve">, with their inter-relationships </w:t>
      </w:r>
      <w:r w:rsidR="00DE62A5" w:rsidRPr="00E20A8E">
        <w:rPr>
          <w:rFonts w:ascii="Times New Roman" w:hAnsi="Times New Roman" w:cs="Times New Roman"/>
        </w:rPr>
        <w:t xml:space="preserve">and causal connections, </w:t>
      </w:r>
      <w:r w:rsidR="00B60AC4" w:rsidRPr="00E20A8E">
        <w:rPr>
          <w:rFonts w:ascii="Times New Roman" w:hAnsi="Times New Roman" w:cs="Times New Roman"/>
        </w:rPr>
        <w:t>and their individually distinct consequences for cultural policies</w:t>
      </w:r>
      <w:r w:rsidR="007B54C8" w:rsidRPr="00E20A8E">
        <w:rPr>
          <w:rFonts w:ascii="Times New Roman" w:hAnsi="Times New Roman" w:cs="Times New Roman"/>
        </w:rPr>
        <w:t xml:space="preserve"> </w:t>
      </w:r>
      <w:r w:rsidR="00B60AC4" w:rsidRPr="00E20A8E">
        <w:rPr>
          <w:rFonts w:ascii="Times New Roman" w:hAnsi="Times New Roman" w:cs="Times New Roman"/>
        </w:rPr>
        <w:t>being integrated into an analytical whole. Policy is inherently messy involving, as it does, multiple organisations, actors, ideas, practices, arguments, discourses, paradigms, jurisdictions and justifications, with all of these hav</w:t>
      </w:r>
      <w:r w:rsidR="001F0163" w:rsidRPr="00E20A8E">
        <w:rPr>
          <w:rFonts w:ascii="Times New Roman" w:hAnsi="Times New Roman" w:cs="Times New Roman"/>
        </w:rPr>
        <w:t>ing</w:t>
      </w:r>
      <w:r w:rsidR="00B60AC4" w:rsidRPr="00E20A8E">
        <w:rPr>
          <w:rFonts w:ascii="Times New Roman" w:hAnsi="Times New Roman" w:cs="Times New Roman"/>
        </w:rPr>
        <w:t xml:space="preserve"> both independent and interactive effects.</w:t>
      </w:r>
      <w:r w:rsidR="007B54C8" w:rsidRPr="00E20A8E">
        <w:rPr>
          <w:rFonts w:ascii="Times New Roman" w:hAnsi="Times New Roman" w:cs="Times New Roman"/>
        </w:rPr>
        <w:t xml:space="preserve"> </w:t>
      </w:r>
      <w:r w:rsidR="00891AD2" w:rsidRPr="00E20A8E">
        <w:rPr>
          <w:rFonts w:ascii="Times New Roman" w:hAnsi="Times New Roman" w:cs="Times New Roman"/>
        </w:rPr>
        <w:t xml:space="preserve">Rather than attempting to make claims about the relevant significance of any particular sets of factors for </w:t>
      </w:r>
      <w:r w:rsidR="00B60AC4" w:rsidRPr="00E20A8E">
        <w:rPr>
          <w:rFonts w:ascii="Times New Roman" w:hAnsi="Times New Roman" w:cs="Times New Roman"/>
        </w:rPr>
        <w:t>cultural</w:t>
      </w:r>
      <w:r w:rsidR="00891AD2" w:rsidRPr="00E20A8E">
        <w:rPr>
          <w:rFonts w:ascii="Times New Roman" w:hAnsi="Times New Roman" w:cs="Times New Roman"/>
        </w:rPr>
        <w:t xml:space="preserve"> policies at this stage</w:t>
      </w:r>
      <w:r w:rsidR="00B60AC4" w:rsidRPr="00E20A8E">
        <w:rPr>
          <w:rFonts w:ascii="Times New Roman" w:hAnsi="Times New Roman" w:cs="Times New Roman"/>
        </w:rPr>
        <w:t xml:space="preserve"> it could also be argued that the development of features of policy that have been developed within the larger public policy field may be more helpful</w:t>
      </w:r>
      <w:r w:rsidR="001F0163" w:rsidRPr="00E20A8E">
        <w:rPr>
          <w:rFonts w:ascii="Times New Roman" w:hAnsi="Times New Roman" w:cs="Times New Roman"/>
        </w:rPr>
        <w:t xml:space="preserve"> as these are concerned with policy as policy, rather than with the specificities of individual policy sectors.</w:t>
      </w:r>
      <w:r w:rsidR="007B54C8" w:rsidRPr="00E20A8E">
        <w:rPr>
          <w:rFonts w:ascii="Times New Roman" w:hAnsi="Times New Roman" w:cs="Times New Roman"/>
        </w:rPr>
        <w:t xml:space="preserve"> </w:t>
      </w:r>
      <w:r w:rsidR="00E311AF" w:rsidRPr="00E20A8E">
        <w:rPr>
          <w:rFonts w:ascii="Times New Roman" w:hAnsi="Times New Roman" w:cs="Times New Roman"/>
        </w:rPr>
        <w:t>As such there is a certain generality in the policy features that could be included but this may be helpful in emphasising the fact that cultural policy does not occur in conditions of splendid isolation from what is occurring elsewhere within societies</w:t>
      </w:r>
      <w:r w:rsidR="00E311AF" w:rsidRPr="00E20A8E">
        <w:rPr>
          <w:rStyle w:val="FootnoteReference"/>
          <w:rFonts w:ascii="Times New Roman" w:hAnsi="Times New Roman" w:cs="Times New Roman"/>
        </w:rPr>
        <w:footnoteReference w:id="6"/>
      </w:r>
      <w:r w:rsidR="00E311AF" w:rsidRPr="00E20A8E">
        <w:rPr>
          <w:rFonts w:ascii="Times New Roman" w:hAnsi="Times New Roman" w:cs="Times New Roman"/>
        </w:rPr>
        <w:t xml:space="preserve">. </w:t>
      </w:r>
      <w:r w:rsidR="00B60AC4" w:rsidRPr="00E20A8E">
        <w:rPr>
          <w:rFonts w:ascii="Times New Roman" w:hAnsi="Times New Roman" w:cs="Times New Roman"/>
        </w:rPr>
        <w:t>Of</w:t>
      </w:r>
      <w:r w:rsidR="00891AD2" w:rsidRPr="00E20A8E">
        <w:rPr>
          <w:rFonts w:ascii="Times New Roman" w:hAnsi="Times New Roman" w:cs="Times New Roman"/>
        </w:rPr>
        <w:t xml:space="preserve"> course, the identification</w:t>
      </w:r>
      <w:r w:rsidR="001F0163" w:rsidRPr="00E20A8E">
        <w:rPr>
          <w:rFonts w:ascii="Times New Roman" w:hAnsi="Times New Roman" w:cs="Times New Roman"/>
        </w:rPr>
        <w:t xml:space="preserve"> of these public policy-based</w:t>
      </w:r>
      <w:r w:rsidR="007B54C8" w:rsidRPr="00E20A8E">
        <w:rPr>
          <w:rFonts w:ascii="Times New Roman" w:hAnsi="Times New Roman" w:cs="Times New Roman"/>
        </w:rPr>
        <w:t xml:space="preserve"> </w:t>
      </w:r>
      <w:r w:rsidR="001F0163" w:rsidRPr="00E20A8E">
        <w:rPr>
          <w:rFonts w:ascii="Times New Roman" w:hAnsi="Times New Roman" w:cs="Times New Roman"/>
        </w:rPr>
        <w:t xml:space="preserve">features </w:t>
      </w:r>
      <w:r w:rsidR="00891AD2" w:rsidRPr="00E20A8E">
        <w:rPr>
          <w:rFonts w:ascii="Times New Roman" w:hAnsi="Times New Roman" w:cs="Times New Roman"/>
        </w:rPr>
        <w:t>are themselves based upon particular emphases that have been placed upon analysis in the past</w:t>
      </w:r>
      <w:r w:rsidR="007957A1" w:rsidRPr="00E20A8E">
        <w:rPr>
          <w:rFonts w:ascii="Times New Roman" w:hAnsi="Times New Roman" w:cs="Times New Roman"/>
        </w:rPr>
        <w:t xml:space="preserve"> and,a</w:t>
      </w:r>
      <w:r w:rsidR="00891AD2" w:rsidRPr="00E20A8E">
        <w:rPr>
          <w:rFonts w:ascii="Times New Roman" w:hAnsi="Times New Roman" w:cs="Times New Roman"/>
        </w:rPr>
        <w:t>s such</w:t>
      </w:r>
      <w:r w:rsidR="007957A1" w:rsidRPr="00E20A8E">
        <w:rPr>
          <w:rFonts w:ascii="Times New Roman" w:hAnsi="Times New Roman" w:cs="Times New Roman"/>
        </w:rPr>
        <w:t>,</w:t>
      </w:r>
      <w:r w:rsidR="00891AD2" w:rsidRPr="00E20A8E">
        <w:rPr>
          <w:rFonts w:ascii="Times New Roman" w:hAnsi="Times New Roman" w:cs="Times New Roman"/>
        </w:rPr>
        <w:t xml:space="preserve"> they have generally been </w:t>
      </w:r>
      <w:r w:rsidR="0071583C" w:rsidRPr="00E20A8E">
        <w:rPr>
          <w:rFonts w:ascii="Times New Roman" w:hAnsi="Times New Roman" w:cs="Times New Roman"/>
        </w:rPr>
        <w:t>establish</w:t>
      </w:r>
      <w:r w:rsidR="00891AD2" w:rsidRPr="00E20A8E">
        <w:rPr>
          <w:rFonts w:ascii="Times New Roman" w:hAnsi="Times New Roman" w:cs="Times New Roman"/>
        </w:rPr>
        <w:t xml:space="preserve">ed on the basis of particular ontological and theoretical presuppositions, where assumptions about importance </w:t>
      </w:r>
      <w:r w:rsidR="0071583C" w:rsidRPr="00E20A8E">
        <w:rPr>
          <w:rFonts w:ascii="Times New Roman" w:hAnsi="Times New Roman" w:cs="Times New Roman"/>
        </w:rPr>
        <w:t xml:space="preserve">in practice </w:t>
      </w:r>
      <w:r w:rsidR="00891AD2" w:rsidRPr="00E20A8E">
        <w:rPr>
          <w:rFonts w:ascii="Times New Roman" w:hAnsi="Times New Roman" w:cs="Times New Roman"/>
        </w:rPr>
        <w:t xml:space="preserve">have been used to </w:t>
      </w:r>
      <w:r w:rsidR="00ED556D" w:rsidRPr="00E20A8E">
        <w:rPr>
          <w:rFonts w:ascii="Times New Roman" w:hAnsi="Times New Roman" w:cs="Times New Roman"/>
        </w:rPr>
        <w:t>give them</w:t>
      </w:r>
      <w:r w:rsidR="00891AD2" w:rsidRPr="00E20A8E">
        <w:rPr>
          <w:rFonts w:ascii="Times New Roman" w:hAnsi="Times New Roman" w:cs="Times New Roman"/>
        </w:rPr>
        <w:t xml:space="preserve"> importance in analysis</w:t>
      </w:r>
      <w:r w:rsidR="00710179" w:rsidRPr="00E20A8E">
        <w:rPr>
          <w:rStyle w:val="FootnoteReference"/>
          <w:rFonts w:ascii="Times New Roman" w:hAnsi="Times New Roman" w:cs="Times New Roman"/>
        </w:rPr>
        <w:footnoteReference w:id="7"/>
      </w:r>
      <w:r w:rsidR="00891AD2" w:rsidRPr="00E20A8E">
        <w:rPr>
          <w:rFonts w:ascii="Times New Roman" w:hAnsi="Times New Roman" w:cs="Times New Roman"/>
        </w:rPr>
        <w:t>.</w:t>
      </w:r>
      <w:r w:rsidR="007957A1" w:rsidRPr="00E20A8E">
        <w:rPr>
          <w:rFonts w:ascii="Times New Roman" w:hAnsi="Times New Roman" w:cs="Times New Roman"/>
        </w:rPr>
        <w:t xml:space="preserve"> Be this as it may, however, an awareness of particular sets of variables can serve to focus attention on what are commonly perceived as being the prime motivating forces behind policy choice</w:t>
      </w:r>
      <w:r w:rsidR="001F0163" w:rsidRPr="00E20A8E">
        <w:rPr>
          <w:rFonts w:ascii="Times New Roman" w:hAnsi="Times New Roman" w:cs="Times New Roman"/>
        </w:rPr>
        <w:t xml:space="preserve"> that are independent of the peculiarities of cultural policy</w:t>
      </w:r>
      <w:r w:rsidR="001F0163" w:rsidRPr="00E20A8E">
        <w:rPr>
          <w:rStyle w:val="FootnoteReference"/>
          <w:rFonts w:ascii="Times New Roman" w:hAnsi="Times New Roman" w:cs="Times New Roman"/>
        </w:rPr>
        <w:footnoteReference w:id="8"/>
      </w:r>
      <w:r w:rsidR="007957A1" w:rsidRPr="00E20A8E">
        <w:rPr>
          <w:rFonts w:ascii="Times New Roman" w:hAnsi="Times New Roman" w:cs="Times New Roman"/>
        </w:rPr>
        <w:t>.</w:t>
      </w:r>
    </w:p>
    <w:p w:rsidR="00135290" w:rsidRPr="00E20A8E" w:rsidRDefault="00135290" w:rsidP="004D322D">
      <w:pPr>
        <w:spacing w:line="240" w:lineRule="auto"/>
        <w:rPr>
          <w:rFonts w:ascii="Times New Roman" w:hAnsi="Times New Roman" w:cs="Times New Roman"/>
        </w:rPr>
      </w:pPr>
    </w:p>
    <w:p w:rsidR="00135290" w:rsidRPr="00E20A8E" w:rsidRDefault="00135290" w:rsidP="004D322D">
      <w:pPr>
        <w:spacing w:line="240" w:lineRule="auto"/>
        <w:rPr>
          <w:rFonts w:ascii="Times New Roman" w:hAnsi="Times New Roman" w:cs="Times New Roman"/>
        </w:rPr>
      </w:pPr>
      <w:r w:rsidRPr="00E20A8E">
        <w:rPr>
          <w:rFonts w:ascii="Times New Roman" w:hAnsi="Times New Roman" w:cs="Times New Roman"/>
        </w:rPr>
        <w:t>A return to the relationship of structure and agency can provide one means for establishing an effective framework within which policy activity can be located</w:t>
      </w:r>
      <w:r w:rsidR="008C1333" w:rsidRPr="00E20A8E">
        <w:rPr>
          <w:rFonts w:ascii="Times New Roman" w:hAnsi="Times New Roman" w:cs="Times New Roman"/>
        </w:rPr>
        <w:t xml:space="preserve">. Apart from simply re-stating the truism that both structure and agency matter and have an effect upon policy – assuming, of course, that there is neither complete structural determinism </w:t>
      </w:r>
      <w:r w:rsidR="009F50D0" w:rsidRPr="00E20A8E">
        <w:rPr>
          <w:rFonts w:ascii="Times New Roman" w:hAnsi="Times New Roman" w:cs="Times New Roman"/>
        </w:rPr>
        <w:t xml:space="preserve">(downwards conflation) </w:t>
      </w:r>
      <w:r w:rsidR="008C1333" w:rsidRPr="00E20A8E">
        <w:rPr>
          <w:rFonts w:ascii="Times New Roman" w:hAnsi="Times New Roman" w:cs="Times New Roman"/>
        </w:rPr>
        <w:t>nor complete free will</w:t>
      </w:r>
      <w:r w:rsidR="009F50D0" w:rsidRPr="00E20A8E">
        <w:rPr>
          <w:rFonts w:ascii="Times New Roman" w:hAnsi="Times New Roman" w:cs="Times New Roman"/>
        </w:rPr>
        <w:t xml:space="preserve"> (upwards conflation) </w:t>
      </w:r>
      <w:r w:rsidR="008C1333" w:rsidRPr="00E20A8E">
        <w:rPr>
          <w:rFonts w:ascii="Times New Roman" w:hAnsi="Times New Roman" w:cs="Times New Roman"/>
        </w:rPr>
        <w:t xml:space="preserve"> in existence – an explicit clarification of the relationship between the two is required if analysis is to be meaningful. In this context Archer’s social realism (1989, 1995, 2003) has been used to anchor the discussion. Archer (1995, 15) argues for an analytical dualism on the basis that ‘structure necessarily pre-dates the action(s) leading to its reproduction or transformation … elaboration necessarily post-dates the action sequences which gave rise to it’. Thus, all social action takes place within a particular structural context</w:t>
      </w:r>
      <w:r w:rsidR="00E311AF" w:rsidRPr="00E20A8E">
        <w:rPr>
          <w:rStyle w:val="FootnoteReference"/>
          <w:rFonts w:ascii="Times New Roman" w:hAnsi="Times New Roman" w:cs="Times New Roman"/>
        </w:rPr>
        <w:footnoteReference w:id="9"/>
      </w:r>
      <w:r w:rsidR="008C1333" w:rsidRPr="00E20A8E">
        <w:rPr>
          <w:rFonts w:ascii="Times New Roman" w:hAnsi="Times New Roman" w:cs="Times New Roman"/>
        </w:rPr>
        <w:t>. This context can be either maintained or changed through social action</w:t>
      </w:r>
      <w:r w:rsidR="004A0A62" w:rsidRPr="00E20A8E">
        <w:rPr>
          <w:rFonts w:ascii="Times New Roman" w:hAnsi="Times New Roman" w:cs="Times New Roman"/>
        </w:rPr>
        <w:t xml:space="preserve">. If the latter occurs it then produces a new structural context within which later social action will take place. In this respect it is possible at any given time to differentiate between the effects of structure and agency on the actions and choices that are made: ‘although structure and agency are at work continuously in society, the analytical element consists in breaking up these flows into intervals determined by </w:t>
      </w:r>
      <w:r w:rsidR="00774373" w:rsidRPr="00E20A8E">
        <w:rPr>
          <w:rFonts w:ascii="Times New Roman" w:hAnsi="Times New Roman" w:cs="Times New Roman"/>
        </w:rPr>
        <w:t xml:space="preserve">the </w:t>
      </w:r>
      <w:r w:rsidR="004A0A62" w:rsidRPr="00E20A8E">
        <w:rPr>
          <w:rFonts w:ascii="Times New Roman" w:hAnsi="Times New Roman" w:cs="Times New Roman"/>
        </w:rPr>
        <w:t xml:space="preserve">problem in hand’ (Archer, 1995, 168). </w:t>
      </w:r>
    </w:p>
    <w:p w:rsidR="007957A1" w:rsidRPr="00E20A8E" w:rsidRDefault="007957A1" w:rsidP="004D322D">
      <w:pPr>
        <w:spacing w:line="240" w:lineRule="auto"/>
        <w:rPr>
          <w:rFonts w:ascii="Times New Roman" w:hAnsi="Times New Roman" w:cs="Times New Roman"/>
        </w:rPr>
      </w:pPr>
    </w:p>
    <w:p w:rsidR="0050556F" w:rsidRPr="00E20A8E" w:rsidRDefault="007957A1" w:rsidP="004D322D">
      <w:pPr>
        <w:spacing w:line="240" w:lineRule="auto"/>
        <w:rPr>
          <w:rFonts w:ascii="Times New Roman" w:hAnsi="Times New Roman" w:cs="Times New Roman"/>
        </w:rPr>
      </w:pPr>
      <w:r w:rsidRPr="00E20A8E">
        <w:rPr>
          <w:rFonts w:ascii="Times New Roman" w:hAnsi="Times New Roman" w:cs="Times New Roman"/>
        </w:rPr>
        <w:lastRenderedPageBreak/>
        <w:t>It goes almost without saying that different organisations are subject to particular</w:t>
      </w:r>
      <w:r w:rsidR="00F216B5" w:rsidRPr="00E20A8E">
        <w:rPr>
          <w:rFonts w:ascii="Times New Roman" w:hAnsi="Times New Roman" w:cs="Times New Roman"/>
        </w:rPr>
        <w:t>, specific</w:t>
      </w:r>
      <w:r w:rsidR="00D517E4" w:rsidRPr="00E20A8E">
        <w:rPr>
          <w:rFonts w:ascii="Times New Roman" w:hAnsi="Times New Roman" w:cs="Times New Roman"/>
        </w:rPr>
        <w:t xml:space="preserve">, </w:t>
      </w:r>
      <w:r w:rsidRPr="00E20A8E">
        <w:rPr>
          <w:rFonts w:ascii="Times New Roman" w:hAnsi="Times New Roman" w:cs="Times New Roman"/>
        </w:rPr>
        <w:t xml:space="preserve">external forces and pressures that need not necessarily be present in the case of other organisations. Thus local authority museums that are in a </w:t>
      </w:r>
      <w:r w:rsidR="00D517E4" w:rsidRPr="00E20A8E">
        <w:rPr>
          <w:rFonts w:ascii="Times New Roman" w:hAnsi="Times New Roman" w:cs="Times New Roman"/>
        </w:rPr>
        <w:t>left-wing</w:t>
      </w:r>
      <w:r w:rsidRPr="00E20A8E">
        <w:rPr>
          <w:rFonts w:ascii="Times New Roman" w:hAnsi="Times New Roman" w:cs="Times New Roman"/>
        </w:rPr>
        <w:t xml:space="preserve">-controlled area will not necessarily be subject to the same expectations and policy structures that one in a </w:t>
      </w:r>
      <w:r w:rsidR="00D517E4" w:rsidRPr="00E20A8E">
        <w:rPr>
          <w:rFonts w:ascii="Times New Roman" w:hAnsi="Times New Roman" w:cs="Times New Roman"/>
        </w:rPr>
        <w:t>right-wing</w:t>
      </w:r>
      <w:r w:rsidRPr="00E20A8E">
        <w:rPr>
          <w:rFonts w:ascii="Times New Roman" w:hAnsi="Times New Roman" w:cs="Times New Roman"/>
        </w:rPr>
        <w:t xml:space="preserve">-controlled area may </w:t>
      </w:r>
      <w:r w:rsidR="003D5DCA" w:rsidRPr="00E20A8E">
        <w:rPr>
          <w:rFonts w:ascii="Times New Roman" w:hAnsi="Times New Roman" w:cs="Times New Roman"/>
        </w:rPr>
        <w:t>confront</w:t>
      </w:r>
      <w:r w:rsidRPr="00E20A8E">
        <w:rPr>
          <w:rFonts w:ascii="Times New Roman" w:hAnsi="Times New Roman" w:cs="Times New Roman"/>
        </w:rPr>
        <w:t xml:space="preserve">. </w:t>
      </w:r>
      <w:r w:rsidR="00A04AE3" w:rsidRPr="00E20A8E">
        <w:rPr>
          <w:rFonts w:ascii="Times New Roman" w:hAnsi="Times New Roman" w:cs="Times New Roman"/>
        </w:rPr>
        <w:t xml:space="preserve">But, equally, two different </w:t>
      </w:r>
      <w:r w:rsidR="00D517E4" w:rsidRPr="00E20A8E">
        <w:rPr>
          <w:rFonts w:ascii="Times New Roman" w:hAnsi="Times New Roman" w:cs="Times New Roman"/>
        </w:rPr>
        <w:t>left-wing</w:t>
      </w:r>
      <w:r w:rsidR="00A04AE3" w:rsidRPr="00E20A8E">
        <w:rPr>
          <w:rFonts w:ascii="Times New Roman" w:hAnsi="Times New Roman" w:cs="Times New Roman"/>
        </w:rPr>
        <w:t xml:space="preserve"> authorities may have quite distinct approaches to their own museum services</w:t>
      </w:r>
      <w:r w:rsidR="009648F1" w:rsidRPr="00E20A8E">
        <w:rPr>
          <w:rFonts w:ascii="Times New Roman" w:hAnsi="Times New Roman" w:cs="Times New Roman"/>
        </w:rPr>
        <w:t>, and individual museums may also have their own organisational approaches to managing their activities.</w:t>
      </w:r>
      <w:r w:rsidR="00A04AE3" w:rsidRPr="00E20A8E">
        <w:rPr>
          <w:rFonts w:ascii="Times New Roman" w:hAnsi="Times New Roman" w:cs="Times New Roman"/>
        </w:rPr>
        <w:t xml:space="preserve"> In the same vein two national museums may be subject to the same reporting requirements for reasons of public performance management but this does not mean that they will actually respond to these in the same way. Hood (2006), for example, differentiates between five types of ‘gaming’ strategy that have been employed in the British public sector</w:t>
      </w:r>
      <w:r w:rsidR="00A01F66" w:rsidRPr="00E20A8E">
        <w:rPr>
          <w:rStyle w:val="FootnoteReference"/>
          <w:rFonts w:ascii="Times New Roman" w:hAnsi="Times New Roman" w:cs="Times New Roman"/>
        </w:rPr>
        <w:footnoteReference w:id="10"/>
      </w:r>
      <w:r w:rsidR="003D5DCA" w:rsidRPr="00E20A8E">
        <w:rPr>
          <w:rFonts w:ascii="Times New Roman" w:hAnsi="Times New Roman" w:cs="Times New Roman"/>
        </w:rPr>
        <w:t xml:space="preserve"> any of which may be applied to </w:t>
      </w:r>
      <w:r w:rsidR="00774373" w:rsidRPr="00E20A8E">
        <w:rPr>
          <w:rFonts w:ascii="Times New Roman" w:hAnsi="Times New Roman" w:cs="Times New Roman"/>
        </w:rPr>
        <w:t xml:space="preserve">performance </w:t>
      </w:r>
      <w:r w:rsidR="003D5DCA" w:rsidRPr="00E20A8E">
        <w:rPr>
          <w:rFonts w:ascii="Times New Roman" w:hAnsi="Times New Roman" w:cs="Times New Roman"/>
        </w:rPr>
        <w:t xml:space="preserve">reporting, while Smith (1995) has identified eight unintended consequences of performance reporting (of which gaming is one) which are subject to the choices that are made by organisational </w:t>
      </w:r>
      <w:r w:rsidR="00217C02" w:rsidRPr="00E20A8E">
        <w:rPr>
          <w:rFonts w:ascii="Times New Roman" w:hAnsi="Times New Roman" w:cs="Times New Roman"/>
        </w:rPr>
        <w:t>managers. To</w:t>
      </w:r>
      <w:r w:rsidR="00496F96" w:rsidRPr="00E20A8E">
        <w:rPr>
          <w:rFonts w:ascii="Times New Roman" w:hAnsi="Times New Roman" w:cs="Times New Roman"/>
        </w:rPr>
        <w:t xml:space="preserve"> simply assume that managers will do what they are told to</w:t>
      </w:r>
      <w:r w:rsidR="00D517E4" w:rsidRPr="00E20A8E">
        <w:rPr>
          <w:rFonts w:ascii="Times New Roman" w:hAnsi="Times New Roman" w:cs="Times New Roman"/>
        </w:rPr>
        <w:t xml:space="preserve"> do</w:t>
      </w:r>
      <w:r w:rsidR="00496F96" w:rsidRPr="00E20A8E">
        <w:rPr>
          <w:rFonts w:ascii="Times New Roman" w:hAnsi="Times New Roman" w:cs="Times New Roman"/>
        </w:rPr>
        <w:t xml:space="preserve"> does not seem to be an accurate reflection of the lived experience of organisational staff</w:t>
      </w:r>
      <w:r w:rsidR="00774373" w:rsidRPr="00E20A8E">
        <w:rPr>
          <w:rStyle w:val="FootnoteReference"/>
          <w:rFonts w:ascii="Times New Roman" w:hAnsi="Times New Roman" w:cs="Times New Roman"/>
        </w:rPr>
        <w:footnoteReference w:id="11"/>
      </w:r>
      <w:r w:rsidR="00496F96" w:rsidRPr="00E20A8E">
        <w:rPr>
          <w:rFonts w:ascii="Times New Roman" w:hAnsi="Times New Roman" w:cs="Times New Roman"/>
        </w:rPr>
        <w:t xml:space="preserve">. </w:t>
      </w:r>
      <w:r w:rsidR="009648F1" w:rsidRPr="00E20A8E">
        <w:rPr>
          <w:rFonts w:ascii="Times New Roman" w:hAnsi="Times New Roman" w:cs="Times New Roman"/>
        </w:rPr>
        <w:t>In this respect context assumes significance: simple generalisations do not necessarily reflect complex realities (see Howlett, 2012).</w:t>
      </w:r>
    </w:p>
    <w:p w:rsidR="0050556F" w:rsidRPr="00E20A8E" w:rsidRDefault="0050556F" w:rsidP="004D322D">
      <w:pPr>
        <w:spacing w:line="240" w:lineRule="auto"/>
        <w:rPr>
          <w:rFonts w:ascii="Times New Roman" w:hAnsi="Times New Roman" w:cs="Times New Roman"/>
        </w:rPr>
      </w:pPr>
    </w:p>
    <w:p w:rsidR="003A3E5D" w:rsidRPr="00E20A8E" w:rsidRDefault="0050556F" w:rsidP="004D322D">
      <w:pPr>
        <w:spacing w:line="240" w:lineRule="auto"/>
        <w:rPr>
          <w:rFonts w:ascii="Times New Roman" w:hAnsi="Times New Roman" w:cs="Times New Roman"/>
        </w:rPr>
      </w:pPr>
      <w:r w:rsidRPr="00E20A8E">
        <w:rPr>
          <w:rFonts w:ascii="Times New Roman" w:hAnsi="Times New Roman" w:cs="Times New Roman"/>
        </w:rPr>
        <w:t>Be this as it may</w:t>
      </w:r>
      <w:r w:rsidR="00774373" w:rsidRPr="00E20A8E">
        <w:rPr>
          <w:rFonts w:ascii="Times New Roman" w:hAnsi="Times New Roman" w:cs="Times New Roman"/>
        </w:rPr>
        <w:t>,</w:t>
      </w:r>
      <w:r w:rsidRPr="00E20A8E">
        <w:rPr>
          <w:rFonts w:ascii="Times New Roman" w:hAnsi="Times New Roman" w:cs="Times New Roman"/>
        </w:rPr>
        <w:t xml:space="preserve"> it is possible to identify a number of common claims about what determine</w:t>
      </w:r>
      <w:r w:rsidR="009648F1" w:rsidRPr="00E20A8E">
        <w:rPr>
          <w:rFonts w:ascii="Times New Roman" w:hAnsi="Times New Roman" w:cs="Times New Roman"/>
        </w:rPr>
        <w:t>s</w:t>
      </w:r>
      <w:r w:rsidRPr="00E20A8E">
        <w:rPr>
          <w:rFonts w:ascii="Times New Roman" w:hAnsi="Times New Roman" w:cs="Times New Roman"/>
        </w:rPr>
        <w:t xml:space="preserve"> the structure and goals of policy</w:t>
      </w:r>
      <w:r w:rsidR="00A01F66" w:rsidRPr="00E20A8E">
        <w:rPr>
          <w:rFonts w:ascii="Times New Roman" w:hAnsi="Times New Roman" w:cs="Times New Roman"/>
        </w:rPr>
        <w:t>,</w:t>
      </w:r>
      <w:r w:rsidRPr="00E20A8E">
        <w:rPr>
          <w:rFonts w:ascii="Times New Roman" w:hAnsi="Times New Roman" w:cs="Times New Roman"/>
        </w:rPr>
        <w:t xml:space="preserve"> with these operating in two distinct arenas: policy as </w:t>
      </w:r>
      <w:r w:rsidR="00A01F66" w:rsidRPr="00E20A8E">
        <w:rPr>
          <w:rFonts w:ascii="Times New Roman" w:hAnsi="Times New Roman" w:cs="Times New Roman"/>
        </w:rPr>
        <w:t>‘</w:t>
      </w:r>
      <w:r w:rsidRPr="00E20A8E">
        <w:rPr>
          <w:rFonts w:ascii="Times New Roman" w:hAnsi="Times New Roman" w:cs="Times New Roman"/>
        </w:rPr>
        <w:t>policy</w:t>
      </w:r>
      <w:r w:rsidR="00A01F66" w:rsidRPr="00E20A8E">
        <w:rPr>
          <w:rFonts w:ascii="Times New Roman" w:hAnsi="Times New Roman" w:cs="Times New Roman"/>
        </w:rPr>
        <w:t>’</w:t>
      </w:r>
      <w:r w:rsidRPr="00E20A8E">
        <w:rPr>
          <w:rFonts w:ascii="Times New Roman" w:hAnsi="Times New Roman" w:cs="Times New Roman"/>
        </w:rPr>
        <w:t xml:space="preserve">, and policy as action. The former of these is, in keeping with the topic of this paper, </w:t>
      </w:r>
      <w:r w:rsidR="009F50D0" w:rsidRPr="00E20A8E">
        <w:rPr>
          <w:rFonts w:ascii="Times New Roman" w:hAnsi="Times New Roman" w:cs="Times New Roman"/>
        </w:rPr>
        <w:t xml:space="preserve">taken to be concerned </w:t>
      </w:r>
      <w:r w:rsidRPr="00E20A8E">
        <w:rPr>
          <w:rFonts w:ascii="Times New Roman" w:hAnsi="Times New Roman" w:cs="Times New Roman"/>
        </w:rPr>
        <w:t>with the structural characteristics of policy, whil</w:t>
      </w:r>
      <w:r w:rsidR="009F50D0" w:rsidRPr="00E20A8E">
        <w:rPr>
          <w:rFonts w:ascii="Times New Roman" w:hAnsi="Times New Roman" w:cs="Times New Roman"/>
        </w:rPr>
        <w:t>st</w:t>
      </w:r>
      <w:r w:rsidRPr="00E20A8E">
        <w:rPr>
          <w:rFonts w:ascii="Times New Roman" w:hAnsi="Times New Roman" w:cs="Times New Roman"/>
        </w:rPr>
        <w:t xml:space="preserve"> the latter is concerned with the practice of the policy process.</w:t>
      </w:r>
      <w:r w:rsidR="00A01F66" w:rsidRPr="00E20A8E">
        <w:rPr>
          <w:rFonts w:ascii="Times New Roman" w:hAnsi="Times New Roman" w:cs="Times New Roman"/>
        </w:rPr>
        <w:t xml:space="preserve"> Given the emphasis within realist ontology on the recursive relationship between structure and agency the identification of variables as forming a part of either of these groupings is as much a matter of analytical choice as it is one of necessity: what may appear to be a structural component in one line of analysis may appear as an agential factor in another, and vice-versa. At the very least this means that a clear statement of the initial starting place for analysis would be required to justify the analytical choices that are then made.</w:t>
      </w:r>
      <w:r w:rsidR="0031313C" w:rsidRPr="00E20A8E">
        <w:rPr>
          <w:rFonts w:ascii="Times New Roman" w:hAnsi="Times New Roman" w:cs="Times New Roman"/>
        </w:rPr>
        <w:t xml:space="preserve"> Indeed, Elder-Vass (2010, 65-6) has argued that for a complete causal analysis of events five features of the analysed variables are required: </w:t>
      </w:r>
    </w:p>
    <w:p w:rsidR="0031313C" w:rsidRPr="00E20A8E" w:rsidRDefault="0031313C" w:rsidP="004D322D">
      <w:pPr>
        <w:pStyle w:val="ListParagraph"/>
        <w:numPr>
          <w:ilvl w:val="0"/>
          <w:numId w:val="2"/>
        </w:numPr>
        <w:spacing w:line="240" w:lineRule="auto"/>
        <w:rPr>
          <w:rFonts w:ascii="Times New Roman" w:hAnsi="Times New Roman" w:cs="Times New Roman"/>
        </w:rPr>
      </w:pPr>
      <w:r w:rsidRPr="00E20A8E">
        <w:rPr>
          <w:rFonts w:ascii="Times New Roman" w:hAnsi="Times New Roman" w:cs="Times New Roman"/>
        </w:rPr>
        <w:t>A list of their characteristic parts;</w:t>
      </w:r>
    </w:p>
    <w:p w:rsidR="0031313C" w:rsidRPr="00E20A8E" w:rsidRDefault="0031313C" w:rsidP="004D322D">
      <w:pPr>
        <w:pStyle w:val="ListParagraph"/>
        <w:numPr>
          <w:ilvl w:val="0"/>
          <w:numId w:val="2"/>
        </w:numPr>
        <w:spacing w:line="240" w:lineRule="auto"/>
        <w:rPr>
          <w:rFonts w:ascii="Times New Roman" w:hAnsi="Times New Roman" w:cs="Times New Roman"/>
        </w:rPr>
      </w:pPr>
      <w:r w:rsidRPr="00E20A8E">
        <w:rPr>
          <w:rFonts w:ascii="Times New Roman" w:hAnsi="Times New Roman" w:cs="Times New Roman"/>
        </w:rPr>
        <w:t>An explanation of how these must be related to each other;</w:t>
      </w:r>
    </w:p>
    <w:p w:rsidR="0031313C" w:rsidRPr="00E20A8E" w:rsidRDefault="001E6153" w:rsidP="004D322D">
      <w:pPr>
        <w:pStyle w:val="ListParagraph"/>
        <w:numPr>
          <w:ilvl w:val="0"/>
          <w:numId w:val="2"/>
        </w:numPr>
        <w:spacing w:line="240" w:lineRule="auto"/>
        <w:rPr>
          <w:rFonts w:ascii="Times New Roman" w:hAnsi="Times New Roman" w:cs="Times New Roman"/>
        </w:rPr>
      </w:pPr>
      <w:r w:rsidRPr="00E20A8E">
        <w:rPr>
          <w:rFonts w:ascii="Times New Roman" w:hAnsi="Times New Roman" w:cs="Times New Roman"/>
        </w:rPr>
        <w:t>An explanation of how they arose;</w:t>
      </w:r>
    </w:p>
    <w:p w:rsidR="001E6153" w:rsidRPr="00E20A8E" w:rsidRDefault="001E6153" w:rsidP="004D322D">
      <w:pPr>
        <w:pStyle w:val="ListParagraph"/>
        <w:numPr>
          <w:ilvl w:val="0"/>
          <w:numId w:val="2"/>
        </w:numPr>
        <w:spacing w:line="240" w:lineRule="auto"/>
        <w:rPr>
          <w:rFonts w:ascii="Times New Roman" w:hAnsi="Times New Roman" w:cs="Times New Roman"/>
        </w:rPr>
      </w:pPr>
      <w:r w:rsidRPr="00E20A8E">
        <w:rPr>
          <w:rFonts w:ascii="Times New Roman" w:hAnsi="Times New Roman" w:cs="Times New Roman"/>
        </w:rPr>
        <w:t>An explanation of how they are sustained;</w:t>
      </w:r>
    </w:p>
    <w:p w:rsidR="001E6153" w:rsidRPr="00E20A8E" w:rsidRDefault="001E6153" w:rsidP="004D322D">
      <w:pPr>
        <w:pStyle w:val="ListParagraph"/>
        <w:numPr>
          <w:ilvl w:val="0"/>
          <w:numId w:val="2"/>
        </w:numPr>
        <w:spacing w:line="240" w:lineRule="auto"/>
        <w:rPr>
          <w:rFonts w:ascii="Times New Roman" w:hAnsi="Times New Roman" w:cs="Times New Roman"/>
        </w:rPr>
      </w:pPr>
      <w:r w:rsidRPr="00E20A8E">
        <w:rPr>
          <w:rFonts w:ascii="Times New Roman" w:hAnsi="Times New Roman" w:cs="Times New Roman"/>
        </w:rPr>
        <w:t>An explanation of how the effects of the whole are produced by the organisation of its parts</w:t>
      </w:r>
      <w:r w:rsidR="009F50D0" w:rsidRPr="00E20A8E">
        <w:rPr>
          <w:rStyle w:val="FootnoteReference"/>
          <w:rFonts w:ascii="Times New Roman" w:hAnsi="Times New Roman" w:cs="Times New Roman"/>
        </w:rPr>
        <w:footnoteReference w:id="12"/>
      </w:r>
      <w:r w:rsidRPr="00E20A8E">
        <w:rPr>
          <w:rFonts w:ascii="Times New Roman" w:hAnsi="Times New Roman" w:cs="Times New Roman"/>
        </w:rPr>
        <w:t>.</w:t>
      </w:r>
    </w:p>
    <w:p w:rsidR="00A936F9" w:rsidRPr="00E20A8E" w:rsidRDefault="00A936F9" w:rsidP="004D322D">
      <w:pPr>
        <w:spacing w:line="240" w:lineRule="auto"/>
        <w:rPr>
          <w:rFonts w:ascii="Times New Roman" w:hAnsi="Times New Roman" w:cs="Times New Roman"/>
        </w:rPr>
      </w:pPr>
    </w:p>
    <w:p w:rsidR="00A936F9" w:rsidRPr="00E20A8E" w:rsidRDefault="00A936F9" w:rsidP="004D322D">
      <w:pPr>
        <w:spacing w:line="240" w:lineRule="auto"/>
        <w:rPr>
          <w:rFonts w:ascii="Times New Roman" w:hAnsi="Times New Roman" w:cs="Times New Roman"/>
        </w:rPr>
      </w:pPr>
      <w:r w:rsidRPr="00E20A8E">
        <w:rPr>
          <w:rFonts w:ascii="Times New Roman" w:hAnsi="Times New Roman" w:cs="Times New Roman"/>
        </w:rPr>
        <w:t>Given the tendency from within the cultural sector as a whole to view the choices and actions of external agencies as being unwelcome intrusions on the independence and integrity of actors within the sector - the instrumental debate, for example, has seen numerous ‘accusations of rigid prescription, a loss of quality and artistic integrity, increased bureaucracy and an abdication of responsibility by the state’ (Nisbett, 2012</w:t>
      </w:r>
      <w:r w:rsidR="00466AA8" w:rsidRPr="00E20A8E">
        <w:rPr>
          <w:rFonts w:ascii="Times New Roman" w:hAnsi="Times New Roman" w:cs="Times New Roman"/>
        </w:rPr>
        <w:t>, 2</w:t>
      </w:r>
      <w:r w:rsidRPr="00E20A8E">
        <w:rPr>
          <w:rFonts w:ascii="Times New Roman" w:hAnsi="Times New Roman" w:cs="Times New Roman"/>
        </w:rPr>
        <w:t xml:space="preserve">) – the role of external actors in establishing sets of requirements for the management of regulation, oversight, accountability, probity </w:t>
      </w:r>
      <w:r w:rsidR="00466AA8" w:rsidRPr="00E20A8E">
        <w:rPr>
          <w:rFonts w:ascii="Times New Roman" w:hAnsi="Times New Roman" w:cs="Times New Roman"/>
        </w:rPr>
        <w:t>and many other top-down concerns, where these affect</w:t>
      </w:r>
      <w:r w:rsidRPr="00E20A8E">
        <w:rPr>
          <w:rFonts w:ascii="Times New Roman" w:hAnsi="Times New Roman" w:cs="Times New Roman"/>
        </w:rPr>
        <w:t xml:space="preserve"> internal actors</w:t>
      </w:r>
      <w:r w:rsidR="00E574A9" w:rsidRPr="00E20A8E">
        <w:rPr>
          <w:rFonts w:ascii="Times New Roman" w:hAnsi="Times New Roman" w:cs="Times New Roman"/>
        </w:rPr>
        <w:t>,</w:t>
      </w:r>
      <w:r w:rsidRPr="00E20A8E">
        <w:rPr>
          <w:rFonts w:ascii="Times New Roman" w:hAnsi="Times New Roman" w:cs="Times New Roman"/>
        </w:rPr>
        <w:t xml:space="preserve"> would serve to establish the </w:t>
      </w:r>
      <w:r w:rsidR="00466AA8" w:rsidRPr="00E20A8E">
        <w:rPr>
          <w:rFonts w:ascii="Times New Roman" w:hAnsi="Times New Roman" w:cs="Times New Roman"/>
        </w:rPr>
        <w:t xml:space="preserve">‘circumstances’ (in the Marxian sense) within which staff </w:t>
      </w:r>
      <w:r w:rsidR="00E574A9" w:rsidRPr="00E20A8E">
        <w:rPr>
          <w:rFonts w:ascii="Times New Roman" w:hAnsi="Times New Roman" w:cs="Times New Roman"/>
        </w:rPr>
        <w:t xml:space="preserve">in the organisations that are examined </w:t>
      </w:r>
      <w:r w:rsidR="00466AA8" w:rsidRPr="00E20A8E">
        <w:rPr>
          <w:rFonts w:ascii="Times New Roman" w:hAnsi="Times New Roman" w:cs="Times New Roman"/>
        </w:rPr>
        <w:t xml:space="preserve">are operating. </w:t>
      </w:r>
      <w:r w:rsidR="00E574A9" w:rsidRPr="00E20A8E">
        <w:rPr>
          <w:rFonts w:ascii="Times New Roman" w:hAnsi="Times New Roman" w:cs="Times New Roman"/>
        </w:rPr>
        <w:t xml:space="preserve">Indeed, the location of central government departments which have a responsibility for culture within a realm of structural requirements that are equally imposed on them in a top-down fashion can have significant </w:t>
      </w:r>
      <w:r w:rsidR="00E574A9" w:rsidRPr="00E20A8E">
        <w:rPr>
          <w:rFonts w:ascii="Times New Roman" w:hAnsi="Times New Roman" w:cs="Times New Roman"/>
        </w:rPr>
        <w:lastRenderedPageBreak/>
        <w:t>effects on the centrality of these departments to the overall concerns of governments (Gray &amp; Wingfield, 2011).</w:t>
      </w:r>
      <w:r w:rsidR="00466AA8" w:rsidRPr="00E20A8E">
        <w:rPr>
          <w:rFonts w:ascii="Times New Roman" w:hAnsi="Times New Roman" w:cs="Times New Roman"/>
        </w:rPr>
        <w:t xml:space="preserve">The extent to which these function as invariant controls over which internal actors exercise no effective autonomy is thus a key dimension for investigating the structure/agency relationship. Whether structure is simply a set of constraining factors or whether it can serve as a means for the exercise of effective policy choices by independent actors thus becomes the major setting for the analysis.   </w:t>
      </w:r>
    </w:p>
    <w:p w:rsidR="0071583C" w:rsidRPr="00E20A8E" w:rsidRDefault="0071583C" w:rsidP="004D322D">
      <w:pPr>
        <w:spacing w:line="240" w:lineRule="auto"/>
        <w:rPr>
          <w:rFonts w:ascii="Times New Roman" w:hAnsi="Times New Roman" w:cs="Times New Roman"/>
        </w:rPr>
      </w:pPr>
    </w:p>
    <w:p w:rsidR="0071583C" w:rsidRPr="00E20A8E" w:rsidRDefault="0071583C" w:rsidP="004D322D">
      <w:pPr>
        <w:spacing w:line="240" w:lineRule="auto"/>
        <w:rPr>
          <w:rFonts w:ascii="Times New Roman" w:hAnsi="Times New Roman" w:cs="Times New Roman"/>
        </w:rPr>
      </w:pPr>
      <w:r w:rsidRPr="00E20A8E">
        <w:rPr>
          <w:rFonts w:ascii="Times New Roman" w:hAnsi="Times New Roman" w:cs="Times New Roman"/>
          <w:b/>
        </w:rPr>
        <w:t>The Structural Characteristics of Policy</w:t>
      </w:r>
    </w:p>
    <w:p w:rsidR="0093607B" w:rsidRPr="00E20A8E" w:rsidRDefault="00466AA8" w:rsidP="004D322D">
      <w:pPr>
        <w:spacing w:line="240" w:lineRule="auto"/>
        <w:rPr>
          <w:rFonts w:ascii="Times New Roman" w:hAnsi="Times New Roman" w:cs="Times New Roman"/>
        </w:rPr>
      </w:pPr>
      <w:r w:rsidRPr="00E20A8E">
        <w:rPr>
          <w:rFonts w:ascii="Times New Roman" w:hAnsi="Times New Roman" w:cs="Times New Roman"/>
        </w:rPr>
        <w:t xml:space="preserve">At one level an identification of the </w:t>
      </w:r>
      <w:r w:rsidR="00D13774" w:rsidRPr="00E20A8E">
        <w:rPr>
          <w:rFonts w:ascii="Times New Roman" w:hAnsi="Times New Roman" w:cs="Times New Roman"/>
        </w:rPr>
        <w:t xml:space="preserve">range of factors that establish the structural conditions within which </w:t>
      </w:r>
      <w:r w:rsidR="00E574A9" w:rsidRPr="00E20A8E">
        <w:rPr>
          <w:rFonts w:ascii="Times New Roman" w:hAnsi="Times New Roman" w:cs="Times New Roman"/>
        </w:rPr>
        <w:t>organisational</w:t>
      </w:r>
      <w:r w:rsidR="00D13774" w:rsidRPr="00E20A8E">
        <w:rPr>
          <w:rFonts w:ascii="Times New Roman" w:hAnsi="Times New Roman" w:cs="Times New Roman"/>
        </w:rPr>
        <w:t xml:space="preserve"> staff function is clear-cut: a simple listing of the legal framework governing the </w:t>
      </w:r>
      <w:r w:rsidR="00E574A9" w:rsidRPr="00E20A8E">
        <w:rPr>
          <w:rFonts w:ascii="Times New Roman" w:hAnsi="Times New Roman" w:cs="Times New Roman"/>
        </w:rPr>
        <w:t>particular</w:t>
      </w:r>
      <w:r w:rsidR="00D13774" w:rsidRPr="00E20A8E">
        <w:rPr>
          <w:rFonts w:ascii="Times New Roman" w:hAnsi="Times New Roman" w:cs="Times New Roman"/>
        </w:rPr>
        <w:t xml:space="preserve"> sector</w:t>
      </w:r>
      <w:r w:rsidR="00E574A9" w:rsidRPr="00E20A8E">
        <w:rPr>
          <w:rFonts w:ascii="Times New Roman" w:hAnsi="Times New Roman" w:cs="Times New Roman"/>
        </w:rPr>
        <w:t xml:space="preserve"> in general</w:t>
      </w:r>
      <w:r w:rsidR="00D13774" w:rsidRPr="00E20A8E">
        <w:rPr>
          <w:rFonts w:ascii="Times New Roman" w:hAnsi="Times New Roman" w:cs="Times New Roman"/>
        </w:rPr>
        <w:t xml:space="preserve">, </w:t>
      </w:r>
      <w:r w:rsidR="00E574A9" w:rsidRPr="00E20A8E">
        <w:rPr>
          <w:rFonts w:ascii="Times New Roman" w:hAnsi="Times New Roman" w:cs="Times New Roman"/>
        </w:rPr>
        <w:t>and specific organisations in particular,</w:t>
      </w:r>
      <w:r w:rsidR="00D13774" w:rsidRPr="00E20A8E">
        <w:rPr>
          <w:rFonts w:ascii="Times New Roman" w:hAnsi="Times New Roman" w:cs="Times New Roman"/>
        </w:rPr>
        <w:t xml:space="preserve">the reporting requirements that central and local governments have established, the international treaties and obligations that have been signed, the funding mechanisms through which the sector is financed, and the policies that central and local governments have introduced </w:t>
      </w:r>
      <w:r w:rsidR="000261F8" w:rsidRPr="00E20A8E">
        <w:rPr>
          <w:rFonts w:ascii="Times New Roman" w:hAnsi="Times New Roman" w:cs="Times New Roman"/>
        </w:rPr>
        <w:t>that govern what the</w:t>
      </w:r>
      <w:r w:rsidR="005F229E" w:rsidRPr="00E20A8E">
        <w:rPr>
          <w:rFonts w:ascii="Times New Roman" w:hAnsi="Times New Roman" w:cs="Times New Roman"/>
        </w:rPr>
        <w:t xml:space="preserve"> sector and its component organisations </w:t>
      </w:r>
      <w:r w:rsidR="000261F8" w:rsidRPr="00E20A8E">
        <w:rPr>
          <w:rFonts w:ascii="Times New Roman" w:hAnsi="Times New Roman" w:cs="Times New Roman"/>
        </w:rPr>
        <w:t xml:space="preserve">are intended to do </w:t>
      </w:r>
      <w:r w:rsidR="00D13774" w:rsidRPr="00E20A8E">
        <w:rPr>
          <w:rFonts w:ascii="Times New Roman" w:hAnsi="Times New Roman" w:cs="Times New Roman"/>
        </w:rPr>
        <w:t>would be sufficient for this purpose. At another level, however, such a listing is noticeable as much for what it ignores in terms of establishing the context within which policy functions as it is for ignoring the less direct ways in which exogenous actors may seek to impose control over the sector. It is particularl</w:t>
      </w:r>
      <w:r w:rsidR="0093607B" w:rsidRPr="00E20A8E">
        <w:rPr>
          <w:rFonts w:ascii="Times New Roman" w:hAnsi="Times New Roman" w:cs="Times New Roman"/>
        </w:rPr>
        <w:t xml:space="preserve">y </w:t>
      </w:r>
      <w:r w:rsidR="00D13774" w:rsidRPr="00E20A8E">
        <w:rPr>
          <w:rFonts w:ascii="Times New Roman" w:hAnsi="Times New Roman" w:cs="Times New Roman"/>
        </w:rPr>
        <w:t xml:space="preserve">noticeable for ignoring the unintended consequences of a range of actions external to the sector that could potentially have major repercussions for how </w:t>
      </w:r>
      <w:r w:rsidR="0093607B" w:rsidRPr="00E20A8E">
        <w:rPr>
          <w:rFonts w:ascii="Times New Roman" w:hAnsi="Times New Roman" w:cs="Times New Roman"/>
        </w:rPr>
        <w:t>it</w:t>
      </w:r>
      <w:r w:rsidR="00D13774" w:rsidRPr="00E20A8E">
        <w:rPr>
          <w:rFonts w:ascii="Times New Roman" w:hAnsi="Times New Roman" w:cs="Times New Roman"/>
        </w:rPr>
        <w:t xml:space="preserve"> functions</w:t>
      </w:r>
      <w:r w:rsidR="001C1DBD" w:rsidRPr="00E20A8E">
        <w:rPr>
          <w:rStyle w:val="FootnoteReference"/>
          <w:rFonts w:ascii="Times New Roman" w:hAnsi="Times New Roman" w:cs="Times New Roman"/>
        </w:rPr>
        <w:footnoteReference w:id="13"/>
      </w:r>
      <w:r w:rsidR="00D13774" w:rsidRPr="00E20A8E">
        <w:rPr>
          <w:rFonts w:ascii="Times New Roman" w:hAnsi="Times New Roman" w:cs="Times New Roman"/>
        </w:rPr>
        <w:t>.</w:t>
      </w:r>
      <w:r w:rsidR="0093607B" w:rsidRPr="00E20A8E">
        <w:rPr>
          <w:rFonts w:ascii="Times New Roman" w:hAnsi="Times New Roman" w:cs="Times New Roman"/>
        </w:rPr>
        <w:t xml:space="preserve"> While the direct structural matters concerning top-down policy choices clearly have an importance for </w:t>
      </w:r>
      <w:r w:rsidR="005F229E" w:rsidRPr="00E20A8E">
        <w:rPr>
          <w:rFonts w:ascii="Times New Roman" w:hAnsi="Times New Roman" w:cs="Times New Roman"/>
        </w:rPr>
        <w:t>any</w:t>
      </w:r>
      <w:r w:rsidR="0093607B" w:rsidRPr="00E20A8E">
        <w:rPr>
          <w:rFonts w:ascii="Times New Roman" w:hAnsi="Times New Roman" w:cs="Times New Roman"/>
        </w:rPr>
        <w:t xml:space="preserve"> sector it is possible to approach structure in a wider fashion that includes both the direct forms and the range of indirect and unintended structural factors noted above</w:t>
      </w:r>
      <w:r w:rsidR="005F229E" w:rsidRPr="00E20A8E">
        <w:rPr>
          <w:rStyle w:val="FootnoteReference"/>
          <w:rFonts w:ascii="Times New Roman" w:hAnsi="Times New Roman" w:cs="Times New Roman"/>
        </w:rPr>
        <w:footnoteReference w:id="14"/>
      </w:r>
      <w:r w:rsidR="0093607B" w:rsidRPr="00E20A8E">
        <w:rPr>
          <w:rFonts w:ascii="Times New Roman" w:hAnsi="Times New Roman" w:cs="Times New Roman"/>
        </w:rPr>
        <w:t>.</w:t>
      </w:r>
    </w:p>
    <w:p w:rsidR="0093607B" w:rsidRPr="00E20A8E" w:rsidRDefault="0093607B" w:rsidP="004D322D">
      <w:pPr>
        <w:spacing w:line="240" w:lineRule="auto"/>
        <w:rPr>
          <w:rFonts w:ascii="Times New Roman" w:hAnsi="Times New Roman" w:cs="Times New Roman"/>
        </w:rPr>
      </w:pPr>
    </w:p>
    <w:p w:rsidR="00E94DB4" w:rsidRPr="00E20A8E" w:rsidRDefault="0093607B" w:rsidP="004D322D">
      <w:pPr>
        <w:spacing w:line="240" w:lineRule="auto"/>
        <w:rPr>
          <w:rFonts w:ascii="Times New Roman" w:hAnsi="Times New Roman" w:cs="Times New Roman"/>
        </w:rPr>
      </w:pPr>
      <w:r w:rsidRPr="00E20A8E">
        <w:rPr>
          <w:rFonts w:ascii="Times New Roman" w:hAnsi="Times New Roman" w:cs="Times New Roman"/>
        </w:rPr>
        <w:t xml:space="preserve">One way of approaching this lies in identifying a range of structural constraints that are present in all policy settings and then to identify how these play out in the </w:t>
      </w:r>
      <w:r w:rsidR="005F7FDC" w:rsidRPr="00E20A8E">
        <w:rPr>
          <w:rFonts w:ascii="Times New Roman" w:hAnsi="Times New Roman" w:cs="Times New Roman"/>
        </w:rPr>
        <w:t>context of the cultural</w:t>
      </w:r>
      <w:r w:rsidR="005D4E64" w:rsidRPr="00E20A8E">
        <w:rPr>
          <w:rFonts w:ascii="Times New Roman" w:hAnsi="Times New Roman" w:cs="Times New Roman"/>
        </w:rPr>
        <w:t xml:space="preserve"> </w:t>
      </w:r>
      <w:r w:rsidR="005F7FDC" w:rsidRPr="00E20A8E">
        <w:rPr>
          <w:rFonts w:ascii="Times New Roman" w:hAnsi="Times New Roman" w:cs="Times New Roman"/>
        </w:rPr>
        <w:t xml:space="preserve">policy </w:t>
      </w:r>
      <w:r w:rsidRPr="00E20A8E">
        <w:rPr>
          <w:rFonts w:ascii="Times New Roman" w:hAnsi="Times New Roman" w:cs="Times New Roman"/>
        </w:rPr>
        <w:t>sector. The constraints that are identified here function at different levels</w:t>
      </w:r>
      <w:r w:rsidR="00FF7F04" w:rsidRPr="00E20A8E">
        <w:rPr>
          <w:rFonts w:ascii="Times New Roman" w:hAnsi="Times New Roman" w:cs="Times New Roman"/>
        </w:rPr>
        <w:t xml:space="preserve"> (macro-, meso- and micro-)</w:t>
      </w:r>
      <w:r w:rsidRPr="00E20A8E">
        <w:rPr>
          <w:rFonts w:ascii="Times New Roman" w:hAnsi="Times New Roman" w:cs="Times New Roman"/>
        </w:rPr>
        <w:t xml:space="preserve"> within the sector and operate in quite distinct fashions from each other.</w:t>
      </w:r>
      <w:r w:rsidR="000E0E29" w:rsidRPr="00E20A8E">
        <w:rPr>
          <w:rFonts w:ascii="Times New Roman" w:hAnsi="Times New Roman" w:cs="Times New Roman"/>
        </w:rPr>
        <w:t xml:space="preserve"> They cover a range of potential, externally-driven, constraints that have been identified as having at least </w:t>
      </w:r>
      <w:r w:rsidR="000E0E29" w:rsidRPr="00E20A8E">
        <w:rPr>
          <w:rFonts w:ascii="Times New Roman" w:hAnsi="Times New Roman" w:cs="Times New Roman"/>
          <w:i/>
        </w:rPr>
        <w:t>some</w:t>
      </w:r>
      <w:r w:rsidR="000E0E29" w:rsidRPr="00E20A8E">
        <w:rPr>
          <w:rFonts w:ascii="Times New Roman" w:hAnsi="Times New Roman" w:cs="Times New Roman"/>
        </w:rPr>
        <w:t xml:space="preserve"> effect in internal policy terms. What these effects actually are in the specific case of </w:t>
      </w:r>
      <w:r w:rsidR="005F7FDC" w:rsidRPr="00E20A8E">
        <w:rPr>
          <w:rFonts w:ascii="Times New Roman" w:hAnsi="Times New Roman" w:cs="Times New Roman"/>
        </w:rPr>
        <w:t>cultural policy organisations</w:t>
      </w:r>
      <w:r w:rsidR="000E0E29" w:rsidRPr="00E20A8E">
        <w:rPr>
          <w:rFonts w:ascii="Times New Roman" w:hAnsi="Times New Roman" w:cs="Times New Roman"/>
        </w:rPr>
        <w:t xml:space="preserve"> (both individually and collectively) can only be determined through detailed empirical research, even if the assumptions concerning what these effects arelikely to be are relatively clear. What follows is a brief listing of the variables that form t</w:t>
      </w:r>
      <w:r w:rsidR="00E94DB4" w:rsidRPr="00E20A8E">
        <w:rPr>
          <w:rFonts w:ascii="Times New Roman" w:hAnsi="Times New Roman" w:cs="Times New Roman"/>
        </w:rPr>
        <w:t>he general model of structural constraints and opportunities that has been developed.</w:t>
      </w:r>
    </w:p>
    <w:p w:rsidR="00E94DB4" w:rsidRPr="00E20A8E" w:rsidRDefault="00E94DB4" w:rsidP="004D322D">
      <w:pPr>
        <w:spacing w:line="240" w:lineRule="auto"/>
        <w:rPr>
          <w:rFonts w:ascii="Times New Roman" w:hAnsi="Times New Roman" w:cs="Times New Roman"/>
        </w:rPr>
      </w:pPr>
    </w:p>
    <w:p w:rsidR="0011425F" w:rsidRPr="00E20A8E" w:rsidRDefault="00E94DB4" w:rsidP="004D322D">
      <w:pPr>
        <w:spacing w:line="240" w:lineRule="auto"/>
        <w:rPr>
          <w:rFonts w:ascii="Times New Roman" w:hAnsi="Times New Roman" w:cs="Times New Roman"/>
        </w:rPr>
      </w:pPr>
      <w:r w:rsidRPr="00E20A8E">
        <w:rPr>
          <w:rFonts w:ascii="Times New Roman" w:hAnsi="Times New Roman" w:cs="Times New Roman"/>
        </w:rPr>
        <w:t>At the macro-level three key structural factors are seen to be of significance: those of ideology, rationality and legitimacy. Each of these has a role to play in determining the general political, social and organisational context within which policy operates.</w:t>
      </w:r>
      <w:r w:rsidR="000B61B9" w:rsidRPr="00E20A8E">
        <w:rPr>
          <w:rFonts w:ascii="Times New Roman" w:hAnsi="Times New Roman" w:cs="Times New Roman"/>
        </w:rPr>
        <w:t xml:space="preserve"> Ideology - in the general sense of sets of beliefs, attitudes, values and norms</w:t>
      </w:r>
      <w:r w:rsidR="00FF7F04" w:rsidRPr="00E20A8E">
        <w:rPr>
          <w:rStyle w:val="FootnoteReference"/>
          <w:rFonts w:ascii="Times New Roman" w:hAnsi="Times New Roman" w:cs="Times New Roman"/>
        </w:rPr>
        <w:footnoteReference w:id="15"/>
      </w:r>
      <w:r w:rsidR="000B61B9" w:rsidRPr="00E20A8E">
        <w:rPr>
          <w:rFonts w:ascii="Times New Roman" w:hAnsi="Times New Roman" w:cs="Times New Roman"/>
        </w:rPr>
        <w:t xml:space="preserve"> –</w:t>
      </w:r>
      <w:r w:rsidR="005D4E64" w:rsidRPr="00E20A8E">
        <w:rPr>
          <w:rFonts w:ascii="Times New Roman" w:hAnsi="Times New Roman" w:cs="Times New Roman"/>
        </w:rPr>
        <w:t xml:space="preserve"> </w:t>
      </w:r>
      <w:r w:rsidR="000B61B9" w:rsidRPr="00E20A8E">
        <w:rPr>
          <w:rFonts w:ascii="Times New Roman" w:hAnsi="Times New Roman" w:cs="Times New Roman"/>
        </w:rPr>
        <w:t xml:space="preserve">establishes the parameters within which policy choices will be made. At the most crude this could be represented by party political ideologies that establish different expectations about the role of the state in society – with conservative parties being generally more restrained about this than social democratic parties are. More generally such ideologies can establish </w:t>
      </w:r>
      <w:r w:rsidR="000B61B9" w:rsidRPr="00E20A8E">
        <w:rPr>
          <w:rFonts w:ascii="Times New Roman" w:hAnsi="Times New Roman" w:cs="Times New Roman"/>
        </w:rPr>
        <w:lastRenderedPageBreak/>
        <w:t xml:space="preserve">the balance between collective and individual responsibilities within societies, as well as with establishing </w:t>
      </w:r>
      <w:r w:rsidR="001837D6" w:rsidRPr="00E20A8E">
        <w:rPr>
          <w:rFonts w:ascii="Times New Roman" w:hAnsi="Times New Roman" w:cs="Times New Roman"/>
        </w:rPr>
        <w:t xml:space="preserve">what are seen as being acceptable approaches to issues such as nationalism, ethnicity and gender. Needless to say, each of these is a matter of some concern within the </w:t>
      </w:r>
      <w:r w:rsidR="00FF7F04" w:rsidRPr="00E20A8E">
        <w:rPr>
          <w:rFonts w:ascii="Times New Roman" w:hAnsi="Times New Roman" w:cs="Times New Roman"/>
        </w:rPr>
        <w:t>cultural</w:t>
      </w:r>
      <w:r w:rsidR="005D4E64" w:rsidRPr="00E20A8E">
        <w:rPr>
          <w:rFonts w:ascii="Times New Roman" w:hAnsi="Times New Roman" w:cs="Times New Roman"/>
        </w:rPr>
        <w:t xml:space="preserve"> </w:t>
      </w:r>
      <w:r w:rsidR="00217C02" w:rsidRPr="00E20A8E">
        <w:rPr>
          <w:rFonts w:ascii="Times New Roman" w:hAnsi="Times New Roman" w:cs="Times New Roman"/>
        </w:rPr>
        <w:t>sector (</w:t>
      </w:r>
      <w:r w:rsidR="001837D6" w:rsidRPr="00E20A8E">
        <w:rPr>
          <w:rFonts w:ascii="Times New Roman" w:hAnsi="Times New Roman" w:cs="Times New Roman"/>
        </w:rPr>
        <w:t>see</w:t>
      </w:r>
      <w:r w:rsidR="00FF7F04" w:rsidRPr="00E20A8E">
        <w:rPr>
          <w:rFonts w:ascii="Times New Roman" w:hAnsi="Times New Roman" w:cs="Times New Roman"/>
        </w:rPr>
        <w:t xml:space="preserve"> in the case of the museums sector</w:t>
      </w:r>
      <w:r w:rsidR="001837D6" w:rsidRPr="00E20A8E">
        <w:rPr>
          <w:rFonts w:ascii="Times New Roman" w:hAnsi="Times New Roman" w:cs="Times New Roman"/>
        </w:rPr>
        <w:t>, for example, Butts, 2007</w:t>
      </w:r>
      <w:r w:rsidR="00217C02" w:rsidRPr="00E20A8E">
        <w:rPr>
          <w:rFonts w:ascii="Times New Roman" w:hAnsi="Times New Roman" w:cs="Times New Roman"/>
        </w:rPr>
        <w:t>; Mason</w:t>
      </w:r>
      <w:r w:rsidR="00692D12" w:rsidRPr="00E20A8E">
        <w:rPr>
          <w:rFonts w:ascii="Times New Roman" w:hAnsi="Times New Roman" w:cs="Times New Roman"/>
        </w:rPr>
        <w:t>, 2011; Szekeres, 2002).</w:t>
      </w:r>
      <w:r w:rsidR="005D4E64" w:rsidRPr="00E20A8E">
        <w:rPr>
          <w:rFonts w:ascii="Times New Roman" w:hAnsi="Times New Roman" w:cs="Times New Roman"/>
        </w:rPr>
        <w:t xml:space="preserve"> </w:t>
      </w:r>
      <w:r w:rsidR="000261F8" w:rsidRPr="00E20A8E">
        <w:rPr>
          <w:rFonts w:ascii="Times New Roman" w:hAnsi="Times New Roman" w:cs="Times New Roman"/>
        </w:rPr>
        <w:t>Legitimacy is concerned with the basis upon which decisions and choices within society are seen to be acceptable ones, either in the sense that the right of decision-makers to make these choices is accepted, or that the decisions themselves are accepted as being the right ones</w:t>
      </w:r>
      <w:r w:rsidR="00FF7F04" w:rsidRPr="00E20A8E">
        <w:rPr>
          <w:rFonts w:ascii="Times New Roman" w:hAnsi="Times New Roman" w:cs="Times New Roman"/>
        </w:rPr>
        <w:t xml:space="preserve"> (this approach is largely derived from the Weberian argument (1978, 212-99) about the nature of authority within societies</w:t>
      </w:r>
      <w:r w:rsidR="005D4E64" w:rsidRPr="00E20A8E">
        <w:rPr>
          <w:rFonts w:ascii="Times New Roman" w:hAnsi="Times New Roman" w:cs="Times New Roman"/>
        </w:rPr>
        <w:t>)</w:t>
      </w:r>
      <w:r w:rsidR="000261F8" w:rsidRPr="00E20A8E">
        <w:rPr>
          <w:rFonts w:ascii="Times New Roman" w:hAnsi="Times New Roman" w:cs="Times New Roman"/>
        </w:rPr>
        <w:t xml:space="preserve">. While legitimacy is unlikely to be an absolute state of affairs - in so far as not everybody always accepts </w:t>
      </w:r>
      <w:r w:rsidR="00FF7F04" w:rsidRPr="00E20A8E">
        <w:rPr>
          <w:rFonts w:ascii="Times New Roman" w:hAnsi="Times New Roman" w:cs="Times New Roman"/>
        </w:rPr>
        <w:t xml:space="preserve">without dissent or disagreement </w:t>
      </w:r>
      <w:r w:rsidR="000261F8" w:rsidRPr="00E20A8E">
        <w:rPr>
          <w:rFonts w:ascii="Times New Roman" w:hAnsi="Times New Roman" w:cs="Times New Roman"/>
        </w:rPr>
        <w:t>the right of decision-makers to act and</w:t>
      </w:r>
      <w:r w:rsidR="00FF7F04" w:rsidRPr="00E20A8E">
        <w:rPr>
          <w:rFonts w:ascii="Times New Roman" w:hAnsi="Times New Roman" w:cs="Times New Roman"/>
        </w:rPr>
        <w:t>/or</w:t>
      </w:r>
      <w:r w:rsidR="000261F8" w:rsidRPr="00E20A8E">
        <w:rPr>
          <w:rFonts w:ascii="Times New Roman" w:hAnsi="Times New Roman" w:cs="Times New Roman"/>
        </w:rPr>
        <w:t xml:space="preserve"> the rightfulness of the decisions that are made –a basic level of legitimacy </w:t>
      </w:r>
      <w:r w:rsidR="00F32092" w:rsidRPr="00E20A8E">
        <w:rPr>
          <w:rFonts w:ascii="Times New Roman" w:hAnsi="Times New Roman" w:cs="Times New Roman"/>
        </w:rPr>
        <w:t xml:space="preserve">for the exercise of authority </w:t>
      </w:r>
      <w:r w:rsidR="000261F8" w:rsidRPr="00E20A8E">
        <w:rPr>
          <w:rFonts w:ascii="Times New Roman" w:hAnsi="Times New Roman" w:cs="Times New Roman"/>
        </w:rPr>
        <w:t xml:space="preserve">is absolutely essential to allow social life to be undertaken. As such, working within the confines of the established legitimate order is a necessity </w:t>
      </w:r>
      <w:r w:rsidR="00934BB2" w:rsidRPr="00E20A8E">
        <w:rPr>
          <w:rFonts w:ascii="Times New Roman" w:hAnsi="Times New Roman" w:cs="Times New Roman"/>
        </w:rPr>
        <w:t xml:space="preserve">unless or until that legitimacy is subject to such extensive stress that it fails to function. Recognising such legitimacy issues may be simply at the level of knowing the ‘rules of the game’ of organisational and personal life that allow things to be done, at another level it involves an active acceptance of standards of behaviour and ways of working if one wishes to become accepted as a participant </w:t>
      </w:r>
      <w:r w:rsidR="0034265C" w:rsidRPr="00E20A8E">
        <w:rPr>
          <w:rFonts w:ascii="Times New Roman" w:hAnsi="Times New Roman" w:cs="Times New Roman"/>
        </w:rPr>
        <w:t xml:space="preserve">in </w:t>
      </w:r>
      <w:r w:rsidR="00934BB2" w:rsidRPr="00E20A8E">
        <w:rPr>
          <w:rFonts w:ascii="Times New Roman" w:hAnsi="Times New Roman" w:cs="Times New Roman"/>
        </w:rPr>
        <w:t xml:space="preserve">the activities of the wider social world. Rationalities govern the ways in which people operate by identifying the key relationships that will be used to justify the choices and actions that individuals will take. </w:t>
      </w:r>
      <w:r w:rsidR="002F57A7" w:rsidRPr="00E20A8E">
        <w:rPr>
          <w:rFonts w:ascii="Times New Roman" w:hAnsi="Times New Roman" w:cs="Times New Roman"/>
        </w:rPr>
        <w:t>C</w:t>
      </w:r>
      <w:r w:rsidR="00934BB2" w:rsidRPr="00E20A8E">
        <w:rPr>
          <w:rFonts w:ascii="Times New Roman" w:hAnsi="Times New Roman" w:cs="Times New Roman"/>
        </w:rPr>
        <w:t xml:space="preserve">lassic Weberian means-end, instrumental, rationality </w:t>
      </w:r>
      <w:r w:rsidR="002F57A7" w:rsidRPr="00E20A8E">
        <w:rPr>
          <w:rFonts w:ascii="Times New Roman" w:hAnsi="Times New Roman" w:cs="Times New Roman"/>
        </w:rPr>
        <w:t>is not the only form of rationality that may be applied to any given situation – from sociology</w:t>
      </w:r>
      <w:r w:rsidR="0034265C" w:rsidRPr="00E20A8E">
        <w:rPr>
          <w:rFonts w:ascii="Times New Roman" w:hAnsi="Times New Roman" w:cs="Times New Roman"/>
        </w:rPr>
        <w:t>,</w:t>
      </w:r>
      <w:r w:rsidR="002F57A7" w:rsidRPr="00E20A8E">
        <w:rPr>
          <w:rFonts w:ascii="Times New Roman" w:hAnsi="Times New Roman" w:cs="Times New Roman"/>
        </w:rPr>
        <w:t xml:space="preserve"> affective and communal forms can be identified, in political science patron-client forms are seen, and in cultural policy a ‘ritual’ r</w:t>
      </w:r>
      <w:r w:rsidR="0034265C" w:rsidRPr="00E20A8E">
        <w:rPr>
          <w:rFonts w:ascii="Times New Roman" w:hAnsi="Times New Roman" w:cs="Times New Roman"/>
        </w:rPr>
        <w:t>ationality can be seen to exist (Royseng, 2008</w:t>
      </w:r>
      <w:r w:rsidR="002F57A7" w:rsidRPr="00E20A8E">
        <w:rPr>
          <w:rFonts w:ascii="Times New Roman" w:hAnsi="Times New Roman" w:cs="Times New Roman"/>
        </w:rPr>
        <w:t xml:space="preserve">) – even if it </w:t>
      </w:r>
      <w:r w:rsidR="0011425F" w:rsidRPr="00E20A8E">
        <w:rPr>
          <w:rFonts w:ascii="Times New Roman" w:hAnsi="Times New Roman" w:cs="Times New Roman"/>
        </w:rPr>
        <w:t xml:space="preserve">is </w:t>
      </w:r>
      <w:r w:rsidR="002F57A7" w:rsidRPr="00E20A8E">
        <w:rPr>
          <w:rFonts w:ascii="Times New Roman" w:hAnsi="Times New Roman" w:cs="Times New Roman"/>
        </w:rPr>
        <w:t>a common one.</w:t>
      </w:r>
      <w:r w:rsidR="0011425F" w:rsidRPr="00E20A8E">
        <w:rPr>
          <w:rFonts w:ascii="Times New Roman" w:hAnsi="Times New Roman" w:cs="Times New Roman"/>
        </w:rPr>
        <w:t xml:space="preserve"> Which rationality is being employed at any given time, however, has some important implications for how social behaviour will be or can be explained, and it operates as a limit to what are seen as being appropriate ways of behaving in any particular set of circumstances.</w:t>
      </w:r>
    </w:p>
    <w:p w:rsidR="0011425F" w:rsidRPr="00E20A8E" w:rsidRDefault="0011425F" w:rsidP="004D322D">
      <w:pPr>
        <w:spacing w:line="240" w:lineRule="auto"/>
        <w:rPr>
          <w:rFonts w:ascii="Times New Roman" w:hAnsi="Times New Roman" w:cs="Times New Roman"/>
        </w:rPr>
      </w:pPr>
    </w:p>
    <w:p w:rsidR="003A7733" w:rsidRPr="00E20A8E" w:rsidRDefault="0011425F" w:rsidP="004D322D">
      <w:pPr>
        <w:spacing w:line="240" w:lineRule="auto"/>
        <w:rPr>
          <w:rFonts w:ascii="Times New Roman" w:hAnsi="Times New Roman" w:cs="Times New Roman"/>
        </w:rPr>
      </w:pPr>
      <w:r w:rsidRPr="00E20A8E">
        <w:rPr>
          <w:rFonts w:ascii="Times New Roman" w:hAnsi="Times New Roman" w:cs="Times New Roman"/>
        </w:rPr>
        <w:t xml:space="preserve">Such macro-level structural </w:t>
      </w:r>
      <w:r w:rsidR="00B45C8C" w:rsidRPr="00E20A8E">
        <w:rPr>
          <w:rFonts w:ascii="Times New Roman" w:hAnsi="Times New Roman" w:cs="Times New Roman"/>
        </w:rPr>
        <w:t>element</w:t>
      </w:r>
      <w:r w:rsidRPr="00E20A8E">
        <w:rPr>
          <w:rFonts w:ascii="Times New Roman" w:hAnsi="Times New Roman" w:cs="Times New Roman"/>
        </w:rPr>
        <w:t>s serve to establish the general framework within which</w:t>
      </w:r>
      <w:r w:rsidR="00831304" w:rsidRPr="00E20A8E">
        <w:rPr>
          <w:rFonts w:ascii="Times New Roman" w:hAnsi="Times New Roman" w:cs="Times New Roman"/>
        </w:rPr>
        <w:t xml:space="preserve"> </w:t>
      </w:r>
      <w:r w:rsidR="002F63ED" w:rsidRPr="00E20A8E">
        <w:rPr>
          <w:rFonts w:ascii="Times New Roman" w:hAnsi="Times New Roman" w:cs="Times New Roman"/>
        </w:rPr>
        <w:t>m</w:t>
      </w:r>
      <w:r w:rsidR="001B0396" w:rsidRPr="00E20A8E">
        <w:rPr>
          <w:rFonts w:ascii="Times New Roman" w:hAnsi="Times New Roman" w:cs="Times New Roman"/>
        </w:rPr>
        <w:t>ore specific</w:t>
      </w:r>
      <w:r w:rsidRPr="00E20A8E">
        <w:rPr>
          <w:rFonts w:ascii="Times New Roman" w:hAnsi="Times New Roman" w:cs="Times New Roman"/>
        </w:rPr>
        <w:t xml:space="preserve"> choices and decisions will be made. This </w:t>
      </w:r>
      <w:r w:rsidR="00F32092" w:rsidRPr="00E20A8E">
        <w:rPr>
          <w:rFonts w:ascii="Times New Roman" w:hAnsi="Times New Roman" w:cs="Times New Roman"/>
        </w:rPr>
        <w:t>set of factors</w:t>
      </w:r>
      <w:r w:rsidRPr="00E20A8E">
        <w:rPr>
          <w:rFonts w:ascii="Times New Roman" w:hAnsi="Times New Roman" w:cs="Times New Roman"/>
        </w:rPr>
        <w:t xml:space="preserve"> may be  variable in so far as parts of it may take different forms at different times (for example, with switches from instrumental to communal rationality when dealing with some issues) but it is a consistent feature across all areas of social life.</w:t>
      </w:r>
      <w:r w:rsidR="00C75246" w:rsidRPr="00E20A8E">
        <w:rPr>
          <w:rFonts w:ascii="Times New Roman" w:hAnsi="Times New Roman" w:cs="Times New Roman"/>
        </w:rPr>
        <w:t xml:space="preserve"> As such it is expected to be unlikely that these </w:t>
      </w:r>
      <w:r w:rsidR="00A46D83" w:rsidRPr="00E20A8E">
        <w:rPr>
          <w:rFonts w:ascii="Times New Roman" w:hAnsi="Times New Roman" w:cs="Times New Roman"/>
        </w:rPr>
        <w:t>limits to action will be at the forefront of policy actors’ considerations in most cases</w:t>
      </w:r>
      <w:r w:rsidR="00B45C8C" w:rsidRPr="00E20A8E">
        <w:rPr>
          <w:rFonts w:ascii="Times New Roman" w:hAnsi="Times New Roman" w:cs="Times New Roman"/>
        </w:rPr>
        <w:t xml:space="preserve"> or for most of the time</w:t>
      </w:r>
      <w:r w:rsidR="00A46D83" w:rsidRPr="00E20A8E">
        <w:rPr>
          <w:rFonts w:ascii="Times New Roman" w:hAnsi="Times New Roman" w:cs="Times New Roman"/>
        </w:rPr>
        <w:t>. Instead it is anticipated that they will function more as forms of ‘deep’ structure</w:t>
      </w:r>
      <w:r w:rsidR="003A7733" w:rsidRPr="00E20A8E">
        <w:rPr>
          <w:rFonts w:ascii="Times New Roman" w:hAnsi="Times New Roman" w:cs="Times New Roman"/>
        </w:rPr>
        <w:t xml:space="preserve"> which do not need to be spelt out but which can be identified in the patterns of behaviour that they generate, or which can be applied </w:t>
      </w:r>
      <w:r w:rsidR="003A7733" w:rsidRPr="00E20A8E">
        <w:rPr>
          <w:rFonts w:ascii="Times New Roman" w:hAnsi="Times New Roman" w:cs="Times New Roman"/>
          <w:i/>
        </w:rPr>
        <w:t>post ante</w:t>
      </w:r>
      <w:r w:rsidR="003A7733" w:rsidRPr="00E20A8E">
        <w:rPr>
          <w:rFonts w:ascii="Times New Roman" w:hAnsi="Times New Roman" w:cs="Times New Roman"/>
        </w:rPr>
        <w:t xml:space="preserve"> as justifications for the choices and decisions that were made.</w:t>
      </w:r>
      <w:r w:rsidR="00B45C8C" w:rsidRPr="00E20A8E">
        <w:rPr>
          <w:rFonts w:ascii="Times New Roman" w:hAnsi="Times New Roman" w:cs="Times New Roman"/>
        </w:rPr>
        <w:t xml:space="preserve"> As such they have a causal capability that is independent of the individual actors who will operate within their limits and can therefore be seen to have a structural effect</w:t>
      </w:r>
      <w:r w:rsidR="00B45C8C" w:rsidRPr="00E20A8E">
        <w:rPr>
          <w:rStyle w:val="FootnoteReference"/>
          <w:rFonts w:ascii="Times New Roman" w:hAnsi="Times New Roman" w:cs="Times New Roman"/>
        </w:rPr>
        <w:footnoteReference w:id="16"/>
      </w:r>
      <w:r w:rsidR="00B45C8C" w:rsidRPr="00E20A8E">
        <w:rPr>
          <w:rFonts w:ascii="Times New Roman" w:hAnsi="Times New Roman" w:cs="Times New Roman"/>
        </w:rPr>
        <w:t>.</w:t>
      </w:r>
      <w:r w:rsidR="005954F9" w:rsidRPr="00E20A8E">
        <w:rPr>
          <w:rFonts w:ascii="Times New Roman" w:hAnsi="Times New Roman" w:cs="Times New Roman"/>
        </w:rPr>
        <w:t xml:space="preserve"> Further it should be noted that treat</w:t>
      </w:r>
      <w:r w:rsidR="0034265C" w:rsidRPr="00E20A8E">
        <w:rPr>
          <w:rFonts w:ascii="Times New Roman" w:hAnsi="Times New Roman" w:cs="Times New Roman"/>
        </w:rPr>
        <w:t>ing</w:t>
      </w:r>
      <w:r w:rsidR="005954F9" w:rsidRPr="00E20A8E">
        <w:rPr>
          <w:rFonts w:ascii="Times New Roman" w:hAnsi="Times New Roman" w:cs="Times New Roman"/>
        </w:rPr>
        <w:t xml:space="preserve"> these variables as structural ones is a matter of analytical choice. Each could be equally treated as agential variables where they are deliberately constructed by knowing actors to serve particular policy ends</w:t>
      </w:r>
      <w:r w:rsidR="0034265C" w:rsidRPr="00E20A8E">
        <w:rPr>
          <w:rFonts w:ascii="Times New Roman" w:hAnsi="Times New Roman" w:cs="Times New Roman"/>
        </w:rPr>
        <w:t xml:space="preserve"> (</w:t>
      </w:r>
      <w:r w:rsidR="000916E0" w:rsidRPr="00E20A8E">
        <w:rPr>
          <w:rFonts w:ascii="Times New Roman" w:hAnsi="Times New Roman" w:cs="Times New Roman"/>
        </w:rPr>
        <w:t xml:space="preserve">Ingram </w:t>
      </w:r>
      <w:r w:rsidR="000916E0" w:rsidRPr="00E20A8E">
        <w:rPr>
          <w:rFonts w:ascii="Times New Roman" w:hAnsi="Times New Roman" w:cs="Times New Roman"/>
          <w:i/>
        </w:rPr>
        <w:t>et al</w:t>
      </w:r>
      <w:r w:rsidR="000916E0" w:rsidRPr="00E20A8E">
        <w:rPr>
          <w:rFonts w:ascii="Times New Roman" w:hAnsi="Times New Roman" w:cs="Times New Roman"/>
        </w:rPr>
        <w:t>, 2007</w:t>
      </w:r>
      <w:r w:rsidR="0034265C" w:rsidRPr="00E20A8E">
        <w:rPr>
          <w:rFonts w:ascii="Times New Roman" w:hAnsi="Times New Roman" w:cs="Times New Roman"/>
        </w:rPr>
        <w:t>)</w:t>
      </w:r>
      <w:r w:rsidR="005954F9" w:rsidRPr="00E20A8E">
        <w:rPr>
          <w:rFonts w:ascii="Times New Roman" w:hAnsi="Times New Roman" w:cs="Times New Roman"/>
        </w:rPr>
        <w:t>. By treating them as structural variables</w:t>
      </w:r>
      <w:r w:rsidR="00F32092" w:rsidRPr="00E20A8E">
        <w:rPr>
          <w:rFonts w:ascii="Times New Roman" w:hAnsi="Times New Roman" w:cs="Times New Roman"/>
        </w:rPr>
        <w:t>, however,</w:t>
      </w:r>
      <w:r w:rsidR="005954F9" w:rsidRPr="00E20A8E">
        <w:rPr>
          <w:rFonts w:ascii="Times New Roman" w:hAnsi="Times New Roman" w:cs="Times New Roman"/>
        </w:rPr>
        <w:t xml:space="preserve"> the assumption is that actors/agents do not determine their content in a direct fashion</w:t>
      </w:r>
      <w:r w:rsidR="009A5831" w:rsidRPr="00E20A8E">
        <w:rPr>
          <w:rFonts w:ascii="Times New Roman" w:hAnsi="Times New Roman" w:cs="Times New Roman"/>
        </w:rPr>
        <w:t xml:space="preserve"> at any particular time</w:t>
      </w:r>
      <w:r w:rsidR="005954F9" w:rsidRPr="00E20A8E">
        <w:rPr>
          <w:rFonts w:ascii="Times New Roman" w:hAnsi="Times New Roman" w:cs="Times New Roman"/>
        </w:rPr>
        <w:t>, even if their own choices are affected by them</w:t>
      </w:r>
      <w:r w:rsidR="009A5831" w:rsidRPr="00E20A8E">
        <w:rPr>
          <w:rFonts w:ascii="Times New Roman" w:hAnsi="Times New Roman" w:cs="Times New Roman"/>
        </w:rPr>
        <w:t>.T</w:t>
      </w:r>
      <w:r w:rsidR="00217C02" w:rsidRPr="00E20A8E">
        <w:rPr>
          <w:rFonts w:ascii="Times New Roman" w:hAnsi="Times New Roman" w:cs="Times New Roman"/>
        </w:rPr>
        <w:t>reating</w:t>
      </w:r>
      <w:r w:rsidR="005954F9" w:rsidRPr="00E20A8E">
        <w:rPr>
          <w:rFonts w:ascii="Times New Roman" w:hAnsi="Times New Roman" w:cs="Times New Roman"/>
        </w:rPr>
        <w:t xml:space="preserve"> them as being a part of agency would involve agents being responsible for their content, construction and use</w:t>
      </w:r>
      <w:r w:rsidR="009A5831" w:rsidRPr="00E20A8E">
        <w:rPr>
          <w:rFonts w:ascii="Times New Roman" w:hAnsi="Times New Roman" w:cs="Times New Roman"/>
        </w:rPr>
        <w:t xml:space="preserve"> which would require treating them as ‘emergent properties’ rather than as ‘relatively enduring character(s)’ (Archer, 1995, 9 and 168 respectively)</w:t>
      </w:r>
      <w:r w:rsidR="00F32092" w:rsidRPr="00E20A8E">
        <w:rPr>
          <w:rFonts w:ascii="Times New Roman" w:hAnsi="Times New Roman" w:cs="Times New Roman"/>
        </w:rPr>
        <w:t>, which would have implications for how they could be analysed</w:t>
      </w:r>
      <w:r w:rsidR="005954F9" w:rsidRPr="00E20A8E">
        <w:rPr>
          <w:rFonts w:ascii="Times New Roman" w:hAnsi="Times New Roman" w:cs="Times New Roman"/>
        </w:rPr>
        <w:t>.</w:t>
      </w:r>
    </w:p>
    <w:p w:rsidR="003A7733" w:rsidRPr="00E20A8E" w:rsidRDefault="003A7733" w:rsidP="004D322D">
      <w:pPr>
        <w:spacing w:line="240" w:lineRule="auto"/>
        <w:rPr>
          <w:rFonts w:ascii="Times New Roman" w:hAnsi="Times New Roman" w:cs="Times New Roman"/>
        </w:rPr>
      </w:pPr>
    </w:p>
    <w:p w:rsidR="007712CC" w:rsidRPr="00E20A8E" w:rsidRDefault="003A7733" w:rsidP="004D322D">
      <w:pPr>
        <w:spacing w:line="240" w:lineRule="auto"/>
        <w:rPr>
          <w:rFonts w:ascii="Times New Roman" w:hAnsi="Times New Roman" w:cs="Times New Roman"/>
        </w:rPr>
      </w:pPr>
      <w:r w:rsidRPr="00E20A8E">
        <w:rPr>
          <w:rFonts w:ascii="Times New Roman" w:hAnsi="Times New Roman" w:cs="Times New Roman"/>
        </w:rPr>
        <w:t xml:space="preserve">At the meso-level are a range of structural </w:t>
      </w:r>
      <w:r w:rsidR="009A5831" w:rsidRPr="00E20A8E">
        <w:rPr>
          <w:rFonts w:ascii="Times New Roman" w:hAnsi="Times New Roman" w:cs="Times New Roman"/>
        </w:rPr>
        <w:t>elemen</w:t>
      </w:r>
      <w:r w:rsidRPr="00E20A8E">
        <w:rPr>
          <w:rFonts w:ascii="Times New Roman" w:hAnsi="Times New Roman" w:cs="Times New Roman"/>
        </w:rPr>
        <w:t xml:space="preserve">ts that are formed by direct exogenous policy considerations. In effect these form part of the general policy context within which </w:t>
      </w:r>
      <w:r w:rsidR="009A5831" w:rsidRPr="00E20A8E">
        <w:rPr>
          <w:rFonts w:ascii="Times New Roman" w:hAnsi="Times New Roman" w:cs="Times New Roman"/>
        </w:rPr>
        <w:t>cultural</w:t>
      </w:r>
      <w:r w:rsidRPr="00E20A8E">
        <w:rPr>
          <w:rFonts w:ascii="Times New Roman" w:hAnsi="Times New Roman" w:cs="Times New Roman"/>
        </w:rPr>
        <w:t xml:space="preserve"> polic</w:t>
      </w:r>
      <w:r w:rsidR="009A5831" w:rsidRPr="00E20A8E">
        <w:rPr>
          <w:rFonts w:ascii="Times New Roman" w:hAnsi="Times New Roman" w:cs="Times New Roman"/>
        </w:rPr>
        <w:t>ies</w:t>
      </w:r>
      <w:r w:rsidRPr="00E20A8E">
        <w:rPr>
          <w:rFonts w:ascii="Times New Roman" w:hAnsi="Times New Roman" w:cs="Times New Roman"/>
        </w:rPr>
        <w:t xml:space="preserve"> </w:t>
      </w:r>
      <w:r w:rsidRPr="00E20A8E">
        <w:rPr>
          <w:rFonts w:ascii="Times New Roman" w:hAnsi="Times New Roman" w:cs="Times New Roman"/>
        </w:rPr>
        <w:lastRenderedPageBreak/>
        <w:t xml:space="preserve">are located. Within this context five variables are noted as being of particular significance </w:t>
      </w:r>
      <w:r w:rsidR="009A5831" w:rsidRPr="00E20A8E">
        <w:rPr>
          <w:rFonts w:ascii="Times New Roman" w:hAnsi="Times New Roman" w:cs="Times New Roman"/>
        </w:rPr>
        <w:t>in</w:t>
      </w:r>
      <w:r w:rsidRPr="00E20A8E">
        <w:rPr>
          <w:rFonts w:ascii="Times New Roman" w:hAnsi="Times New Roman" w:cs="Times New Roman"/>
        </w:rPr>
        <w:t xml:space="preserve"> policy</w:t>
      </w:r>
      <w:r w:rsidR="009A5831" w:rsidRPr="00E20A8E">
        <w:rPr>
          <w:rFonts w:ascii="Times New Roman" w:hAnsi="Times New Roman" w:cs="Times New Roman"/>
        </w:rPr>
        <w:t xml:space="preserve"> terms</w:t>
      </w:r>
      <w:r w:rsidRPr="00E20A8E">
        <w:rPr>
          <w:rFonts w:ascii="Times New Roman" w:hAnsi="Times New Roman" w:cs="Times New Roman"/>
        </w:rPr>
        <w:t>. Firstly, the policy priorities and agendas that other organisations have</w:t>
      </w:r>
      <w:r w:rsidR="00DA0616" w:rsidRPr="00E20A8E">
        <w:rPr>
          <w:rFonts w:ascii="Times New Roman" w:hAnsi="Times New Roman" w:cs="Times New Roman"/>
        </w:rPr>
        <w:t xml:space="preserve"> are clearly of </w:t>
      </w:r>
      <w:r w:rsidR="00B60AC4" w:rsidRPr="00E20A8E">
        <w:rPr>
          <w:rFonts w:ascii="Times New Roman" w:hAnsi="Times New Roman" w:cs="Times New Roman"/>
        </w:rPr>
        <w:t>significance. Thus</w:t>
      </w:r>
      <w:r w:rsidRPr="00E20A8E">
        <w:rPr>
          <w:rFonts w:ascii="Times New Roman" w:hAnsi="Times New Roman" w:cs="Times New Roman"/>
        </w:rPr>
        <w:t xml:space="preserve">, in the British case, what these </w:t>
      </w:r>
      <w:r w:rsidR="00DA0616" w:rsidRPr="00E20A8E">
        <w:rPr>
          <w:rFonts w:ascii="Times New Roman" w:hAnsi="Times New Roman" w:cs="Times New Roman"/>
        </w:rPr>
        <w:t xml:space="preserve">priorities and agendas </w:t>
      </w:r>
      <w:r w:rsidRPr="00E20A8E">
        <w:rPr>
          <w:rFonts w:ascii="Times New Roman" w:hAnsi="Times New Roman" w:cs="Times New Roman"/>
        </w:rPr>
        <w:t>are for national governments can have quite clear policy effects o</w:t>
      </w:r>
      <w:r w:rsidR="00831304" w:rsidRPr="00E20A8E">
        <w:rPr>
          <w:rFonts w:ascii="Times New Roman" w:hAnsi="Times New Roman" w:cs="Times New Roman"/>
        </w:rPr>
        <w:t>n</w:t>
      </w:r>
      <w:r w:rsidRPr="00E20A8E">
        <w:rPr>
          <w:rFonts w:ascii="Times New Roman" w:hAnsi="Times New Roman" w:cs="Times New Roman"/>
        </w:rPr>
        <w:t xml:space="preserve"> the </w:t>
      </w:r>
      <w:r w:rsidR="009A5831" w:rsidRPr="00E20A8E">
        <w:rPr>
          <w:rFonts w:ascii="Times New Roman" w:hAnsi="Times New Roman" w:cs="Times New Roman"/>
        </w:rPr>
        <w:t>cultural policy</w:t>
      </w:r>
      <w:r w:rsidRPr="00E20A8E">
        <w:rPr>
          <w:rFonts w:ascii="Times New Roman" w:hAnsi="Times New Roman" w:cs="Times New Roman"/>
        </w:rPr>
        <w:t xml:space="preserve"> sector: the current coalition government’s strategy with regard to public expenditure has had inevitable knock-on effects across the entire sector</w:t>
      </w:r>
      <w:r w:rsidR="00DA0616" w:rsidRPr="00E20A8E">
        <w:rPr>
          <w:rFonts w:ascii="Times New Roman" w:hAnsi="Times New Roman" w:cs="Times New Roman"/>
        </w:rPr>
        <w:t xml:space="preserve">, while the role of national government in establishing a framework for the </w:t>
      </w:r>
      <w:r w:rsidR="00F72471" w:rsidRPr="00E20A8E">
        <w:rPr>
          <w:rFonts w:ascii="Times New Roman" w:hAnsi="Times New Roman" w:cs="Times New Roman"/>
        </w:rPr>
        <w:t xml:space="preserve">management of public sector </w:t>
      </w:r>
      <w:r w:rsidR="00B60AC4" w:rsidRPr="00E20A8E">
        <w:rPr>
          <w:rFonts w:ascii="Times New Roman" w:hAnsi="Times New Roman" w:cs="Times New Roman"/>
        </w:rPr>
        <w:t>organisations</w:t>
      </w:r>
      <w:r w:rsidR="00F32092" w:rsidRPr="00E20A8E">
        <w:rPr>
          <w:rFonts w:ascii="Times New Roman" w:hAnsi="Times New Roman" w:cs="Times New Roman"/>
        </w:rPr>
        <w:t xml:space="preserve"> during the 1990s and early 2000s</w:t>
      </w:r>
      <w:r w:rsidR="00F32092" w:rsidRPr="00E20A8E">
        <w:rPr>
          <w:rStyle w:val="FootnoteReference"/>
          <w:rFonts w:ascii="Times New Roman" w:hAnsi="Times New Roman" w:cs="Times New Roman"/>
        </w:rPr>
        <w:footnoteReference w:id="17"/>
      </w:r>
      <w:r w:rsidR="00B60AC4" w:rsidRPr="00E20A8E">
        <w:rPr>
          <w:rFonts w:ascii="Times New Roman" w:hAnsi="Times New Roman" w:cs="Times New Roman"/>
        </w:rPr>
        <w:t>, through</w:t>
      </w:r>
      <w:r w:rsidR="003666AF" w:rsidRPr="00E20A8E">
        <w:rPr>
          <w:rFonts w:ascii="Times New Roman" w:hAnsi="Times New Roman" w:cs="Times New Roman"/>
        </w:rPr>
        <w:t xml:space="preserve"> the use of ideas from the New Public Management, </w:t>
      </w:r>
      <w:r w:rsidR="00F72471" w:rsidRPr="00E20A8E">
        <w:rPr>
          <w:rFonts w:ascii="Times New Roman" w:hAnsi="Times New Roman" w:cs="Times New Roman"/>
        </w:rPr>
        <w:t xml:space="preserve">that influenced the </w:t>
      </w:r>
      <w:r w:rsidR="00DA0616" w:rsidRPr="00E20A8E">
        <w:rPr>
          <w:rFonts w:ascii="Times New Roman" w:hAnsi="Times New Roman" w:cs="Times New Roman"/>
        </w:rPr>
        <w:t xml:space="preserve">development of </w:t>
      </w:r>
      <w:r w:rsidRPr="00E20A8E">
        <w:rPr>
          <w:rFonts w:ascii="Times New Roman" w:hAnsi="Times New Roman" w:cs="Times New Roman"/>
        </w:rPr>
        <w:t xml:space="preserve">instrumentalisation </w:t>
      </w:r>
      <w:r w:rsidR="00DA0616" w:rsidRPr="00E20A8E">
        <w:rPr>
          <w:rFonts w:ascii="Times New Roman" w:hAnsi="Times New Roman" w:cs="Times New Roman"/>
        </w:rPr>
        <w:t xml:space="preserve">in </w:t>
      </w:r>
      <w:r w:rsidR="009A5831" w:rsidRPr="00E20A8E">
        <w:rPr>
          <w:rFonts w:ascii="Times New Roman" w:hAnsi="Times New Roman" w:cs="Times New Roman"/>
        </w:rPr>
        <w:t xml:space="preserve">the cultural policy </w:t>
      </w:r>
      <w:r w:rsidR="00DA0616" w:rsidRPr="00E20A8E">
        <w:rPr>
          <w:rFonts w:ascii="Times New Roman" w:hAnsi="Times New Roman" w:cs="Times New Roman"/>
        </w:rPr>
        <w:t xml:space="preserve">sector (Gray, </w:t>
      </w:r>
      <w:r w:rsidR="009A5831" w:rsidRPr="00E20A8E">
        <w:rPr>
          <w:rFonts w:ascii="Times New Roman" w:hAnsi="Times New Roman" w:cs="Times New Roman"/>
        </w:rPr>
        <w:t xml:space="preserve">2007, </w:t>
      </w:r>
      <w:r w:rsidR="00DA0616" w:rsidRPr="00E20A8E">
        <w:rPr>
          <w:rFonts w:ascii="Times New Roman" w:hAnsi="Times New Roman" w:cs="Times New Roman"/>
        </w:rPr>
        <w:t>2008) provides a second example</w:t>
      </w:r>
      <w:r w:rsidRPr="00E20A8E">
        <w:rPr>
          <w:rFonts w:ascii="Times New Roman" w:hAnsi="Times New Roman" w:cs="Times New Roman"/>
        </w:rPr>
        <w:t>.</w:t>
      </w:r>
    </w:p>
    <w:p w:rsidR="007712CC" w:rsidRPr="00E20A8E" w:rsidRDefault="007712CC" w:rsidP="004D322D">
      <w:pPr>
        <w:spacing w:line="240" w:lineRule="auto"/>
        <w:rPr>
          <w:rFonts w:ascii="Times New Roman" w:hAnsi="Times New Roman" w:cs="Times New Roman"/>
        </w:rPr>
      </w:pPr>
    </w:p>
    <w:p w:rsidR="007712CC" w:rsidRPr="00E20A8E" w:rsidRDefault="00F72471" w:rsidP="004D322D">
      <w:pPr>
        <w:spacing w:line="240" w:lineRule="auto"/>
        <w:rPr>
          <w:rFonts w:ascii="Times New Roman" w:hAnsi="Times New Roman" w:cs="Times New Roman"/>
        </w:rPr>
      </w:pPr>
      <w:r w:rsidRPr="00E20A8E">
        <w:rPr>
          <w:rFonts w:ascii="Times New Roman" w:hAnsi="Times New Roman" w:cs="Times New Roman"/>
        </w:rPr>
        <w:t xml:space="preserve">Secondly, the structural policies that are used </w:t>
      </w:r>
      <w:r w:rsidR="003666AF" w:rsidRPr="00E20A8E">
        <w:rPr>
          <w:rFonts w:ascii="Times New Roman" w:hAnsi="Times New Roman" w:cs="Times New Roman"/>
        </w:rPr>
        <w:t xml:space="preserve">by national governments </w:t>
      </w:r>
      <w:r w:rsidRPr="00E20A8E">
        <w:rPr>
          <w:rFonts w:ascii="Times New Roman" w:hAnsi="Times New Roman" w:cs="Times New Roman"/>
        </w:rPr>
        <w:t xml:space="preserve">for managing the policy </w:t>
      </w:r>
      <w:r w:rsidR="00B60AC4" w:rsidRPr="00E20A8E">
        <w:rPr>
          <w:rFonts w:ascii="Times New Roman" w:hAnsi="Times New Roman" w:cs="Times New Roman"/>
        </w:rPr>
        <w:t>process in</w:t>
      </w:r>
      <w:r w:rsidRPr="00E20A8E">
        <w:rPr>
          <w:rFonts w:ascii="Times New Roman" w:hAnsi="Times New Roman" w:cs="Times New Roman"/>
        </w:rPr>
        <w:t xml:space="preserve"> the public sector will have a constraining effect upon how individual organisations and policy sectors will be expected to operate. Ideas related to evidence-based policy (Davies </w:t>
      </w:r>
      <w:r w:rsidRPr="00E20A8E">
        <w:rPr>
          <w:rFonts w:ascii="Times New Roman" w:hAnsi="Times New Roman" w:cs="Times New Roman"/>
          <w:i/>
        </w:rPr>
        <w:t>et al</w:t>
      </w:r>
      <w:r w:rsidRPr="00E20A8E">
        <w:rPr>
          <w:rFonts w:ascii="Times New Roman" w:hAnsi="Times New Roman" w:cs="Times New Roman"/>
        </w:rPr>
        <w:t>, 2000</w:t>
      </w:r>
      <w:r w:rsidR="00CC19F2" w:rsidRPr="00E20A8E">
        <w:rPr>
          <w:rFonts w:ascii="Times New Roman" w:hAnsi="Times New Roman" w:cs="Times New Roman"/>
        </w:rPr>
        <w:t xml:space="preserve">; </w:t>
      </w:r>
      <w:r w:rsidR="007712CC" w:rsidRPr="00E20A8E">
        <w:rPr>
          <w:rFonts w:ascii="Times New Roman" w:hAnsi="Times New Roman" w:cs="Times New Roman"/>
        </w:rPr>
        <w:t>Sanderson</w:t>
      </w:r>
      <w:r w:rsidR="00CC19F2" w:rsidRPr="00E20A8E">
        <w:rPr>
          <w:rFonts w:ascii="Times New Roman" w:hAnsi="Times New Roman" w:cs="Times New Roman"/>
        </w:rPr>
        <w:t>, 2002</w:t>
      </w:r>
      <w:r w:rsidRPr="00E20A8E">
        <w:rPr>
          <w:rFonts w:ascii="Times New Roman" w:hAnsi="Times New Roman" w:cs="Times New Roman"/>
        </w:rPr>
        <w:t>) and ‘joined-up government’ (Pollitt</w:t>
      </w:r>
      <w:r w:rsidR="000916E0" w:rsidRPr="00E20A8E">
        <w:rPr>
          <w:rFonts w:ascii="Times New Roman" w:hAnsi="Times New Roman" w:cs="Times New Roman"/>
        </w:rPr>
        <w:t xml:space="preserve">, 2003; </w:t>
      </w:r>
      <w:r w:rsidRPr="00E20A8E">
        <w:rPr>
          <w:rFonts w:ascii="Times New Roman" w:hAnsi="Times New Roman" w:cs="Times New Roman"/>
        </w:rPr>
        <w:t>Ling</w:t>
      </w:r>
      <w:r w:rsidR="000916E0" w:rsidRPr="00E20A8E">
        <w:rPr>
          <w:rFonts w:ascii="Times New Roman" w:hAnsi="Times New Roman" w:cs="Times New Roman"/>
        </w:rPr>
        <w:t>, 2002</w:t>
      </w:r>
      <w:r w:rsidRPr="00E20A8E">
        <w:rPr>
          <w:rFonts w:ascii="Times New Roman" w:hAnsi="Times New Roman" w:cs="Times New Roman"/>
        </w:rPr>
        <w:t>)</w:t>
      </w:r>
      <w:r w:rsidR="007712CC" w:rsidRPr="00E20A8E">
        <w:rPr>
          <w:rFonts w:ascii="Times New Roman" w:hAnsi="Times New Roman" w:cs="Times New Roman"/>
        </w:rPr>
        <w:t>, for example, have had clear impacts on the manner in which public organisations are expected to be organised and to make decisions, even if with limi</w:t>
      </w:r>
      <w:r w:rsidR="003666AF" w:rsidRPr="00E20A8E">
        <w:rPr>
          <w:rFonts w:ascii="Times New Roman" w:hAnsi="Times New Roman" w:cs="Times New Roman"/>
        </w:rPr>
        <w:t>ted effect in some</w:t>
      </w:r>
      <w:r w:rsidR="00831304" w:rsidRPr="00E20A8E">
        <w:rPr>
          <w:rFonts w:ascii="Times New Roman" w:hAnsi="Times New Roman" w:cs="Times New Roman"/>
        </w:rPr>
        <w:t xml:space="preserve"> cultural policy</w:t>
      </w:r>
      <w:r w:rsidR="007712CC" w:rsidRPr="00E20A8E">
        <w:rPr>
          <w:rFonts w:ascii="Times New Roman" w:hAnsi="Times New Roman" w:cs="Times New Roman"/>
        </w:rPr>
        <w:t xml:space="preserve"> cases (Gray, 2006). Such general policy ideas may have limited long-term impact given that they often seem to be fashions and fads that can be</w:t>
      </w:r>
      <w:r w:rsidR="003666AF" w:rsidRPr="00E20A8E">
        <w:rPr>
          <w:rFonts w:ascii="Times New Roman" w:hAnsi="Times New Roman" w:cs="Times New Roman"/>
        </w:rPr>
        <w:t>, and often are,</w:t>
      </w:r>
      <w:r w:rsidR="007712CC" w:rsidRPr="00E20A8E">
        <w:rPr>
          <w:rFonts w:ascii="Times New Roman" w:hAnsi="Times New Roman" w:cs="Times New Roman"/>
        </w:rPr>
        <w:t xml:space="preserve"> discarded with some rapidity, but in the short-term they can be used to direct policy actors along certain lines of action even if only at the level of providing the latest jargon for use in public and official policy statements.</w:t>
      </w:r>
      <w:r w:rsidR="003666AF" w:rsidRPr="00E20A8E">
        <w:rPr>
          <w:rFonts w:ascii="Times New Roman" w:hAnsi="Times New Roman" w:cs="Times New Roman"/>
        </w:rPr>
        <w:t xml:space="preserve"> In this case the exact extent to which these policies operate as constraints or as opportunities for policy actors to exploit is a matter of empirical research and evidence</w:t>
      </w:r>
      <w:r w:rsidR="00831304" w:rsidRPr="00E20A8E">
        <w:rPr>
          <w:rFonts w:ascii="Times New Roman" w:hAnsi="Times New Roman" w:cs="Times New Roman"/>
        </w:rPr>
        <w:t xml:space="preserve"> but their role as structural factors is evident in either case</w:t>
      </w:r>
      <w:r w:rsidR="003666AF" w:rsidRPr="00E20A8E">
        <w:rPr>
          <w:rFonts w:ascii="Times New Roman" w:hAnsi="Times New Roman" w:cs="Times New Roman"/>
        </w:rPr>
        <w:t>.</w:t>
      </w:r>
    </w:p>
    <w:p w:rsidR="007712CC" w:rsidRPr="00E20A8E" w:rsidRDefault="007712CC" w:rsidP="004D322D">
      <w:pPr>
        <w:spacing w:line="240" w:lineRule="auto"/>
        <w:rPr>
          <w:rFonts w:ascii="Times New Roman" w:hAnsi="Times New Roman" w:cs="Times New Roman"/>
        </w:rPr>
      </w:pPr>
    </w:p>
    <w:p w:rsidR="003666AF" w:rsidRPr="00E20A8E" w:rsidRDefault="007712CC" w:rsidP="004D322D">
      <w:pPr>
        <w:spacing w:line="240" w:lineRule="auto"/>
        <w:rPr>
          <w:rFonts w:ascii="Times New Roman" w:hAnsi="Times New Roman" w:cs="Times New Roman"/>
        </w:rPr>
      </w:pPr>
      <w:r w:rsidRPr="00E20A8E">
        <w:rPr>
          <w:rFonts w:ascii="Times New Roman" w:hAnsi="Times New Roman" w:cs="Times New Roman"/>
        </w:rPr>
        <w:t xml:space="preserve">Thirdly, the macro-policies that are applied across the public sector can establish the framework within which policy operators are expected to function. The emphasis on </w:t>
      </w:r>
      <w:r w:rsidR="00B8660D" w:rsidRPr="00E20A8E">
        <w:rPr>
          <w:rFonts w:ascii="Times New Roman" w:hAnsi="Times New Roman" w:cs="Times New Roman"/>
        </w:rPr>
        <w:t>social inclusion and exclusion</w:t>
      </w:r>
      <w:r w:rsidR="00831304" w:rsidRPr="00E20A8E">
        <w:rPr>
          <w:rFonts w:ascii="Times New Roman" w:hAnsi="Times New Roman" w:cs="Times New Roman"/>
        </w:rPr>
        <w:t xml:space="preserve"> </w:t>
      </w:r>
      <w:r w:rsidR="00B8660D" w:rsidRPr="00E20A8E">
        <w:rPr>
          <w:rFonts w:ascii="Times New Roman" w:hAnsi="Times New Roman" w:cs="Times New Roman"/>
        </w:rPr>
        <w:t>(Newman &amp; MacLean, 200</w:t>
      </w:r>
      <w:r w:rsidR="00BE32F0" w:rsidRPr="00E20A8E">
        <w:rPr>
          <w:rFonts w:ascii="Times New Roman" w:hAnsi="Times New Roman" w:cs="Times New Roman"/>
        </w:rPr>
        <w:t>4</w:t>
      </w:r>
      <w:r w:rsidR="00B8660D" w:rsidRPr="00E20A8E">
        <w:rPr>
          <w:rFonts w:ascii="Times New Roman" w:hAnsi="Times New Roman" w:cs="Times New Roman"/>
        </w:rPr>
        <w:t>), and the ‘big society’</w:t>
      </w:r>
      <w:r w:rsidR="00D056A1" w:rsidRPr="00E20A8E">
        <w:rPr>
          <w:rFonts w:ascii="Times New Roman" w:hAnsi="Times New Roman" w:cs="Times New Roman"/>
        </w:rPr>
        <w:t xml:space="preserve"> in Britain</w:t>
      </w:r>
      <w:r w:rsidR="00B8660D" w:rsidRPr="00E20A8E">
        <w:rPr>
          <w:rFonts w:ascii="Times New Roman" w:hAnsi="Times New Roman" w:cs="Times New Roman"/>
        </w:rPr>
        <w:t xml:space="preserve">, </w:t>
      </w:r>
      <w:r w:rsidR="00B60AC4" w:rsidRPr="00E20A8E">
        <w:rPr>
          <w:rFonts w:ascii="Times New Roman" w:hAnsi="Times New Roman" w:cs="Times New Roman"/>
        </w:rPr>
        <w:t>for example</w:t>
      </w:r>
      <w:r w:rsidR="00B8660D" w:rsidRPr="00E20A8E">
        <w:rPr>
          <w:rFonts w:ascii="Times New Roman" w:hAnsi="Times New Roman" w:cs="Times New Roman"/>
        </w:rPr>
        <w:t xml:space="preserve">, have both been intended to be used as mechanisms to provide a focus and justification for the actions and choices that public sector organisations are expected to make in the exercise of their decision and policy-making activities. If they have rarely been used as the central policy focus that organisations are expected to concentrate on, they have existed as a set of general policy expectations that policy-makers should bear in mind when making their decisions and choices, and to ignore them entirely would be unlikely to be good organisational politics. Whether these macro-policies are simply a means for instrumentalising policy-making across policy sectors would </w:t>
      </w:r>
      <w:r w:rsidR="003666AF" w:rsidRPr="00E20A8E">
        <w:rPr>
          <w:rFonts w:ascii="Times New Roman" w:hAnsi="Times New Roman" w:cs="Times New Roman"/>
        </w:rPr>
        <w:t>depend</w:t>
      </w:r>
      <w:r w:rsidR="00B8660D" w:rsidRPr="00E20A8E">
        <w:rPr>
          <w:rFonts w:ascii="Times New Roman" w:hAnsi="Times New Roman" w:cs="Times New Roman"/>
        </w:rPr>
        <w:t xml:space="preserve"> upon governments actively behaving in a top-down policy fashion</w:t>
      </w:r>
      <w:r w:rsidR="0071343B" w:rsidRPr="00E20A8E">
        <w:rPr>
          <w:rFonts w:ascii="Times New Roman" w:hAnsi="Times New Roman" w:cs="Times New Roman"/>
        </w:rPr>
        <w:t xml:space="preserve"> – and being able to impose their policy preferences on reluctant organisations and individuals – with little evidence that this has actually </w:t>
      </w:r>
      <w:r w:rsidR="00B60AC4" w:rsidRPr="00E20A8E">
        <w:rPr>
          <w:rFonts w:ascii="Times New Roman" w:hAnsi="Times New Roman" w:cs="Times New Roman"/>
        </w:rPr>
        <w:t>occurred. But</w:t>
      </w:r>
      <w:r w:rsidR="003666AF" w:rsidRPr="00E20A8E">
        <w:rPr>
          <w:rFonts w:ascii="Times New Roman" w:hAnsi="Times New Roman" w:cs="Times New Roman"/>
        </w:rPr>
        <w:t>, again, the precise impact of these major policy foci on the work of specific organisations is a matter for empirical research and evidence</w:t>
      </w:r>
      <w:r w:rsidR="00D056A1" w:rsidRPr="00E20A8E">
        <w:rPr>
          <w:rStyle w:val="FootnoteReference"/>
          <w:rFonts w:ascii="Times New Roman" w:hAnsi="Times New Roman" w:cs="Times New Roman"/>
        </w:rPr>
        <w:footnoteReference w:id="18"/>
      </w:r>
      <w:r w:rsidR="003666AF" w:rsidRPr="00E20A8E">
        <w:rPr>
          <w:rFonts w:ascii="Times New Roman" w:hAnsi="Times New Roman" w:cs="Times New Roman"/>
        </w:rPr>
        <w:t>.</w:t>
      </w:r>
    </w:p>
    <w:p w:rsidR="003666AF" w:rsidRPr="00E20A8E" w:rsidRDefault="003666AF" w:rsidP="004D322D">
      <w:pPr>
        <w:spacing w:line="240" w:lineRule="auto"/>
        <w:rPr>
          <w:rFonts w:ascii="Times New Roman" w:hAnsi="Times New Roman" w:cs="Times New Roman"/>
        </w:rPr>
      </w:pPr>
    </w:p>
    <w:p w:rsidR="0061564E" w:rsidRPr="00E20A8E" w:rsidRDefault="0061564E" w:rsidP="004D322D">
      <w:pPr>
        <w:spacing w:line="240" w:lineRule="auto"/>
        <w:rPr>
          <w:rFonts w:ascii="Times New Roman" w:hAnsi="Times New Roman" w:cs="Times New Roman"/>
        </w:rPr>
      </w:pPr>
      <w:r w:rsidRPr="00E20A8E">
        <w:rPr>
          <w:rFonts w:ascii="Times New Roman" w:hAnsi="Times New Roman" w:cs="Times New Roman"/>
        </w:rPr>
        <w:t>Both structural and macro-policies are normally determined by the dominant political organisation within national systems – in the case of Britain this would be at the national governmental level</w:t>
      </w:r>
      <w:r w:rsidR="00FD175B" w:rsidRPr="00E20A8E">
        <w:rPr>
          <w:rFonts w:ascii="Times New Roman" w:hAnsi="Times New Roman" w:cs="Times New Roman"/>
        </w:rPr>
        <w:t xml:space="preserve"> at either Westminster, Edinburgh, Cardiff or Belfast, depending upon the distribution of powers within the overall system</w:t>
      </w:r>
      <w:r w:rsidR="00AB559E" w:rsidRPr="00E20A8E">
        <w:rPr>
          <w:rFonts w:ascii="Times New Roman" w:hAnsi="Times New Roman" w:cs="Times New Roman"/>
        </w:rPr>
        <w:t>, just as</w:t>
      </w:r>
      <w:r w:rsidRPr="00E20A8E">
        <w:rPr>
          <w:rFonts w:ascii="Times New Roman" w:hAnsi="Times New Roman" w:cs="Times New Roman"/>
        </w:rPr>
        <w:t xml:space="preserve"> in federal systems this would be determined by the constitutional settlement that underpins the distribution of power and authority within them. Such national policies, however, are not necessarily the end of the story. International policies can also contribute to the formation of </w:t>
      </w:r>
      <w:r w:rsidRPr="00E20A8E">
        <w:rPr>
          <w:rFonts w:ascii="Times New Roman" w:hAnsi="Times New Roman" w:cs="Times New Roman"/>
        </w:rPr>
        <w:lastRenderedPageBreak/>
        <w:t>the national policy landscape, either through the requirement to live up to international laws and treaties or through the impact of policy learning and/or policy transfer (</w:t>
      </w:r>
      <w:r w:rsidR="002C4DDF" w:rsidRPr="00E20A8E">
        <w:rPr>
          <w:rFonts w:ascii="Times New Roman" w:hAnsi="Times New Roman" w:cs="Times New Roman"/>
        </w:rPr>
        <w:t xml:space="preserve">see </w:t>
      </w:r>
      <w:r w:rsidRPr="00E20A8E">
        <w:rPr>
          <w:rFonts w:ascii="Times New Roman" w:hAnsi="Times New Roman" w:cs="Times New Roman"/>
        </w:rPr>
        <w:t xml:space="preserve">Cairney, 2012; Rose, </w:t>
      </w:r>
      <w:r w:rsidR="00E97E1E" w:rsidRPr="00E20A8E">
        <w:rPr>
          <w:rFonts w:ascii="Times New Roman" w:hAnsi="Times New Roman" w:cs="Times New Roman"/>
        </w:rPr>
        <w:t>2005</w:t>
      </w:r>
      <w:r w:rsidRPr="00E20A8E">
        <w:rPr>
          <w:rFonts w:ascii="Times New Roman" w:hAnsi="Times New Roman" w:cs="Times New Roman"/>
        </w:rPr>
        <w:t xml:space="preserve">; </w:t>
      </w:r>
      <w:r w:rsidR="000916E0" w:rsidRPr="00E20A8E">
        <w:rPr>
          <w:rFonts w:ascii="Times New Roman" w:hAnsi="Times New Roman" w:cs="Times New Roman"/>
        </w:rPr>
        <w:t>Benson &amp; Jordan, 2011</w:t>
      </w:r>
      <w:r w:rsidR="002C4DDF" w:rsidRPr="00E20A8E">
        <w:rPr>
          <w:rFonts w:ascii="Times New Roman" w:hAnsi="Times New Roman" w:cs="Times New Roman"/>
        </w:rPr>
        <w:t xml:space="preserve"> respectively</w:t>
      </w:r>
      <w:r w:rsidRPr="00E20A8E">
        <w:rPr>
          <w:rFonts w:ascii="Times New Roman" w:hAnsi="Times New Roman" w:cs="Times New Roman"/>
        </w:rPr>
        <w:t>).</w:t>
      </w:r>
      <w:r w:rsidR="00FD175B" w:rsidRPr="00E20A8E">
        <w:rPr>
          <w:rFonts w:ascii="Times New Roman" w:hAnsi="Times New Roman" w:cs="Times New Roman"/>
        </w:rPr>
        <w:t xml:space="preserve"> In the case of </w:t>
      </w:r>
      <w:r w:rsidR="00656B0F" w:rsidRPr="00E20A8E">
        <w:rPr>
          <w:rFonts w:ascii="Times New Roman" w:hAnsi="Times New Roman" w:cs="Times New Roman"/>
        </w:rPr>
        <w:t>the cultural sector</w:t>
      </w:r>
      <w:r w:rsidR="00FD175B" w:rsidRPr="00E20A8E">
        <w:rPr>
          <w:rFonts w:ascii="Times New Roman" w:hAnsi="Times New Roman" w:cs="Times New Roman"/>
        </w:rPr>
        <w:t>, for example, the UNESCO convention</w:t>
      </w:r>
      <w:r w:rsidR="00656B0F" w:rsidRPr="00E20A8E">
        <w:rPr>
          <w:rFonts w:ascii="Times New Roman" w:hAnsi="Times New Roman" w:cs="Times New Roman"/>
        </w:rPr>
        <w:t>s</w:t>
      </w:r>
      <w:r w:rsidR="00FD175B" w:rsidRPr="00E20A8E">
        <w:rPr>
          <w:rFonts w:ascii="Times New Roman" w:hAnsi="Times New Roman" w:cs="Times New Roman"/>
        </w:rPr>
        <w:t xml:space="preserve"> on intangible heritage</w:t>
      </w:r>
      <w:r w:rsidR="00656B0F" w:rsidRPr="00E20A8E">
        <w:rPr>
          <w:rFonts w:ascii="Times New Roman" w:hAnsi="Times New Roman" w:cs="Times New Roman"/>
        </w:rPr>
        <w:t xml:space="preserve"> and cultural diversity</w:t>
      </w:r>
      <w:r w:rsidR="00FD175B" w:rsidRPr="00E20A8E">
        <w:rPr>
          <w:rFonts w:ascii="Times New Roman" w:hAnsi="Times New Roman" w:cs="Times New Roman"/>
        </w:rPr>
        <w:t xml:space="preserve"> and the Washington Conference Principles on Nazi-Confiscated Art (amongst many others)</w:t>
      </w:r>
      <w:r w:rsidR="00656B0F" w:rsidRPr="00E20A8E">
        <w:rPr>
          <w:rFonts w:ascii="Times New Roman" w:hAnsi="Times New Roman" w:cs="Times New Roman"/>
        </w:rPr>
        <w:t xml:space="preserve"> can all have an effect on the production of both national and local level policies</w:t>
      </w:r>
      <w:r w:rsidR="00FD175B" w:rsidRPr="00E20A8E">
        <w:rPr>
          <w:rFonts w:ascii="Times New Roman" w:hAnsi="Times New Roman" w:cs="Times New Roman"/>
        </w:rPr>
        <w:t>.</w:t>
      </w:r>
      <w:r w:rsidR="00AB559E" w:rsidRPr="00E20A8E">
        <w:rPr>
          <w:rFonts w:ascii="Times New Roman" w:hAnsi="Times New Roman" w:cs="Times New Roman"/>
        </w:rPr>
        <w:t xml:space="preserve"> As such the meso-level is not an enclosed world that is isolated from broader political and policy currents but is, instead, also subject to its own sets of structuring constraints and opportunities from the broader environment within which it is located.</w:t>
      </w:r>
    </w:p>
    <w:p w:rsidR="00AB559E" w:rsidRPr="00E20A8E" w:rsidRDefault="00AB559E" w:rsidP="004D322D">
      <w:pPr>
        <w:spacing w:line="240" w:lineRule="auto"/>
        <w:rPr>
          <w:rFonts w:ascii="Times New Roman" w:hAnsi="Times New Roman" w:cs="Times New Roman"/>
        </w:rPr>
      </w:pPr>
    </w:p>
    <w:p w:rsidR="00516E51" w:rsidRPr="00E20A8E" w:rsidRDefault="003666AF" w:rsidP="004D322D">
      <w:pPr>
        <w:spacing w:line="240" w:lineRule="auto"/>
        <w:rPr>
          <w:rFonts w:ascii="Times New Roman" w:hAnsi="Times New Roman" w:cs="Times New Roman"/>
        </w:rPr>
      </w:pPr>
      <w:r w:rsidRPr="00E20A8E">
        <w:rPr>
          <w:rFonts w:ascii="Times New Roman" w:hAnsi="Times New Roman" w:cs="Times New Roman"/>
        </w:rPr>
        <w:t xml:space="preserve">The fourth meso-level constraint is constructed from the organisational universe that </w:t>
      </w:r>
      <w:r w:rsidR="00195863" w:rsidRPr="00E20A8E">
        <w:rPr>
          <w:rFonts w:ascii="Times New Roman" w:hAnsi="Times New Roman" w:cs="Times New Roman"/>
        </w:rPr>
        <w:t xml:space="preserve">underlies policy activity. The </w:t>
      </w:r>
      <w:r w:rsidR="00B60AC4" w:rsidRPr="00E20A8E">
        <w:rPr>
          <w:rFonts w:ascii="Times New Roman" w:hAnsi="Times New Roman" w:cs="Times New Roman"/>
        </w:rPr>
        <w:t>allocation of</w:t>
      </w:r>
      <w:r w:rsidR="00195863" w:rsidRPr="00E20A8E">
        <w:rPr>
          <w:rFonts w:ascii="Times New Roman" w:hAnsi="Times New Roman" w:cs="Times New Roman"/>
        </w:rPr>
        <w:t xml:space="preserve"> functional responsibilities between government departments, local authorities and the world of quasi-governmental organisations – let alone between the public and private/voluntary/community sectors – has important implications for the distribution of hierarchical resources between them (Rhodes, 1981, 100-1), as well as </w:t>
      </w:r>
      <w:r w:rsidR="0056356E" w:rsidRPr="00E20A8E">
        <w:rPr>
          <w:rFonts w:ascii="Times New Roman" w:hAnsi="Times New Roman" w:cs="Times New Roman"/>
        </w:rPr>
        <w:t xml:space="preserve">for </w:t>
      </w:r>
      <w:r w:rsidR="00195863" w:rsidRPr="00E20A8E">
        <w:rPr>
          <w:rFonts w:ascii="Times New Roman" w:hAnsi="Times New Roman" w:cs="Times New Roman"/>
        </w:rPr>
        <w:t>control of the actual implementation stage of the policy process</w:t>
      </w:r>
      <w:r w:rsidR="0056356E" w:rsidRPr="00E20A8E">
        <w:rPr>
          <w:rStyle w:val="FootnoteReference"/>
          <w:rFonts w:ascii="Times New Roman" w:hAnsi="Times New Roman" w:cs="Times New Roman"/>
        </w:rPr>
        <w:footnoteReference w:id="19"/>
      </w:r>
      <w:r w:rsidR="00195863" w:rsidRPr="00E20A8E">
        <w:rPr>
          <w:rFonts w:ascii="Times New Roman" w:hAnsi="Times New Roman" w:cs="Times New Roman"/>
        </w:rPr>
        <w:t xml:space="preserve">. Additionally, the organisational universe contains a host of inter-organisational, intra-organisational and inter-personal relationships that can have an important impact </w:t>
      </w:r>
      <w:r w:rsidR="00516E51" w:rsidRPr="00E20A8E">
        <w:rPr>
          <w:rFonts w:ascii="Times New Roman" w:hAnsi="Times New Roman" w:cs="Times New Roman"/>
        </w:rPr>
        <w:t xml:space="preserve">on the functioning of policy sectors. As such this factor extends between the </w:t>
      </w:r>
      <w:r w:rsidR="00B60AC4" w:rsidRPr="00E20A8E">
        <w:rPr>
          <w:rFonts w:ascii="Times New Roman" w:hAnsi="Times New Roman" w:cs="Times New Roman"/>
        </w:rPr>
        <w:t>formal structural</w:t>
      </w:r>
      <w:r w:rsidR="00516E51" w:rsidRPr="00E20A8E">
        <w:rPr>
          <w:rFonts w:ascii="Times New Roman" w:hAnsi="Times New Roman" w:cs="Times New Roman"/>
        </w:rPr>
        <w:t xml:space="preserve"> arrangements that exist to the informal </w:t>
      </w:r>
      <w:r w:rsidR="00656B0F" w:rsidRPr="00E20A8E">
        <w:rPr>
          <w:rFonts w:ascii="Times New Roman" w:hAnsi="Times New Roman" w:cs="Times New Roman"/>
        </w:rPr>
        <w:t xml:space="preserve">structure of </w:t>
      </w:r>
      <w:r w:rsidR="00516E51" w:rsidRPr="00E20A8E">
        <w:rPr>
          <w:rFonts w:ascii="Times New Roman" w:hAnsi="Times New Roman" w:cs="Times New Roman"/>
        </w:rPr>
        <w:t xml:space="preserve">relationships </w:t>
      </w:r>
      <w:r w:rsidR="00656B0F" w:rsidRPr="00E20A8E">
        <w:rPr>
          <w:rFonts w:ascii="Times New Roman" w:hAnsi="Times New Roman" w:cs="Times New Roman"/>
        </w:rPr>
        <w:t xml:space="preserve">in the form of organisational ‘rules of the game’ that </w:t>
      </w:r>
      <w:r w:rsidR="00516E51" w:rsidRPr="00E20A8E">
        <w:rPr>
          <w:rFonts w:ascii="Times New Roman" w:hAnsi="Times New Roman" w:cs="Times New Roman"/>
        </w:rPr>
        <w:t>can serve to manage how policy will be put into practice. At this level there is a clear expectation that matters of agency will be of some significance for understanding precisely how the organisational universe will function</w:t>
      </w:r>
      <w:r w:rsidR="00656B0F" w:rsidRPr="00E20A8E">
        <w:rPr>
          <w:rFonts w:ascii="Times New Roman" w:hAnsi="Times New Roman" w:cs="Times New Roman"/>
        </w:rPr>
        <w:t>, particularly in terms of reinforcing existing patterns of behaviour and rules or adapting or changing these (morphostasis and morphogenesis, respectively, in Archer’s (1995) terms)</w:t>
      </w:r>
      <w:r w:rsidR="00516E51" w:rsidRPr="00E20A8E">
        <w:rPr>
          <w:rFonts w:ascii="Times New Roman" w:hAnsi="Times New Roman" w:cs="Times New Roman"/>
        </w:rPr>
        <w:t>. Be this as it may, however, the structure of the organisational arrangements that are in place within policy sectors will serve to regulate the formal dimension of operational activity</w:t>
      </w:r>
      <w:r w:rsidR="008F1EE5" w:rsidRPr="00E20A8E">
        <w:rPr>
          <w:rFonts w:ascii="Times New Roman" w:hAnsi="Times New Roman" w:cs="Times New Roman"/>
        </w:rPr>
        <w:t xml:space="preserve"> and can thus be seen to have a structural dimension to them</w:t>
      </w:r>
      <w:r w:rsidR="00516E51" w:rsidRPr="00E20A8E">
        <w:rPr>
          <w:rFonts w:ascii="Times New Roman" w:hAnsi="Times New Roman" w:cs="Times New Roman"/>
        </w:rPr>
        <w:t>.</w:t>
      </w:r>
    </w:p>
    <w:p w:rsidR="00516E51" w:rsidRPr="00E20A8E" w:rsidRDefault="00516E51" w:rsidP="004D322D">
      <w:pPr>
        <w:spacing w:line="240" w:lineRule="auto"/>
        <w:rPr>
          <w:rFonts w:ascii="Times New Roman" w:hAnsi="Times New Roman" w:cs="Times New Roman"/>
        </w:rPr>
      </w:pPr>
    </w:p>
    <w:p w:rsidR="003A3E5D" w:rsidRPr="00E20A8E" w:rsidRDefault="00516E51" w:rsidP="004D322D">
      <w:pPr>
        <w:spacing w:line="240" w:lineRule="auto"/>
        <w:rPr>
          <w:rFonts w:ascii="Times New Roman" w:hAnsi="Times New Roman" w:cs="Times New Roman"/>
        </w:rPr>
      </w:pPr>
      <w:r w:rsidRPr="00E20A8E">
        <w:rPr>
          <w:rFonts w:ascii="Times New Roman" w:hAnsi="Times New Roman" w:cs="Times New Roman"/>
        </w:rPr>
        <w:t xml:space="preserve">Fifthly, </w:t>
      </w:r>
      <w:r w:rsidR="00D05B6D" w:rsidRPr="00E20A8E">
        <w:rPr>
          <w:rFonts w:ascii="Times New Roman" w:hAnsi="Times New Roman" w:cs="Times New Roman"/>
        </w:rPr>
        <w:t>the policy instruments that governments employ to manage public policy serve as important restraints on the room for manoeuvre that public (and private/voluntary/communal</w:t>
      </w:r>
      <w:r w:rsidR="001C4818" w:rsidRPr="00E20A8E">
        <w:rPr>
          <w:rFonts w:ascii="Times New Roman" w:hAnsi="Times New Roman" w:cs="Times New Roman"/>
        </w:rPr>
        <w:t xml:space="preserve">) </w:t>
      </w:r>
      <w:r w:rsidR="00D05B6D" w:rsidRPr="00E20A8E">
        <w:rPr>
          <w:rFonts w:ascii="Times New Roman" w:hAnsi="Times New Roman" w:cs="Times New Roman"/>
        </w:rPr>
        <w:t>organisations</w:t>
      </w:r>
      <w:r w:rsidR="001C4818" w:rsidRPr="00E20A8E">
        <w:rPr>
          <w:rFonts w:ascii="Times New Roman" w:hAnsi="Times New Roman" w:cs="Times New Roman"/>
        </w:rPr>
        <w:t xml:space="preserve"> have available to them. These instruments can be classified in various ways: Hood (1983, 4-6</w:t>
      </w:r>
      <w:r w:rsidR="008F1EE5" w:rsidRPr="00E20A8E">
        <w:rPr>
          <w:rFonts w:ascii="Times New Roman" w:hAnsi="Times New Roman" w:cs="Times New Roman"/>
        </w:rPr>
        <w:t>)</w:t>
      </w:r>
      <w:r w:rsidR="001C4818" w:rsidRPr="00E20A8E">
        <w:rPr>
          <w:rFonts w:ascii="Times New Roman" w:hAnsi="Times New Roman" w:cs="Times New Roman"/>
        </w:rPr>
        <w:t xml:space="preserve"> refers to nodality, treasure, authority and organisation; de Bruijn &amp; Hufen (1998, 17-9</w:t>
      </w:r>
      <w:r w:rsidR="008F1EE5" w:rsidRPr="00E20A8E">
        <w:rPr>
          <w:rFonts w:ascii="Times New Roman" w:hAnsi="Times New Roman" w:cs="Times New Roman"/>
        </w:rPr>
        <w:t>)</w:t>
      </w:r>
      <w:r w:rsidR="001C4818" w:rsidRPr="00E20A8E">
        <w:rPr>
          <w:rFonts w:ascii="Times New Roman" w:hAnsi="Times New Roman" w:cs="Times New Roman"/>
        </w:rPr>
        <w:t xml:space="preserve"> to regulatory, financial incentive and information transfer in</w:t>
      </w:r>
      <w:r w:rsidR="00DE62A5" w:rsidRPr="00E20A8E">
        <w:rPr>
          <w:rFonts w:ascii="Times New Roman" w:hAnsi="Times New Roman" w:cs="Times New Roman"/>
        </w:rPr>
        <w:t xml:space="preserve">struments; while Howlett (2011) </w:t>
      </w:r>
      <w:r w:rsidR="001C4818" w:rsidRPr="00E20A8E">
        <w:rPr>
          <w:rFonts w:ascii="Times New Roman" w:hAnsi="Times New Roman" w:cs="Times New Roman"/>
        </w:rPr>
        <w:t xml:space="preserve">to information, advice, resources and structural </w:t>
      </w:r>
      <w:r w:rsidR="00B60AC4" w:rsidRPr="00E20A8E">
        <w:rPr>
          <w:rFonts w:ascii="Times New Roman" w:hAnsi="Times New Roman" w:cs="Times New Roman"/>
        </w:rPr>
        <w:t>instruments. Whichever</w:t>
      </w:r>
      <w:r w:rsidR="009841E3" w:rsidRPr="00E20A8E">
        <w:rPr>
          <w:rFonts w:ascii="Times New Roman" w:hAnsi="Times New Roman" w:cs="Times New Roman"/>
        </w:rPr>
        <w:t xml:space="preserve"> listing is chosen, however, they are all referring to the mechanisms that are employed by governmental actors to turn policy preferences into actions. The combination of instruments that are employed at any given time will establish parameters for action within which actors should be expected to function</w:t>
      </w:r>
      <w:r w:rsidR="009841E3" w:rsidRPr="00E20A8E">
        <w:rPr>
          <w:rStyle w:val="FootnoteReference"/>
          <w:rFonts w:ascii="Times New Roman" w:hAnsi="Times New Roman" w:cs="Times New Roman"/>
        </w:rPr>
        <w:footnoteReference w:id="20"/>
      </w:r>
      <w:r w:rsidR="00273740" w:rsidRPr="00E20A8E">
        <w:rPr>
          <w:rFonts w:ascii="Times New Roman" w:hAnsi="Times New Roman" w:cs="Times New Roman"/>
        </w:rPr>
        <w:t>, they will equally close off other pathways that might otherwise have been pursued. As such they establish a form of what historical institutionalists would refer to as path dependency</w:t>
      </w:r>
      <w:r w:rsidR="008F1EE5" w:rsidRPr="00E20A8E">
        <w:rPr>
          <w:rFonts w:ascii="Times New Roman" w:hAnsi="Times New Roman" w:cs="Times New Roman"/>
        </w:rPr>
        <w:t>,</w:t>
      </w:r>
      <w:r w:rsidR="00273740" w:rsidRPr="00E20A8E">
        <w:rPr>
          <w:rFonts w:ascii="Times New Roman" w:hAnsi="Times New Roman" w:cs="Times New Roman"/>
        </w:rPr>
        <w:t xml:space="preserve"> where present choices are constrained by previous ones that direct individuals and organisations along particular routes</w:t>
      </w:r>
      <w:r w:rsidR="00093ED1" w:rsidRPr="00E20A8E">
        <w:rPr>
          <w:rFonts w:ascii="Times New Roman" w:hAnsi="Times New Roman" w:cs="Times New Roman"/>
        </w:rPr>
        <w:t>, and limit the extent to which alternatives are likely to be pursued (or even recognised) (</w:t>
      </w:r>
      <w:r w:rsidR="001D6FAF" w:rsidRPr="00E20A8E">
        <w:rPr>
          <w:rFonts w:ascii="Times New Roman" w:hAnsi="Times New Roman" w:cs="Times New Roman"/>
        </w:rPr>
        <w:t>Hall &amp; Taylor, 1996</w:t>
      </w:r>
      <w:r w:rsidR="00093ED1" w:rsidRPr="00E20A8E">
        <w:rPr>
          <w:rFonts w:ascii="Times New Roman" w:hAnsi="Times New Roman" w:cs="Times New Roman"/>
        </w:rPr>
        <w:t xml:space="preserve">).The </w:t>
      </w:r>
      <w:r w:rsidR="008F1EE5" w:rsidRPr="00E20A8E">
        <w:rPr>
          <w:rFonts w:ascii="Times New Roman" w:hAnsi="Times New Roman" w:cs="Times New Roman"/>
        </w:rPr>
        <w:t xml:space="preserve">ultimately </w:t>
      </w:r>
      <w:r w:rsidR="00093ED1" w:rsidRPr="00E20A8E">
        <w:rPr>
          <w:rFonts w:ascii="Times New Roman" w:hAnsi="Times New Roman" w:cs="Times New Roman"/>
        </w:rPr>
        <w:t>structural determinism of this view is questionable and accepting policy instruments as structural components does not necessitate an acceptance of such determinis</w:t>
      </w:r>
      <w:r w:rsidR="002C4DDF" w:rsidRPr="00E20A8E">
        <w:rPr>
          <w:rFonts w:ascii="Times New Roman" w:hAnsi="Times New Roman" w:cs="Times New Roman"/>
        </w:rPr>
        <w:t>tic rigidity</w:t>
      </w:r>
      <w:r w:rsidR="00093ED1" w:rsidRPr="00E20A8E">
        <w:rPr>
          <w:rFonts w:ascii="Times New Roman" w:hAnsi="Times New Roman" w:cs="Times New Roman"/>
        </w:rPr>
        <w:t xml:space="preserve"> – instruments may serve as much to liberate policy actors as they do to constrain them</w:t>
      </w:r>
      <w:r w:rsidR="008F1EE5" w:rsidRPr="00E20A8E">
        <w:rPr>
          <w:rFonts w:ascii="Times New Roman" w:hAnsi="Times New Roman" w:cs="Times New Roman"/>
        </w:rPr>
        <w:t>, particularly at times of policy and organisational turmoil</w:t>
      </w:r>
      <w:r w:rsidR="00093ED1" w:rsidRPr="00E20A8E">
        <w:rPr>
          <w:rFonts w:ascii="Times New Roman" w:hAnsi="Times New Roman" w:cs="Times New Roman"/>
        </w:rPr>
        <w:t xml:space="preserve"> – and whether they function as constraints or opportunities is, again, subject to empirical research and evidence</w:t>
      </w:r>
      <w:r w:rsidR="008F1EE5" w:rsidRPr="00E20A8E">
        <w:rPr>
          <w:rFonts w:ascii="Times New Roman" w:hAnsi="Times New Roman" w:cs="Times New Roman"/>
        </w:rPr>
        <w:t xml:space="preserve"> and also depends upon which questions the analyst wishes to ask</w:t>
      </w:r>
      <w:r w:rsidR="00093ED1" w:rsidRPr="00E20A8E">
        <w:rPr>
          <w:rFonts w:ascii="Times New Roman" w:hAnsi="Times New Roman" w:cs="Times New Roman"/>
        </w:rPr>
        <w:t>.</w:t>
      </w:r>
      <w:r w:rsidR="008F1EE5" w:rsidRPr="00E20A8E">
        <w:rPr>
          <w:rFonts w:ascii="Times New Roman" w:hAnsi="Times New Roman" w:cs="Times New Roman"/>
        </w:rPr>
        <w:t xml:space="preserve"> An emphasis on morphostasis, for example, may well lead to an examination of instruments as constraints, while an </w:t>
      </w:r>
      <w:r w:rsidR="008F1EE5" w:rsidRPr="00E20A8E">
        <w:rPr>
          <w:rFonts w:ascii="Times New Roman" w:hAnsi="Times New Roman" w:cs="Times New Roman"/>
        </w:rPr>
        <w:lastRenderedPageBreak/>
        <w:t>emphasis on morphogenesis may lead to an investigation of them as liberating components</w:t>
      </w:r>
      <w:r w:rsidR="002C4DDF" w:rsidRPr="00E20A8E">
        <w:rPr>
          <w:rFonts w:ascii="Times New Roman" w:hAnsi="Times New Roman" w:cs="Times New Roman"/>
        </w:rPr>
        <w:t xml:space="preserve"> for policy actors</w:t>
      </w:r>
      <w:r w:rsidR="008F1EE5" w:rsidRPr="00E20A8E">
        <w:rPr>
          <w:rFonts w:ascii="Times New Roman" w:hAnsi="Times New Roman" w:cs="Times New Roman"/>
        </w:rPr>
        <w:t>.</w:t>
      </w:r>
    </w:p>
    <w:p w:rsidR="00D13774" w:rsidRPr="00E20A8E" w:rsidRDefault="00D13774" w:rsidP="004D322D">
      <w:pPr>
        <w:spacing w:line="240" w:lineRule="auto"/>
        <w:rPr>
          <w:rFonts w:ascii="Times New Roman" w:hAnsi="Times New Roman" w:cs="Times New Roman"/>
        </w:rPr>
      </w:pPr>
    </w:p>
    <w:p w:rsidR="00334266" w:rsidRPr="00E20A8E" w:rsidRDefault="00767E49" w:rsidP="004D322D">
      <w:pPr>
        <w:spacing w:line="240" w:lineRule="auto"/>
        <w:rPr>
          <w:rFonts w:ascii="Times New Roman" w:hAnsi="Times New Roman" w:cs="Times New Roman"/>
        </w:rPr>
      </w:pPr>
      <w:r w:rsidRPr="00E20A8E">
        <w:rPr>
          <w:rFonts w:ascii="Times New Roman" w:hAnsi="Times New Roman" w:cs="Times New Roman"/>
        </w:rPr>
        <w:t>Alongside these macro- and meso-level structural factors a means to identify the precise location and role of agency factors is needed if analysis is to be more than a simple description of structures that is isolated from the practice of policy activity within these structur</w:t>
      </w:r>
      <w:r w:rsidR="008459BB" w:rsidRPr="00E20A8E">
        <w:rPr>
          <w:rFonts w:ascii="Times New Roman" w:hAnsi="Times New Roman" w:cs="Times New Roman"/>
        </w:rPr>
        <w:t>ed</w:t>
      </w:r>
      <w:r w:rsidRPr="00E20A8E">
        <w:rPr>
          <w:rFonts w:ascii="Times New Roman" w:hAnsi="Times New Roman" w:cs="Times New Roman"/>
        </w:rPr>
        <w:t xml:space="preserve"> boundaries. While it is possible to investigate the role of individual and group actors at a number of levels</w:t>
      </w:r>
      <w:r w:rsidR="008459BB" w:rsidRPr="00E20A8E">
        <w:rPr>
          <w:rFonts w:ascii="Times New Roman" w:hAnsi="Times New Roman" w:cs="Times New Roman"/>
        </w:rPr>
        <w:t>,</w:t>
      </w:r>
      <w:r w:rsidRPr="00E20A8E">
        <w:rPr>
          <w:rFonts w:ascii="Times New Roman" w:hAnsi="Times New Roman" w:cs="Times New Roman"/>
        </w:rPr>
        <w:t xml:space="preserve"> for current purposes agency is located at a micro-level established </w:t>
      </w:r>
      <w:r w:rsidR="008459BB" w:rsidRPr="00E20A8E">
        <w:rPr>
          <w:rFonts w:ascii="Times New Roman" w:hAnsi="Times New Roman" w:cs="Times New Roman"/>
        </w:rPr>
        <w:t xml:space="preserve">in and </w:t>
      </w:r>
      <w:r w:rsidRPr="00E20A8E">
        <w:rPr>
          <w:rFonts w:ascii="Times New Roman" w:hAnsi="Times New Roman" w:cs="Times New Roman"/>
        </w:rPr>
        <w:t xml:space="preserve">of individual organisations. Within these organisations policy actors are not only confronted with higher-level structural constraints and opportunities but are also subject to the possibilities – both as limits and as room for manoeuvre – that are provided by specific organisational characteristics. Identifying these </w:t>
      </w:r>
      <w:r w:rsidR="008F1EE5" w:rsidRPr="00E20A8E">
        <w:rPr>
          <w:rFonts w:ascii="Times New Roman" w:hAnsi="Times New Roman" w:cs="Times New Roman"/>
        </w:rPr>
        <w:t xml:space="preserve">local </w:t>
      </w:r>
      <w:r w:rsidRPr="00E20A8E">
        <w:rPr>
          <w:rFonts w:ascii="Times New Roman" w:hAnsi="Times New Roman" w:cs="Times New Roman"/>
        </w:rPr>
        <w:t>structural factors</w:t>
      </w:r>
      <w:r w:rsidR="00334266" w:rsidRPr="00E20A8E">
        <w:rPr>
          <w:rFonts w:ascii="Times New Roman" w:hAnsi="Times New Roman" w:cs="Times New Roman"/>
        </w:rPr>
        <w:t xml:space="preserve"> will serve to</w:t>
      </w:r>
      <w:r w:rsidRPr="00E20A8E">
        <w:rPr>
          <w:rFonts w:ascii="Times New Roman" w:hAnsi="Times New Roman" w:cs="Times New Roman"/>
        </w:rPr>
        <w:t xml:space="preserve"> provide</w:t>
      </w:r>
      <w:r w:rsidR="00334266" w:rsidRPr="00E20A8E">
        <w:rPr>
          <w:rFonts w:ascii="Times New Roman" w:hAnsi="Times New Roman" w:cs="Times New Roman"/>
        </w:rPr>
        <w:t xml:space="preserve"> a multi-dimensional image of the policy space within which actors will</w:t>
      </w:r>
      <w:r w:rsidR="008F1EE5" w:rsidRPr="00E20A8E">
        <w:rPr>
          <w:rFonts w:ascii="Times New Roman" w:hAnsi="Times New Roman" w:cs="Times New Roman"/>
        </w:rPr>
        <w:t>, or can,</w:t>
      </w:r>
      <w:r w:rsidR="00334266" w:rsidRPr="00E20A8E">
        <w:rPr>
          <w:rFonts w:ascii="Times New Roman" w:hAnsi="Times New Roman" w:cs="Times New Roman"/>
        </w:rPr>
        <w:t xml:space="preserve"> exercise their role as agents of choice.</w:t>
      </w:r>
    </w:p>
    <w:p w:rsidR="00334266" w:rsidRPr="00E20A8E" w:rsidRDefault="00334266" w:rsidP="004D322D">
      <w:pPr>
        <w:spacing w:line="240" w:lineRule="auto"/>
        <w:rPr>
          <w:rFonts w:ascii="Times New Roman" w:hAnsi="Times New Roman" w:cs="Times New Roman"/>
        </w:rPr>
      </w:pPr>
    </w:p>
    <w:p w:rsidR="008459BB" w:rsidRPr="00E20A8E" w:rsidRDefault="00334266" w:rsidP="004D322D">
      <w:pPr>
        <w:spacing w:line="240" w:lineRule="auto"/>
        <w:rPr>
          <w:rFonts w:ascii="Times New Roman" w:hAnsi="Times New Roman" w:cs="Times New Roman"/>
        </w:rPr>
      </w:pPr>
      <w:r w:rsidRPr="00E20A8E">
        <w:rPr>
          <w:rFonts w:ascii="Times New Roman" w:hAnsi="Times New Roman" w:cs="Times New Roman"/>
        </w:rPr>
        <w:t>These micro-level structural factors are, firstly, the specific policies that organisations have. These will identify the aims and intentions of policies, the targets at which policy is directed (whether these are people (for example, school-children) or processes</w:t>
      </w:r>
      <w:r w:rsidR="009A4AA9" w:rsidRPr="00E20A8E">
        <w:rPr>
          <w:rFonts w:ascii="Times New Roman" w:hAnsi="Times New Roman" w:cs="Times New Roman"/>
        </w:rPr>
        <w:t xml:space="preserve"> </w:t>
      </w:r>
      <w:r w:rsidRPr="00E20A8E">
        <w:rPr>
          <w:rFonts w:ascii="Times New Roman" w:hAnsi="Times New Roman" w:cs="Times New Roman"/>
        </w:rPr>
        <w:t>(audience development or staff training, for example)</w:t>
      </w:r>
      <w:r w:rsidR="008459BB" w:rsidRPr="00E20A8E">
        <w:rPr>
          <w:rFonts w:ascii="Times New Roman" w:hAnsi="Times New Roman" w:cs="Times New Roman"/>
        </w:rPr>
        <w:t xml:space="preserve">, or the distribution of functional competencies between staff </w:t>
      </w:r>
      <w:r w:rsidR="00B60AC4" w:rsidRPr="00E20A8E">
        <w:rPr>
          <w:rFonts w:ascii="Times New Roman" w:hAnsi="Times New Roman" w:cs="Times New Roman"/>
        </w:rPr>
        <w:t>members. These</w:t>
      </w:r>
      <w:r w:rsidR="008459BB" w:rsidRPr="00E20A8E">
        <w:rPr>
          <w:rFonts w:ascii="Times New Roman" w:hAnsi="Times New Roman" w:cs="Times New Roman"/>
        </w:rPr>
        <w:t xml:space="preserve"> policies are the focus of the activity undertaken by agents in so far as they are concerned with introducing, incrementally amending, strategically changing and terminating particular directions and intentions that the organisation maintains. Regardless of whether agents operate in a proactive or reactive manner with regard to the policies that the organisation has, they do provide the ground-plan that regulates and controls organisational operations.</w:t>
      </w:r>
      <w:r w:rsidR="0061564E" w:rsidRPr="00E20A8E">
        <w:rPr>
          <w:rFonts w:ascii="Times New Roman" w:hAnsi="Times New Roman" w:cs="Times New Roman"/>
        </w:rPr>
        <w:t xml:space="preserve"> These policies are determined internally by the organisations concerned and are thus analytically distinct from those operating at the meso-level in the form of structural or macro-policies.</w:t>
      </w:r>
    </w:p>
    <w:p w:rsidR="008459BB" w:rsidRPr="00E20A8E" w:rsidRDefault="008459BB" w:rsidP="004D322D">
      <w:pPr>
        <w:spacing w:line="240" w:lineRule="auto"/>
        <w:rPr>
          <w:rFonts w:ascii="Times New Roman" w:hAnsi="Times New Roman" w:cs="Times New Roman"/>
        </w:rPr>
      </w:pPr>
    </w:p>
    <w:p w:rsidR="00B34D78" w:rsidRPr="00E20A8E" w:rsidRDefault="008459BB" w:rsidP="004D322D">
      <w:pPr>
        <w:spacing w:line="240" w:lineRule="auto"/>
        <w:rPr>
          <w:rFonts w:ascii="Times New Roman" w:hAnsi="Times New Roman" w:cs="Times New Roman"/>
        </w:rPr>
      </w:pPr>
      <w:r w:rsidRPr="00E20A8E">
        <w:rPr>
          <w:rFonts w:ascii="Times New Roman" w:hAnsi="Times New Roman" w:cs="Times New Roman"/>
        </w:rPr>
        <w:t xml:space="preserve">Secondly, the policy instruments that are used at the level of the individual organisation </w:t>
      </w:r>
      <w:r w:rsidR="00B34D78" w:rsidRPr="00E20A8E">
        <w:rPr>
          <w:rFonts w:ascii="Times New Roman" w:hAnsi="Times New Roman" w:cs="Times New Roman"/>
        </w:rPr>
        <w:t xml:space="preserve">operate in the same fashion as at the meso-level, establishing the parameters of action </w:t>
      </w:r>
      <w:r w:rsidR="001C79ED" w:rsidRPr="00E20A8E">
        <w:rPr>
          <w:rFonts w:ascii="Times New Roman" w:hAnsi="Times New Roman" w:cs="Times New Roman"/>
        </w:rPr>
        <w:t xml:space="preserve">that </w:t>
      </w:r>
      <w:r w:rsidR="00B34D78" w:rsidRPr="00E20A8E">
        <w:rPr>
          <w:rFonts w:ascii="Times New Roman" w:hAnsi="Times New Roman" w:cs="Times New Roman"/>
        </w:rPr>
        <w:t xml:space="preserve">organisational members are expected (and anticipated) to function </w:t>
      </w:r>
      <w:r w:rsidR="00B60AC4" w:rsidRPr="00E20A8E">
        <w:rPr>
          <w:rFonts w:ascii="Times New Roman" w:hAnsi="Times New Roman" w:cs="Times New Roman"/>
        </w:rPr>
        <w:t>within. Which</w:t>
      </w:r>
      <w:r w:rsidR="00B34D78" w:rsidRPr="00E20A8E">
        <w:rPr>
          <w:rFonts w:ascii="Times New Roman" w:hAnsi="Times New Roman" w:cs="Times New Roman"/>
        </w:rPr>
        <w:t xml:space="preserve"> instruments are utilised, and how these relate to those that are used at the meso-level of structure, are subject to empirical investigation, with an expectation that there will be variations both between levels and between individual organisations (as well as between differing policy sectors) as to these </w:t>
      </w:r>
      <w:r w:rsidR="00B60AC4" w:rsidRPr="00E20A8E">
        <w:rPr>
          <w:rFonts w:ascii="Times New Roman" w:hAnsi="Times New Roman" w:cs="Times New Roman"/>
        </w:rPr>
        <w:t>issues</w:t>
      </w:r>
      <w:r w:rsidR="00685627" w:rsidRPr="00E20A8E">
        <w:rPr>
          <w:rFonts w:ascii="Times New Roman" w:hAnsi="Times New Roman" w:cs="Times New Roman"/>
        </w:rPr>
        <w:t xml:space="preserve"> as a consequence of the different interests, policy concerns and expectations that actors have at differing levels of the organisational universe</w:t>
      </w:r>
      <w:r w:rsidR="00B60AC4" w:rsidRPr="00E20A8E">
        <w:rPr>
          <w:rFonts w:ascii="Times New Roman" w:hAnsi="Times New Roman" w:cs="Times New Roman"/>
        </w:rPr>
        <w:t>. In</w:t>
      </w:r>
      <w:r w:rsidR="00B34D78" w:rsidRPr="00E20A8E">
        <w:rPr>
          <w:rFonts w:ascii="Times New Roman" w:hAnsi="Times New Roman" w:cs="Times New Roman"/>
        </w:rPr>
        <w:t xml:space="preserve"> this case policy instruments are used to identify the policy processes </w:t>
      </w:r>
      <w:r w:rsidR="00842FDD" w:rsidRPr="00E20A8E">
        <w:rPr>
          <w:rFonts w:ascii="Times New Roman" w:hAnsi="Times New Roman" w:cs="Times New Roman"/>
        </w:rPr>
        <w:t xml:space="preserve">and mechanisms </w:t>
      </w:r>
      <w:r w:rsidR="00B34D78" w:rsidRPr="00E20A8E">
        <w:rPr>
          <w:rFonts w:ascii="Times New Roman" w:hAnsi="Times New Roman" w:cs="Times New Roman"/>
        </w:rPr>
        <w:t>that are made use of within</w:t>
      </w:r>
      <w:r w:rsidR="001C79ED" w:rsidRPr="00E20A8E">
        <w:rPr>
          <w:rFonts w:ascii="Times New Roman" w:hAnsi="Times New Roman" w:cs="Times New Roman"/>
        </w:rPr>
        <w:t xml:space="preserve"> particular</w:t>
      </w:r>
      <w:r w:rsidR="00B34D78" w:rsidRPr="00E20A8E">
        <w:rPr>
          <w:rFonts w:ascii="Times New Roman" w:hAnsi="Times New Roman" w:cs="Times New Roman"/>
        </w:rPr>
        <w:t xml:space="preserve"> organisations.</w:t>
      </w:r>
    </w:p>
    <w:p w:rsidR="00B34D78" w:rsidRPr="00E20A8E" w:rsidRDefault="00B34D78" w:rsidP="004D322D">
      <w:pPr>
        <w:spacing w:line="240" w:lineRule="auto"/>
        <w:rPr>
          <w:rFonts w:ascii="Times New Roman" w:hAnsi="Times New Roman" w:cs="Times New Roman"/>
        </w:rPr>
      </w:pPr>
    </w:p>
    <w:p w:rsidR="00CD7FD4" w:rsidRPr="00E20A8E" w:rsidRDefault="00B34D78" w:rsidP="004D322D">
      <w:pPr>
        <w:spacing w:line="240" w:lineRule="auto"/>
        <w:rPr>
          <w:rFonts w:ascii="Times New Roman" w:hAnsi="Times New Roman" w:cs="Times New Roman"/>
        </w:rPr>
      </w:pPr>
      <w:r w:rsidRPr="00E20A8E">
        <w:rPr>
          <w:rFonts w:ascii="Times New Roman" w:hAnsi="Times New Roman" w:cs="Times New Roman"/>
        </w:rPr>
        <w:t>Thirdly, the people who inhabit the organisational space of individual institutions can serve as a structural factor: whether this be simply</w:t>
      </w:r>
      <w:r w:rsidR="00CD7FD4" w:rsidRPr="00E20A8E">
        <w:rPr>
          <w:rFonts w:ascii="Times New Roman" w:hAnsi="Times New Roman" w:cs="Times New Roman"/>
        </w:rPr>
        <w:t xml:space="preserve"> in terms of</w:t>
      </w:r>
      <w:r w:rsidRPr="00E20A8E">
        <w:rPr>
          <w:rFonts w:ascii="Times New Roman" w:hAnsi="Times New Roman" w:cs="Times New Roman"/>
        </w:rPr>
        <w:t xml:space="preserve"> the number of staff that an organisation has, the split between full-time employees and volunteers, </w:t>
      </w:r>
      <w:r w:rsidR="00CD7FD4" w:rsidRPr="00E20A8E">
        <w:rPr>
          <w:rFonts w:ascii="Times New Roman" w:hAnsi="Times New Roman" w:cs="Times New Roman"/>
        </w:rPr>
        <w:t>or</w:t>
      </w:r>
      <w:r w:rsidRPr="00E20A8E">
        <w:rPr>
          <w:rFonts w:ascii="Times New Roman" w:hAnsi="Times New Roman" w:cs="Times New Roman"/>
        </w:rPr>
        <w:t xml:space="preserve"> the distribution of professional resources within the organisation, </w:t>
      </w:r>
      <w:r w:rsidR="00217C02" w:rsidRPr="00E20A8E">
        <w:rPr>
          <w:rFonts w:ascii="Times New Roman" w:hAnsi="Times New Roman" w:cs="Times New Roman"/>
        </w:rPr>
        <w:t>all can</w:t>
      </w:r>
      <w:r w:rsidRPr="00E20A8E">
        <w:rPr>
          <w:rFonts w:ascii="Times New Roman" w:hAnsi="Times New Roman" w:cs="Times New Roman"/>
        </w:rPr>
        <w:t xml:space="preserve"> affect the policy capabilities that exist. At the simplest level the existence of in-house </w:t>
      </w:r>
      <w:r w:rsidR="001C79ED" w:rsidRPr="00E20A8E">
        <w:rPr>
          <w:rFonts w:ascii="Times New Roman" w:hAnsi="Times New Roman" w:cs="Times New Roman"/>
        </w:rPr>
        <w:t>professional</w:t>
      </w:r>
      <w:r w:rsidRPr="00E20A8E">
        <w:rPr>
          <w:rFonts w:ascii="Times New Roman" w:hAnsi="Times New Roman" w:cs="Times New Roman"/>
        </w:rPr>
        <w:t xml:space="preserve"> staff ha</w:t>
      </w:r>
      <w:r w:rsidR="00343BD5" w:rsidRPr="00E20A8E">
        <w:rPr>
          <w:rFonts w:ascii="Times New Roman" w:hAnsi="Times New Roman" w:cs="Times New Roman"/>
        </w:rPr>
        <w:t>s obvious implications for what will be seen as ‘good practice’ and ‘best practice’ for organisational operations</w:t>
      </w:r>
      <w:r w:rsidR="00CD7FD4" w:rsidRPr="00E20A8E">
        <w:rPr>
          <w:rFonts w:ascii="Times New Roman" w:hAnsi="Times New Roman" w:cs="Times New Roman"/>
        </w:rPr>
        <w:t xml:space="preserve">, while the argument of </w:t>
      </w:r>
      <w:r w:rsidR="00752C7E" w:rsidRPr="00E20A8E">
        <w:rPr>
          <w:rFonts w:ascii="Times New Roman" w:hAnsi="Times New Roman" w:cs="Times New Roman"/>
        </w:rPr>
        <w:t xml:space="preserve">Newman &amp; Tourle </w:t>
      </w:r>
      <w:r w:rsidR="00CD7FD4" w:rsidRPr="00E20A8E">
        <w:rPr>
          <w:rFonts w:ascii="Times New Roman" w:hAnsi="Times New Roman" w:cs="Times New Roman"/>
        </w:rPr>
        <w:t xml:space="preserve">(2011) about the potential long-term implications of cuts in full-time staff numbers </w:t>
      </w:r>
      <w:r w:rsidR="00343BD5" w:rsidRPr="00E20A8E">
        <w:rPr>
          <w:rFonts w:ascii="Times New Roman" w:hAnsi="Times New Roman" w:cs="Times New Roman"/>
        </w:rPr>
        <w:t xml:space="preserve">in the museums sector in England and Wales </w:t>
      </w:r>
      <w:r w:rsidR="00CD7FD4" w:rsidRPr="00E20A8E">
        <w:rPr>
          <w:rFonts w:ascii="Times New Roman" w:hAnsi="Times New Roman" w:cs="Times New Roman"/>
        </w:rPr>
        <w:t xml:space="preserve">effectively focuses on the competencies and capabilities of </w:t>
      </w:r>
      <w:r w:rsidR="00343BD5" w:rsidRPr="00E20A8E">
        <w:rPr>
          <w:rFonts w:ascii="Times New Roman" w:hAnsi="Times New Roman" w:cs="Times New Roman"/>
        </w:rPr>
        <w:t>the sector</w:t>
      </w:r>
      <w:r w:rsidR="00CD7FD4" w:rsidRPr="00E20A8E">
        <w:rPr>
          <w:rFonts w:ascii="Times New Roman" w:hAnsi="Times New Roman" w:cs="Times New Roman"/>
        </w:rPr>
        <w:t xml:space="preserve"> to serve the </w:t>
      </w:r>
      <w:r w:rsidR="00B60AC4" w:rsidRPr="00E20A8E">
        <w:rPr>
          <w:rFonts w:ascii="Times New Roman" w:hAnsi="Times New Roman" w:cs="Times New Roman"/>
        </w:rPr>
        <w:t>public</w:t>
      </w:r>
      <w:r w:rsidR="00343BD5" w:rsidRPr="00E20A8E">
        <w:rPr>
          <w:rFonts w:ascii="Times New Roman" w:hAnsi="Times New Roman" w:cs="Times New Roman"/>
        </w:rPr>
        <w:t xml:space="preserve"> at all</w:t>
      </w:r>
      <w:r w:rsidR="00B60AC4" w:rsidRPr="00E20A8E">
        <w:rPr>
          <w:rFonts w:ascii="Times New Roman" w:hAnsi="Times New Roman" w:cs="Times New Roman"/>
        </w:rPr>
        <w:t>. Regardless</w:t>
      </w:r>
      <w:r w:rsidR="00CD7FD4" w:rsidRPr="00E20A8E">
        <w:rPr>
          <w:rFonts w:ascii="Times New Roman" w:hAnsi="Times New Roman" w:cs="Times New Roman"/>
        </w:rPr>
        <w:t xml:space="preserve"> of the consequences in terms of agency choice that arise from these concerns</w:t>
      </w:r>
      <w:r w:rsidR="00685627" w:rsidRPr="00E20A8E">
        <w:rPr>
          <w:rFonts w:ascii="Times New Roman" w:hAnsi="Times New Roman" w:cs="Times New Roman"/>
        </w:rPr>
        <w:t>,</w:t>
      </w:r>
      <w:r w:rsidR="00CD7FD4" w:rsidRPr="00E20A8E">
        <w:rPr>
          <w:rFonts w:ascii="Times New Roman" w:hAnsi="Times New Roman" w:cs="Times New Roman"/>
        </w:rPr>
        <w:t xml:space="preserve"> the general treatment of the human element as a structural constraint or opportunity for </w:t>
      </w:r>
      <w:r w:rsidR="00343BD5" w:rsidRPr="00E20A8E">
        <w:rPr>
          <w:rFonts w:ascii="Times New Roman" w:hAnsi="Times New Roman" w:cs="Times New Roman"/>
        </w:rPr>
        <w:t>the functioning of the cultural sector</w:t>
      </w:r>
      <w:r w:rsidR="00CD7FD4" w:rsidRPr="00E20A8E">
        <w:rPr>
          <w:rFonts w:ascii="Times New Roman" w:hAnsi="Times New Roman" w:cs="Times New Roman"/>
        </w:rPr>
        <w:t xml:space="preserve"> shifts attention to the general </w:t>
      </w:r>
      <w:r w:rsidR="00343BD5" w:rsidRPr="00E20A8E">
        <w:rPr>
          <w:rFonts w:ascii="Times New Roman" w:hAnsi="Times New Roman" w:cs="Times New Roman"/>
        </w:rPr>
        <w:t xml:space="preserve">staffing </w:t>
      </w:r>
      <w:r w:rsidR="00CD7FD4" w:rsidRPr="00E20A8E">
        <w:rPr>
          <w:rFonts w:ascii="Times New Roman" w:hAnsi="Times New Roman" w:cs="Times New Roman"/>
        </w:rPr>
        <w:t>context within which these organisations operate.</w:t>
      </w:r>
    </w:p>
    <w:p w:rsidR="00CD7FD4" w:rsidRPr="00E20A8E" w:rsidRDefault="00CD7FD4" w:rsidP="004D322D">
      <w:pPr>
        <w:spacing w:line="240" w:lineRule="auto"/>
        <w:rPr>
          <w:rFonts w:ascii="Times New Roman" w:hAnsi="Times New Roman" w:cs="Times New Roman"/>
        </w:rPr>
      </w:pPr>
    </w:p>
    <w:p w:rsidR="00CD7FD4" w:rsidRPr="00E20A8E" w:rsidRDefault="00CD7FD4" w:rsidP="004D322D">
      <w:pPr>
        <w:spacing w:line="240" w:lineRule="auto"/>
        <w:rPr>
          <w:rFonts w:ascii="Times New Roman" w:hAnsi="Times New Roman" w:cs="Times New Roman"/>
        </w:rPr>
      </w:pPr>
      <w:r w:rsidRPr="00E20A8E">
        <w:rPr>
          <w:rFonts w:ascii="Times New Roman" w:hAnsi="Times New Roman" w:cs="Times New Roman"/>
        </w:rPr>
        <w:t xml:space="preserve">Fourthly, the distribution of power within individual organisations, or which affects organisational functioning, has important implications for understanding the specific </w:t>
      </w:r>
      <w:r w:rsidR="009A4AA9" w:rsidRPr="00E20A8E">
        <w:rPr>
          <w:rFonts w:ascii="Times New Roman" w:hAnsi="Times New Roman" w:cs="Times New Roman"/>
        </w:rPr>
        <w:t xml:space="preserve">policy </w:t>
      </w:r>
      <w:r w:rsidRPr="00E20A8E">
        <w:rPr>
          <w:rFonts w:ascii="Times New Roman" w:hAnsi="Times New Roman" w:cs="Times New Roman"/>
        </w:rPr>
        <w:t xml:space="preserve">choices and decisions that are made. </w:t>
      </w:r>
      <w:r w:rsidR="00BA3D7F" w:rsidRPr="00E20A8E">
        <w:rPr>
          <w:rFonts w:ascii="Times New Roman" w:hAnsi="Times New Roman" w:cs="Times New Roman"/>
        </w:rPr>
        <w:t xml:space="preserve">Whilst the relatively oligarchic nature of policy-making across cultural sectors has been commonly identified (see, for example, Gray, 2000 on the arts sector) what occurs within specific organisations is less clear. Certainly differences between, for example, national, local authority, private and </w:t>
      </w:r>
      <w:r w:rsidR="00685627" w:rsidRPr="00E20A8E">
        <w:rPr>
          <w:rFonts w:ascii="Times New Roman" w:hAnsi="Times New Roman" w:cs="Times New Roman"/>
        </w:rPr>
        <w:t xml:space="preserve">community </w:t>
      </w:r>
      <w:r w:rsidR="00AD7136" w:rsidRPr="00E20A8E">
        <w:rPr>
          <w:rFonts w:ascii="Times New Roman" w:hAnsi="Times New Roman" w:cs="Times New Roman"/>
        </w:rPr>
        <w:t>theatres</w:t>
      </w:r>
      <w:r w:rsidR="00BA3D7F" w:rsidRPr="00E20A8E">
        <w:rPr>
          <w:rFonts w:ascii="Times New Roman" w:hAnsi="Times New Roman" w:cs="Times New Roman"/>
        </w:rPr>
        <w:t xml:space="preserve"> would be anticipated not least because of the formal structural relationships that have been established between national </w:t>
      </w:r>
      <w:r w:rsidR="00AD7136" w:rsidRPr="00E20A8E">
        <w:rPr>
          <w:rFonts w:ascii="Times New Roman" w:hAnsi="Times New Roman" w:cs="Times New Roman"/>
        </w:rPr>
        <w:t xml:space="preserve">theatre </w:t>
      </w:r>
      <w:r w:rsidR="00BA3D7F" w:rsidRPr="00E20A8E">
        <w:rPr>
          <w:rFonts w:ascii="Times New Roman" w:hAnsi="Times New Roman" w:cs="Times New Roman"/>
        </w:rPr>
        <w:t>Boards and Directors and government ministers, local authority managers and</w:t>
      </w:r>
      <w:r w:rsidR="00AD7136" w:rsidRPr="00E20A8E">
        <w:rPr>
          <w:rFonts w:ascii="Times New Roman" w:hAnsi="Times New Roman" w:cs="Times New Roman"/>
        </w:rPr>
        <w:t xml:space="preserve"> elected</w:t>
      </w:r>
      <w:r w:rsidR="00BA3D7F" w:rsidRPr="00E20A8E">
        <w:rPr>
          <w:rFonts w:ascii="Times New Roman" w:hAnsi="Times New Roman" w:cs="Times New Roman"/>
        </w:rPr>
        <w:t xml:space="preserve"> councillors, and the Boards of private trusts and foundations</w:t>
      </w:r>
      <w:r w:rsidR="00AD7136" w:rsidRPr="00E20A8E">
        <w:rPr>
          <w:rFonts w:ascii="Times New Roman" w:hAnsi="Times New Roman" w:cs="Times New Roman"/>
        </w:rPr>
        <w:t xml:space="preserve"> or companies</w:t>
      </w:r>
      <w:r w:rsidR="00BA3D7F" w:rsidRPr="00E20A8E">
        <w:rPr>
          <w:rFonts w:ascii="Times New Roman" w:hAnsi="Times New Roman" w:cs="Times New Roman"/>
        </w:rPr>
        <w:t xml:space="preserve"> and their managers</w:t>
      </w:r>
      <w:r w:rsidR="00AD7136" w:rsidRPr="00E20A8E">
        <w:rPr>
          <w:rFonts w:ascii="Times New Roman" w:hAnsi="Times New Roman" w:cs="Times New Roman"/>
        </w:rPr>
        <w:t>,d</w:t>
      </w:r>
      <w:r w:rsidR="00BA3D7F" w:rsidRPr="00E20A8E">
        <w:rPr>
          <w:rFonts w:ascii="Times New Roman" w:hAnsi="Times New Roman" w:cs="Times New Roman"/>
        </w:rPr>
        <w:t>irectors</w:t>
      </w:r>
      <w:r w:rsidR="00685627" w:rsidRPr="00E20A8E">
        <w:rPr>
          <w:rFonts w:ascii="Times New Roman" w:hAnsi="Times New Roman" w:cs="Times New Roman"/>
        </w:rPr>
        <w:t>, communities</w:t>
      </w:r>
      <w:r w:rsidR="00AD7136" w:rsidRPr="00E20A8E">
        <w:rPr>
          <w:rFonts w:ascii="Times New Roman" w:hAnsi="Times New Roman" w:cs="Times New Roman"/>
        </w:rPr>
        <w:t xml:space="preserve"> and</w:t>
      </w:r>
      <w:r w:rsidR="00685627" w:rsidRPr="00E20A8E">
        <w:rPr>
          <w:rFonts w:ascii="Times New Roman" w:hAnsi="Times New Roman" w:cs="Times New Roman"/>
        </w:rPr>
        <w:t>/or</w:t>
      </w:r>
      <w:r w:rsidR="00AD7136" w:rsidRPr="00E20A8E">
        <w:rPr>
          <w:rFonts w:ascii="Times New Roman" w:hAnsi="Times New Roman" w:cs="Times New Roman"/>
        </w:rPr>
        <w:t xml:space="preserve"> shareholders</w:t>
      </w:r>
      <w:r w:rsidR="00BA3D7F" w:rsidRPr="00E20A8E">
        <w:rPr>
          <w:rFonts w:ascii="Times New Roman" w:hAnsi="Times New Roman" w:cs="Times New Roman"/>
        </w:rPr>
        <w:t>. The level at which effective policy is made, and whether this is made in a top-down, bottom-up or collaborative fashion will affect the types of policy that are made, how these will be expected to be implemented and evaluated, and how they will relate to meso-level expectations in terms of policy priorities and agendas</w:t>
      </w:r>
      <w:r w:rsidR="00E00E40" w:rsidRPr="00E20A8E">
        <w:rPr>
          <w:rFonts w:ascii="Times New Roman" w:hAnsi="Times New Roman" w:cs="Times New Roman"/>
        </w:rPr>
        <w:t>, structural and macro-</w:t>
      </w:r>
      <w:r w:rsidR="00B60AC4" w:rsidRPr="00E20A8E">
        <w:rPr>
          <w:rFonts w:ascii="Times New Roman" w:hAnsi="Times New Roman" w:cs="Times New Roman"/>
        </w:rPr>
        <w:t>policies. While</w:t>
      </w:r>
      <w:r w:rsidR="00E00E40" w:rsidRPr="00E20A8E">
        <w:rPr>
          <w:rFonts w:ascii="Times New Roman" w:hAnsi="Times New Roman" w:cs="Times New Roman"/>
        </w:rPr>
        <w:t xml:space="preserve"> the distribution of power would be expected to vary to some extent between issues and over time, for any particular policy case who the </w:t>
      </w:r>
      <w:r w:rsidR="00AD7136" w:rsidRPr="00E20A8E">
        <w:rPr>
          <w:rFonts w:ascii="Times New Roman" w:hAnsi="Times New Roman" w:cs="Times New Roman"/>
        </w:rPr>
        <w:t xml:space="preserve">effective </w:t>
      </w:r>
      <w:r w:rsidR="00E00E40" w:rsidRPr="00E20A8E">
        <w:rPr>
          <w:rFonts w:ascii="Times New Roman" w:hAnsi="Times New Roman" w:cs="Times New Roman"/>
        </w:rPr>
        <w:t>policy-makers are</w:t>
      </w:r>
      <w:r w:rsidR="00AD7136" w:rsidRPr="00E20A8E">
        <w:rPr>
          <w:rFonts w:ascii="Times New Roman" w:hAnsi="Times New Roman" w:cs="Times New Roman"/>
        </w:rPr>
        <w:t>,</w:t>
      </w:r>
      <w:r w:rsidR="000830AF" w:rsidRPr="00E20A8E">
        <w:rPr>
          <w:rFonts w:ascii="Times New Roman" w:hAnsi="Times New Roman" w:cs="Times New Roman"/>
        </w:rPr>
        <w:t xml:space="preserve"> </w:t>
      </w:r>
      <w:r w:rsidR="00AD7136" w:rsidRPr="00E20A8E">
        <w:rPr>
          <w:rFonts w:ascii="Times New Roman" w:hAnsi="Times New Roman" w:cs="Times New Roman"/>
        </w:rPr>
        <w:t xml:space="preserve">in terms of who wields power, </w:t>
      </w:r>
      <w:r w:rsidR="00E00E40" w:rsidRPr="00E20A8E">
        <w:rPr>
          <w:rFonts w:ascii="Times New Roman" w:hAnsi="Times New Roman" w:cs="Times New Roman"/>
        </w:rPr>
        <w:t xml:space="preserve">will be of </w:t>
      </w:r>
      <w:r w:rsidR="00AD7136" w:rsidRPr="00E20A8E">
        <w:rPr>
          <w:rFonts w:ascii="Times New Roman" w:hAnsi="Times New Roman" w:cs="Times New Roman"/>
        </w:rPr>
        <w:t xml:space="preserve">some </w:t>
      </w:r>
      <w:r w:rsidR="00E00E40" w:rsidRPr="00E20A8E">
        <w:rPr>
          <w:rFonts w:ascii="Times New Roman" w:hAnsi="Times New Roman" w:cs="Times New Roman"/>
        </w:rPr>
        <w:t>significance for the resultant policy outcomes.</w:t>
      </w:r>
    </w:p>
    <w:p w:rsidR="00E00E40" w:rsidRPr="00E20A8E" w:rsidRDefault="00E00E40" w:rsidP="004D322D">
      <w:pPr>
        <w:spacing w:line="240" w:lineRule="auto"/>
        <w:rPr>
          <w:rFonts w:ascii="Times New Roman" w:hAnsi="Times New Roman" w:cs="Times New Roman"/>
        </w:rPr>
      </w:pPr>
    </w:p>
    <w:p w:rsidR="00685FC4" w:rsidRPr="00E20A8E" w:rsidRDefault="00E00E40" w:rsidP="004D322D">
      <w:pPr>
        <w:spacing w:line="240" w:lineRule="auto"/>
        <w:rPr>
          <w:rFonts w:ascii="Times New Roman" w:hAnsi="Times New Roman" w:cs="Times New Roman"/>
        </w:rPr>
      </w:pPr>
      <w:r w:rsidRPr="00E20A8E">
        <w:rPr>
          <w:rFonts w:ascii="Times New Roman" w:hAnsi="Times New Roman" w:cs="Times New Roman"/>
        </w:rPr>
        <w:t>Finally, the specific resources in terms of money that are available to the organisation or organisations concerned will have obvious policy consequences – not least in terms of the people and professional and technical competencies that organisations can make use of</w:t>
      </w:r>
      <w:r w:rsidR="00AD7136" w:rsidRPr="00E20A8E">
        <w:rPr>
          <w:rFonts w:ascii="Times New Roman" w:hAnsi="Times New Roman" w:cs="Times New Roman"/>
        </w:rPr>
        <w:t>, let alone in terms of what can be produced and how much of it can be produced</w:t>
      </w:r>
      <w:r w:rsidRPr="00E20A8E">
        <w:rPr>
          <w:rFonts w:ascii="Times New Roman" w:hAnsi="Times New Roman" w:cs="Times New Roman"/>
        </w:rPr>
        <w:t xml:space="preserve">. </w:t>
      </w:r>
      <w:r w:rsidR="00842FDD" w:rsidRPr="00E20A8E">
        <w:rPr>
          <w:rFonts w:ascii="Times New Roman" w:hAnsi="Times New Roman" w:cs="Times New Roman"/>
        </w:rPr>
        <w:t>Whil</w:t>
      </w:r>
      <w:r w:rsidR="009C4E65" w:rsidRPr="00E20A8E">
        <w:rPr>
          <w:rFonts w:ascii="Times New Roman" w:hAnsi="Times New Roman" w:cs="Times New Roman"/>
        </w:rPr>
        <w:t>st</w:t>
      </w:r>
      <w:r w:rsidR="00842FDD" w:rsidRPr="00E20A8E">
        <w:rPr>
          <w:rFonts w:ascii="Times New Roman" w:hAnsi="Times New Roman" w:cs="Times New Roman"/>
        </w:rPr>
        <w:t xml:space="preserve"> finance (under various labels) is a common policy instrument (Howlett, 2012, 101-13)</w:t>
      </w:r>
      <w:r w:rsidR="00A1102C" w:rsidRPr="00E20A8E">
        <w:rPr>
          <w:rFonts w:ascii="Times New Roman" w:hAnsi="Times New Roman" w:cs="Times New Roman"/>
        </w:rPr>
        <w:t>,</w:t>
      </w:r>
      <w:r w:rsidR="009C4E65" w:rsidRPr="00E20A8E">
        <w:rPr>
          <w:rFonts w:ascii="Times New Roman" w:hAnsi="Times New Roman" w:cs="Times New Roman"/>
        </w:rPr>
        <w:t xml:space="preserve"> the actual detail of how it is used, and what it is spent on, in any given organisation is subject to the choices and actions of the members of that organisation</w:t>
      </w:r>
      <w:r w:rsidR="009C4E65" w:rsidRPr="00E20A8E">
        <w:rPr>
          <w:rStyle w:val="FootnoteReference"/>
          <w:rFonts w:ascii="Times New Roman" w:hAnsi="Times New Roman" w:cs="Times New Roman"/>
        </w:rPr>
        <w:footnoteReference w:id="21"/>
      </w:r>
      <w:r w:rsidR="009C4E65" w:rsidRPr="00E20A8E">
        <w:rPr>
          <w:rFonts w:ascii="Times New Roman" w:hAnsi="Times New Roman" w:cs="Times New Roman"/>
        </w:rPr>
        <w:t>. These decisions and choices can then act as structural limitations to policy choices depending upon the degree of budgetary flexibility that is available to organisational members, and this flexibility can be limited by a variety of legal, political, moral and technical boundaries</w:t>
      </w:r>
      <w:r w:rsidR="00AF4158" w:rsidRPr="00E20A8E">
        <w:rPr>
          <w:rFonts w:ascii="Times New Roman" w:hAnsi="Times New Roman" w:cs="Times New Roman"/>
        </w:rPr>
        <w:t xml:space="preserve"> that have been established at all of the macro-, meso- and micro- levels</w:t>
      </w:r>
      <w:r w:rsidR="009C4E65" w:rsidRPr="00E20A8E">
        <w:rPr>
          <w:rFonts w:ascii="Times New Roman" w:hAnsi="Times New Roman" w:cs="Times New Roman"/>
        </w:rPr>
        <w:t>.</w:t>
      </w:r>
      <w:r w:rsidR="00AF4158" w:rsidRPr="00E20A8E">
        <w:rPr>
          <w:rFonts w:ascii="Times New Roman" w:hAnsi="Times New Roman" w:cs="Times New Roman"/>
        </w:rPr>
        <w:t xml:space="preserve"> Identifying these boundaries to flexibility can thus help to establish the extent to which financing is subject to structural and/or agential limits and the consequences of this for patterns of policy choice.</w:t>
      </w:r>
    </w:p>
    <w:p w:rsidR="00685FC4" w:rsidRPr="00E20A8E" w:rsidRDefault="00685FC4" w:rsidP="004D322D">
      <w:pPr>
        <w:spacing w:line="240" w:lineRule="auto"/>
        <w:rPr>
          <w:rFonts w:ascii="Times New Roman" w:hAnsi="Times New Roman" w:cs="Times New Roman"/>
        </w:rPr>
      </w:pPr>
    </w:p>
    <w:p w:rsidR="00AD7136" w:rsidRPr="00E20A8E" w:rsidRDefault="00AD7136" w:rsidP="004D322D">
      <w:pPr>
        <w:spacing w:line="240" w:lineRule="auto"/>
        <w:rPr>
          <w:rFonts w:ascii="Times New Roman" w:hAnsi="Times New Roman" w:cs="Times New Roman"/>
        </w:rPr>
      </w:pPr>
      <w:r w:rsidRPr="00E20A8E">
        <w:rPr>
          <w:rFonts w:ascii="Times New Roman" w:hAnsi="Times New Roman" w:cs="Times New Roman"/>
          <w:b/>
        </w:rPr>
        <w:t>Visualising Policy Structures</w:t>
      </w:r>
    </w:p>
    <w:p w:rsidR="00AD7136" w:rsidRPr="00E20A8E" w:rsidRDefault="00AD7136" w:rsidP="004D322D">
      <w:pPr>
        <w:spacing w:line="240" w:lineRule="auto"/>
        <w:rPr>
          <w:rFonts w:ascii="Times New Roman" w:hAnsi="Times New Roman" w:cs="Times New Roman"/>
        </w:rPr>
      </w:pPr>
      <w:r w:rsidRPr="00E20A8E">
        <w:rPr>
          <w:rFonts w:ascii="Times New Roman" w:hAnsi="Times New Roman" w:cs="Times New Roman"/>
        </w:rPr>
        <w:t>It is possible to bring together the range of variables that have been identified so far to pictorially illustrate the relationships that are posited to exist between them. Such identification is important unless it is assumed that there are simply a series of independent effects that these variables have on the overall structure of cultural policies. If, on the other hand, it is assumed that there are a series of connections between these variables which can serve to mutually reinforce</w:t>
      </w:r>
      <w:r w:rsidR="000830AF" w:rsidRPr="00E20A8E">
        <w:rPr>
          <w:rFonts w:ascii="Times New Roman" w:hAnsi="Times New Roman" w:cs="Times New Roman"/>
        </w:rPr>
        <w:t>,</w:t>
      </w:r>
      <w:r w:rsidRPr="00E20A8E">
        <w:rPr>
          <w:rFonts w:ascii="Times New Roman" w:hAnsi="Times New Roman" w:cs="Times New Roman"/>
        </w:rPr>
        <w:t xml:space="preserve"> </w:t>
      </w:r>
      <w:r w:rsidR="000830AF" w:rsidRPr="00E20A8E">
        <w:rPr>
          <w:rFonts w:ascii="Times New Roman" w:hAnsi="Times New Roman" w:cs="Times New Roman"/>
        </w:rPr>
        <w:t xml:space="preserve">or work counter to, </w:t>
      </w:r>
      <w:r w:rsidRPr="00E20A8E">
        <w:rPr>
          <w:rFonts w:ascii="Times New Roman" w:hAnsi="Times New Roman" w:cs="Times New Roman"/>
        </w:rPr>
        <w:t xml:space="preserve">their </w:t>
      </w:r>
      <w:r w:rsidR="000830AF" w:rsidRPr="00E20A8E">
        <w:rPr>
          <w:rFonts w:ascii="Times New Roman" w:hAnsi="Times New Roman" w:cs="Times New Roman"/>
        </w:rPr>
        <w:t xml:space="preserve">individual </w:t>
      </w:r>
      <w:r w:rsidRPr="00E20A8E">
        <w:rPr>
          <w:rFonts w:ascii="Times New Roman" w:hAnsi="Times New Roman" w:cs="Times New Roman"/>
        </w:rPr>
        <w:t>effects</w:t>
      </w:r>
      <w:r w:rsidR="002E7E29" w:rsidRPr="00E20A8E">
        <w:rPr>
          <w:rFonts w:ascii="Times New Roman" w:hAnsi="Times New Roman" w:cs="Times New Roman"/>
        </w:rPr>
        <w:t xml:space="preserve">, or, less dynamically, to simply demonstrate how they are related to each other, then some means of representing these reinforcements or relationships can serve to clarify the overall picture. Two images of these relationships are employed to demonstrate different ways of thinking about the interconnections that exist in terms of these structural variables. </w:t>
      </w:r>
    </w:p>
    <w:p w:rsidR="00381C85" w:rsidRPr="00E20A8E" w:rsidRDefault="00381C85" w:rsidP="004D322D">
      <w:pPr>
        <w:spacing w:line="240" w:lineRule="auto"/>
        <w:rPr>
          <w:rFonts w:ascii="Times New Roman" w:hAnsi="Times New Roman" w:cs="Times New Roman"/>
        </w:rPr>
      </w:pPr>
    </w:p>
    <w:p w:rsidR="00711411" w:rsidRPr="00E20A8E" w:rsidRDefault="00685FC4" w:rsidP="004D322D">
      <w:pPr>
        <w:spacing w:line="240" w:lineRule="auto"/>
        <w:rPr>
          <w:rFonts w:ascii="Times New Roman" w:hAnsi="Times New Roman" w:cs="Times New Roman"/>
        </w:rPr>
      </w:pPr>
      <w:r w:rsidRPr="00E20A8E">
        <w:rPr>
          <w:rFonts w:ascii="Times New Roman" w:hAnsi="Times New Roman" w:cs="Times New Roman"/>
        </w:rPr>
        <w:t xml:space="preserve"> Figure 1</w:t>
      </w:r>
      <w:r w:rsidR="000830AF" w:rsidRPr="00E20A8E">
        <w:rPr>
          <w:rFonts w:ascii="Times New Roman" w:hAnsi="Times New Roman" w:cs="Times New Roman"/>
        </w:rPr>
        <w:t xml:space="preserve"> </w:t>
      </w:r>
      <w:r w:rsidRPr="00E20A8E">
        <w:rPr>
          <w:rFonts w:ascii="Times New Roman" w:hAnsi="Times New Roman" w:cs="Times New Roman"/>
        </w:rPr>
        <w:t xml:space="preserve">is </w:t>
      </w:r>
      <w:r w:rsidR="00381C85" w:rsidRPr="00E20A8E">
        <w:rPr>
          <w:rFonts w:ascii="Times New Roman" w:hAnsi="Times New Roman" w:cs="Times New Roman"/>
        </w:rPr>
        <w:t xml:space="preserve">organised in terms of </w:t>
      </w:r>
      <w:r w:rsidRPr="00E20A8E">
        <w:rPr>
          <w:rFonts w:ascii="Times New Roman" w:hAnsi="Times New Roman" w:cs="Times New Roman"/>
        </w:rPr>
        <w:t>the increasing (from the centre out) or decreasing (from the periphery in) generality in terms of the specific impact that each set of variables has for the overall</w:t>
      </w:r>
      <w:r w:rsidR="000830AF" w:rsidRPr="00E20A8E">
        <w:rPr>
          <w:rFonts w:ascii="Times New Roman" w:hAnsi="Times New Roman" w:cs="Times New Roman"/>
        </w:rPr>
        <w:t xml:space="preserve"> </w:t>
      </w:r>
      <w:r w:rsidRPr="00E20A8E">
        <w:rPr>
          <w:rFonts w:ascii="Times New Roman" w:hAnsi="Times New Roman" w:cs="Times New Roman"/>
        </w:rPr>
        <w:t xml:space="preserve">shaping of </w:t>
      </w:r>
      <w:r w:rsidR="00381C85" w:rsidRPr="00E20A8E">
        <w:rPr>
          <w:rFonts w:ascii="Times New Roman" w:hAnsi="Times New Roman" w:cs="Times New Roman"/>
        </w:rPr>
        <w:t xml:space="preserve">cultural </w:t>
      </w:r>
      <w:r w:rsidRPr="00E20A8E">
        <w:rPr>
          <w:rFonts w:ascii="Times New Roman" w:hAnsi="Times New Roman" w:cs="Times New Roman"/>
        </w:rPr>
        <w:t>polic</w:t>
      </w:r>
      <w:r w:rsidR="00381C85" w:rsidRPr="00E20A8E">
        <w:rPr>
          <w:rFonts w:ascii="Times New Roman" w:hAnsi="Times New Roman" w:cs="Times New Roman"/>
        </w:rPr>
        <w:t>ie</w:t>
      </w:r>
      <w:r w:rsidR="00711411" w:rsidRPr="00E20A8E">
        <w:rPr>
          <w:rFonts w:ascii="Times New Roman" w:hAnsi="Times New Roman" w:cs="Times New Roman"/>
        </w:rPr>
        <w:t>s. The precise effect of each set of variables (and each individual variable) on policies will depend upon what questions are being asked</w:t>
      </w:r>
      <w:r w:rsidR="009C11E4" w:rsidRPr="00E20A8E">
        <w:rPr>
          <w:rFonts w:ascii="Times New Roman" w:hAnsi="Times New Roman" w:cs="Times New Roman"/>
        </w:rPr>
        <w:t xml:space="preserve"> and what the focus of analysis is to be. </w:t>
      </w:r>
      <w:r w:rsidR="009C11E4" w:rsidRPr="00E20A8E">
        <w:rPr>
          <w:rFonts w:ascii="Times New Roman" w:hAnsi="Times New Roman" w:cs="Times New Roman"/>
        </w:rPr>
        <w:lastRenderedPageBreak/>
        <w:t>In general terms, however, it is anticipated that the outer circle of ideology, legitimacy and rationality will tend to have more general effects on policy, and will operate in a largely constraining fashion in doing so. The inner-most circle, on the other hand, is anticipated to have much more direct effects on the internal dynamics of policy activity in any given organisational case</w:t>
      </w:r>
      <w:r w:rsidR="00685627" w:rsidRPr="00E20A8E">
        <w:rPr>
          <w:rFonts w:ascii="Times New Roman" w:hAnsi="Times New Roman" w:cs="Times New Roman"/>
        </w:rPr>
        <w:t>, and may be constraining or liberating depending upon individual circumstances and cases</w:t>
      </w:r>
      <w:r w:rsidR="009C11E4" w:rsidRPr="00E20A8E">
        <w:rPr>
          <w:rFonts w:ascii="Times New Roman" w:hAnsi="Times New Roman" w:cs="Times New Roman"/>
        </w:rPr>
        <w:t xml:space="preserve">.In effect this constructs a form of core/periphery relationship between the variables that posits a relatively separate set of </w:t>
      </w:r>
      <w:r w:rsidR="000830AF" w:rsidRPr="00E20A8E">
        <w:rPr>
          <w:rFonts w:ascii="Times New Roman" w:hAnsi="Times New Roman" w:cs="Times New Roman"/>
        </w:rPr>
        <w:t xml:space="preserve">effects arising from </w:t>
      </w:r>
      <w:r w:rsidR="009C11E4" w:rsidRPr="00E20A8E">
        <w:rPr>
          <w:rFonts w:ascii="Times New Roman" w:hAnsi="Times New Roman" w:cs="Times New Roman"/>
        </w:rPr>
        <w:t>each group.</w:t>
      </w:r>
    </w:p>
    <w:p w:rsidR="00DE62A5" w:rsidRPr="00E20A8E" w:rsidRDefault="00DE62A5" w:rsidP="004D322D">
      <w:pPr>
        <w:spacing w:line="240" w:lineRule="auto"/>
        <w:rPr>
          <w:rFonts w:ascii="Times New Roman" w:hAnsi="Times New Roman" w:cs="Times New Roman"/>
        </w:rPr>
      </w:pPr>
    </w:p>
    <w:p w:rsidR="00AA0107" w:rsidRPr="00E20A8E" w:rsidRDefault="00DE62A5" w:rsidP="004D322D">
      <w:pPr>
        <w:spacing w:line="240" w:lineRule="auto"/>
        <w:rPr>
          <w:rFonts w:ascii="Times New Roman" w:hAnsi="Times New Roman" w:cs="Times New Roman"/>
        </w:rPr>
      </w:pPr>
      <w:r w:rsidRPr="00E20A8E">
        <w:rPr>
          <w:rFonts w:ascii="Times New Roman" w:hAnsi="Times New Roman" w:cs="Times New Roman"/>
        </w:rPr>
        <w:t xml:space="preserve">Figure 2 adopts a different visualisation of the relationships that exist between the variables </w:t>
      </w:r>
      <w:r w:rsidR="00190627" w:rsidRPr="00E20A8E">
        <w:rPr>
          <w:rFonts w:ascii="Times New Roman" w:hAnsi="Times New Roman" w:cs="Times New Roman"/>
        </w:rPr>
        <w:t>by concentrating on the inter-relationships between them individually rather than between them as levels. In this version i</w:t>
      </w:r>
      <w:r w:rsidR="00685627" w:rsidRPr="00E20A8E">
        <w:rPr>
          <w:rFonts w:ascii="Times New Roman" w:hAnsi="Times New Roman" w:cs="Times New Roman"/>
        </w:rPr>
        <w:t>t</w:t>
      </w:r>
      <w:r w:rsidR="00190627" w:rsidRPr="00E20A8E">
        <w:rPr>
          <w:rFonts w:ascii="Times New Roman" w:hAnsi="Times New Roman" w:cs="Times New Roman"/>
        </w:rPr>
        <w:t xml:space="preserve"> i</w:t>
      </w:r>
      <w:r w:rsidR="00685627" w:rsidRPr="00E20A8E">
        <w:rPr>
          <w:rFonts w:ascii="Times New Roman" w:hAnsi="Times New Roman" w:cs="Times New Roman"/>
        </w:rPr>
        <w:t>s</w:t>
      </w:r>
      <w:r w:rsidR="00190627" w:rsidRPr="00E20A8E">
        <w:rPr>
          <w:rFonts w:ascii="Times New Roman" w:hAnsi="Times New Roman" w:cs="Times New Roman"/>
        </w:rPr>
        <w:t xml:space="preserve"> possible to distinguish between different pairs, triads </w:t>
      </w:r>
      <w:r w:rsidR="00685627" w:rsidRPr="00E20A8E">
        <w:rPr>
          <w:rFonts w:ascii="Times New Roman" w:hAnsi="Times New Roman" w:cs="Times New Roman"/>
        </w:rPr>
        <w:t xml:space="preserve">and larger multiples of </w:t>
      </w:r>
      <w:r w:rsidR="00190627" w:rsidRPr="00E20A8E">
        <w:rPr>
          <w:rFonts w:ascii="Times New Roman" w:hAnsi="Times New Roman" w:cs="Times New Roman"/>
        </w:rPr>
        <w:t xml:space="preserve">sets of variables to indicate </w:t>
      </w:r>
      <w:r w:rsidR="00685627" w:rsidRPr="00E20A8E">
        <w:rPr>
          <w:rFonts w:ascii="Times New Roman" w:hAnsi="Times New Roman" w:cs="Times New Roman"/>
        </w:rPr>
        <w:t xml:space="preserve">the </w:t>
      </w:r>
      <w:r w:rsidR="00190627" w:rsidRPr="00E20A8E">
        <w:rPr>
          <w:rFonts w:ascii="Times New Roman" w:hAnsi="Times New Roman" w:cs="Times New Roman"/>
        </w:rPr>
        <w:t>possible inter-linkages that the model contains. This allows for the identification of potential causal relationships that could be present in any individual case. Whether such relationships are relevant for explanatory purposes will depend upon the questions that the analyst is asking in the first place, but they could also be informative if the answers to these questions are, at best, partial as a consequence of their identification of a range of intervening variables that the original questions had not considered to be relevant for analytical purposes. As such the model can also be used by the analyst as a me</w:t>
      </w:r>
      <w:r w:rsidR="00AA0107" w:rsidRPr="00E20A8E">
        <w:rPr>
          <w:rFonts w:ascii="Times New Roman" w:hAnsi="Times New Roman" w:cs="Times New Roman"/>
        </w:rPr>
        <w:t xml:space="preserve">ans to clarify the causal content of their questions. </w:t>
      </w:r>
    </w:p>
    <w:p w:rsidR="00AA0107" w:rsidRPr="00E20A8E" w:rsidRDefault="00AA0107" w:rsidP="004D322D">
      <w:pPr>
        <w:spacing w:line="240" w:lineRule="auto"/>
        <w:rPr>
          <w:rFonts w:ascii="Times New Roman" w:hAnsi="Times New Roman" w:cs="Times New Roman"/>
        </w:rPr>
      </w:pPr>
    </w:p>
    <w:p w:rsidR="00AA0107" w:rsidRPr="00E20A8E" w:rsidRDefault="00AA0107" w:rsidP="004D322D">
      <w:pPr>
        <w:spacing w:line="240" w:lineRule="auto"/>
        <w:rPr>
          <w:rFonts w:ascii="Times New Roman" w:hAnsi="Times New Roman" w:cs="Times New Roman"/>
        </w:rPr>
      </w:pPr>
      <w:r w:rsidRPr="00E20A8E">
        <w:rPr>
          <w:rFonts w:ascii="Times New Roman" w:hAnsi="Times New Roman" w:cs="Times New Roman"/>
        </w:rPr>
        <w:t xml:space="preserve">A secondary use of Figure 2 could be to identify the central concerns of already existing work in the field of cultural policy and how this work deals with the range of potential influences on policy that the model identifies. This would allow for the clarification of the relationships between the structural components of cultural policy across a range of individual studies thus providing the possibility for the accumulation of a more coherent map of the territory that cultural policy studies is </w:t>
      </w:r>
      <w:r w:rsidR="000830AF" w:rsidRPr="00E20A8E">
        <w:rPr>
          <w:rFonts w:ascii="Times New Roman" w:hAnsi="Times New Roman" w:cs="Times New Roman"/>
        </w:rPr>
        <w:t>concerned with</w:t>
      </w:r>
      <w:r w:rsidRPr="00E20A8E">
        <w:rPr>
          <w:rFonts w:ascii="Times New Roman" w:hAnsi="Times New Roman" w:cs="Times New Roman"/>
        </w:rPr>
        <w:t xml:space="preserve">. </w:t>
      </w:r>
      <w:r w:rsidR="009859EF" w:rsidRPr="00E20A8E">
        <w:rPr>
          <w:rFonts w:ascii="Times New Roman" w:hAnsi="Times New Roman" w:cs="Times New Roman"/>
        </w:rPr>
        <w:t>While such a mapping exercise may have illustrative possibilities of indicating areas which have currently been under-researched and analysed it is important to bear in mind the need for an underlying understanding of the ontological and epistemological issues that are associated with the particular individual studies that are included. Thus, it would be anticipated that the differences between behavioural and discourse approaches to analysis would lead to a concentration on particular elements of the model in each case whilst leaving other component parts relatively untouched. Likewise, approaches to analysis that focus on the structural dynamics of policy are likely to concentrate on different policy elements than would be found in analyses that focus on the role of agents. By clarifying the consequences of such differences for the forms of analysis that have been undertaken in the past an understanding of the appropriateness of analytical strategies for the field of cultural policy could also be developed.</w:t>
      </w:r>
    </w:p>
    <w:p w:rsidR="00E97E1E" w:rsidRPr="00E20A8E" w:rsidRDefault="00E97E1E" w:rsidP="004D322D">
      <w:pPr>
        <w:spacing w:line="240" w:lineRule="auto"/>
        <w:rPr>
          <w:rFonts w:ascii="Times New Roman" w:hAnsi="Times New Roman" w:cs="Times New Roman"/>
        </w:rPr>
      </w:pPr>
    </w:p>
    <w:p w:rsidR="00E97E1E" w:rsidRPr="00E20A8E" w:rsidRDefault="00E97E1E" w:rsidP="004D322D">
      <w:pPr>
        <w:spacing w:line="240" w:lineRule="auto"/>
        <w:rPr>
          <w:rFonts w:ascii="Times New Roman" w:hAnsi="Times New Roman" w:cs="Times New Roman"/>
        </w:rPr>
      </w:pPr>
      <w:r w:rsidRPr="00E20A8E">
        <w:rPr>
          <w:rFonts w:ascii="Times New Roman" w:hAnsi="Times New Roman" w:cs="Times New Roman"/>
          <w:b/>
        </w:rPr>
        <w:t>Conclusions</w:t>
      </w:r>
    </w:p>
    <w:p w:rsidR="004E3831" w:rsidRPr="00E20A8E" w:rsidRDefault="00E97E1E" w:rsidP="004D322D">
      <w:pPr>
        <w:spacing w:line="240" w:lineRule="auto"/>
        <w:rPr>
          <w:rFonts w:ascii="Times New Roman" w:hAnsi="Times New Roman" w:cs="Times New Roman"/>
        </w:rPr>
      </w:pPr>
      <w:r w:rsidRPr="00E20A8E">
        <w:rPr>
          <w:rFonts w:ascii="Times New Roman" w:hAnsi="Times New Roman" w:cs="Times New Roman"/>
        </w:rPr>
        <w:t xml:space="preserve">This paper is an attempt to clarify the field of cultural policy analysis. The structural framework that it contains is constructed of key elements for the understanding of policy that can be applied across the public, private, voluntary and community sectors. How it </w:t>
      </w:r>
      <w:r w:rsidR="004E3831" w:rsidRPr="00E20A8E">
        <w:rPr>
          <w:rFonts w:ascii="Times New Roman" w:hAnsi="Times New Roman" w:cs="Times New Roman"/>
        </w:rPr>
        <w:t xml:space="preserve">is applied depends upon the ontological, epistemological and methodological choices that analysts make. It is anticipated that these choices will lead analysts to concentrate their attention on particular features of the structural framework rather than on others. As such the framework is open to a multiplicity of analytical strategies and is not presented as a plan for analysis that </w:t>
      </w:r>
      <w:r w:rsidR="004E3831" w:rsidRPr="00E20A8E">
        <w:rPr>
          <w:rFonts w:ascii="Times New Roman" w:hAnsi="Times New Roman" w:cs="Times New Roman"/>
          <w:i/>
        </w:rPr>
        <w:t>must</w:t>
      </w:r>
      <w:r w:rsidR="004E3831" w:rsidRPr="00E20A8E">
        <w:rPr>
          <w:rFonts w:ascii="Times New Roman" w:hAnsi="Times New Roman" w:cs="Times New Roman"/>
        </w:rPr>
        <w:t xml:space="preserve"> be utilised if a full picture of cultural policy choices and actions is to be presented. The basis of this framework in an analytical dualism that is derived from a social realist ontology does not preclude the utilisation of a variety of alternative positions as the starting point for analysis as this depends upon the questions that the analyst is asking rather than these being a necessary consequence of applying the model in the first place. The model does provide an opportunity for analysts to consider </w:t>
      </w:r>
      <w:r w:rsidR="00ED3862" w:rsidRPr="00E20A8E">
        <w:rPr>
          <w:rFonts w:ascii="Times New Roman" w:hAnsi="Times New Roman" w:cs="Times New Roman"/>
        </w:rPr>
        <w:t xml:space="preserve">how their work relates to previous research, and to identify </w:t>
      </w:r>
      <w:r w:rsidR="00ED3862" w:rsidRPr="00E20A8E">
        <w:rPr>
          <w:rFonts w:ascii="Times New Roman" w:hAnsi="Times New Roman" w:cs="Times New Roman"/>
        </w:rPr>
        <w:lastRenderedPageBreak/>
        <w:t>what it is that they are not concerned with as much as with what they are. As such it provides the opportunity to both locate individual studies within a broader picture of the field of cultural policy analysis as well as to identify potential areas for future research exploration.</w:t>
      </w:r>
    </w:p>
    <w:p w:rsidR="005D4E64" w:rsidRPr="00E20A8E" w:rsidRDefault="005D4E64" w:rsidP="004D322D">
      <w:pPr>
        <w:spacing w:line="240" w:lineRule="auto"/>
        <w:rPr>
          <w:rFonts w:ascii="Times New Roman" w:hAnsi="Times New Roman" w:cs="Times New Roman"/>
        </w:rPr>
      </w:pPr>
    </w:p>
    <w:p w:rsidR="00711411" w:rsidRPr="00E20A8E" w:rsidRDefault="00381C85" w:rsidP="004D322D">
      <w:pPr>
        <w:spacing w:line="240" w:lineRule="auto"/>
        <w:rPr>
          <w:rFonts w:ascii="Times New Roman" w:hAnsi="Times New Roman" w:cs="Times New Roman"/>
        </w:rPr>
      </w:pPr>
      <w:r w:rsidRPr="00E20A8E">
        <w:rPr>
          <w:rFonts w:ascii="Times New Roman" w:hAnsi="Times New Roman" w:cs="Times New Roman"/>
          <w:noProof/>
        </w:rPr>
        <w:drawing>
          <wp:inline distT="0" distB="0" distL="0" distR="0" wp14:anchorId="50F1F08A" wp14:editId="6CA5C60E">
            <wp:extent cx="5591175" cy="367665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685FC4" w:rsidRPr="00E20A8E">
        <w:rPr>
          <w:rFonts w:ascii="Times New Roman" w:hAnsi="Times New Roman" w:cs="Times New Roman"/>
        </w:rPr>
        <w:t xml:space="preserve">. </w:t>
      </w:r>
    </w:p>
    <w:p w:rsidR="009C11E4" w:rsidRPr="00E20A8E" w:rsidRDefault="009C11E4" w:rsidP="004D322D">
      <w:pPr>
        <w:spacing w:line="240" w:lineRule="auto"/>
        <w:rPr>
          <w:rFonts w:ascii="Times New Roman" w:hAnsi="Times New Roman" w:cs="Times New Roman"/>
        </w:rPr>
      </w:pPr>
      <w:r w:rsidRPr="00E20A8E">
        <w:rPr>
          <w:rFonts w:ascii="Times New Roman" w:hAnsi="Times New Roman" w:cs="Times New Roman"/>
        </w:rPr>
        <w:t>Figure 1</w:t>
      </w:r>
      <w:r w:rsidR="005361AE" w:rsidRPr="00E20A8E">
        <w:rPr>
          <w:rFonts w:ascii="Times New Roman" w:hAnsi="Times New Roman" w:cs="Times New Roman"/>
        </w:rPr>
        <w:t>:</w:t>
      </w:r>
      <w:r w:rsidR="00F216B5">
        <w:rPr>
          <w:rFonts w:ascii="Times New Roman" w:hAnsi="Times New Roman" w:cs="Times New Roman"/>
        </w:rPr>
        <w:t xml:space="preserve"> </w:t>
      </w:r>
      <w:r w:rsidRPr="00E20A8E">
        <w:rPr>
          <w:rFonts w:ascii="Times New Roman" w:hAnsi="Times New Roman" w:cs="Times New Roman"/>
        </w:rPr>
        <w:t>Core/Periphery Relationships of Variables</w:t>
      </w:r>
    </w:p>
    <w:p w:rsidR="00A1102C" w:rsidRPr="00E20A8E" w:rsidRDefault="00A1102C" w:rsidP="004D322D">
      <w:pPr>
        <w:spacing w:line="240" w:lineRule="auto"/>
        <w:rPr>
          <w:rFonts w:ascii="Times New Roman" w:hAnsi="Times New Roman" w:cs="Times New Roman"/>
        </w:rPr>
      </w:pPr>
    </w:p>
    <w:p w:rsidR="005361AE"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4294967294" distB="4294967294" distL="114300" distR="114300" simplePos="0" relativeHeight="251659264" behindDoc="0" locked="0" layoutInCell="1" allowOverlap="1" wp14:anchorId="3E0ED0E9" wp14:editId="59714A11">
                <wp:simplePos x="0" y="0"/>
                <wp:positionH relativeFrom="column">
                  <wp:posOffset>1390650</wp:posOffset>
                </wp:positionH>
                <wp:positionV relativeFrom="paragraph">
                  <wp:posOffset>238125</wp:posOffset>
                </wp:positionV>
                <wp:extent cx="2571750" cy="28575"/>
                <wp:effectExtent l="0" t="0" r="19050" b="28575"/>
                <wp:wrapNone/>
                <wp:docPr id="2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0" cy="2857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5" o:spid="_x0000_s1026" type="#_x0000_t32" style="position:absolute;margin-left:109.5pt;margin-top:18.75pt;width:202.5pt;height:2.25p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"/>
            </w:pict>
          </mc:Fallback>
        </mc:AlternateContent>
      </w:r>
      <w:r w:rsidRPr="00E20A8E">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5BAE1E45" wp14:editId="41CC34A7">
                <wp:simplePos x="0" y="0"/>
                <wp:positionH relativeFrom="column">
                  <wp:posOffset>1447800</wp:posOffset>
                </wp:positionH>
                <wp:positionV relativeFrom="paragraph">
                  <wp:posOffset>95250</wp:posOffset>
                </wp:positionV>
                <wp:extent cx="600075" cy="561975"/>
                <wp:effectExtent l="0" t="0" r="28575" b="28575"/>
                <wp:wrapNone/>
                <wp:docPr id="25"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075" cy="561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margin-left:114pt;margin-top:7.5pt;width:47.25pt;height:44.2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"/>
            </w:pict>
          </mc:Fallback>
        </mc:AlternateContent>
      </w:r>
      <w:r w:rsidRPr="00E20A8E">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520CC09C" wp14:editId="4E46079F">
                <wp:simplePos x="0" y="0"/>
                <wp:positionH relativeFrom="column">
                  <wp:posOffset>3048000</wp:posOffset>
                </wp:positionH>
                <wp:positionV relativeFrom="paragraph">
                  <wp:posOffset>95250</wp:posOffset>
                </wp:positionV>
                <wp:extent cx="581025" cy="542925"/>
                <wp:effectExtent l="0" t="0" r="28575" b="28575"/>
                <wp:wrapNone/>
                <wp:docPr id="28"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1025" cy="542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240pt;margin-top:7.5pt;width:45.75pt;height:42.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"/>
            </w:pict>
          </mc:Fallback>
        </mc:AlternateContent>
      </w:r>
      <w:r w:rsidRPr="00E20A8E">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6F9F4EA1" wp14:editId="4D985798">
                <wp:simplePos x="0" y="0"/>
                <wp:positionH relativeFrom="column">
                  <wp:posOffset>2505075</wp:posOffset>
                </wp:positionH>
                <wp:positionV relativeFrom="paragraph">
                  <wp:posOffset>95250</wp:posOffset>
                </wp:positionV>
                <wp:extent cx="628650" cy="561975"/>
                <wp:effectExtent l="0" t="0" r="19050" b="28575"/>
                <wp:wrapNone/>
                <wp:docPr id="27"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28650" cy="561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197.25pt;margin-top:7.5pt;width:49.5pt;height:44.2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"/>
            </w:pict>
          </mc:Fallback>
        </mc:AlternateContent>
      </w:r>
      <w:r w:rsidRPr="00E20A8E">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68654BA4" wp14:editId="1113C239">
                <wp:simplePos x="0" y="0"/>
                <wp:positionH relativeFrom="column">
                  <wp:posOffset>1981200</wp:posOffset>
                </wp:positionH>
                <wp:positionV relativeFrom="paragraph">
                  <wp:posOffset>95250</wp:posOffset>
                </wp:positionV>
                <wp:extent cx="638175" cy="552450"/>
                <wp:effectExtent l="0" t="0" r="28575" b="19050"/>
                <wp:wrapNone/>
                <wp:docPr id="26"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8175" cy="552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 o:spid="_x0000_s1026" type="#_x0000_t32" style="position:absolute;margin-left:156pt;margin-top:7.5pt;width:50.25pt;height:43.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"/>
            </w:pict>
          </mc:Fallback>
        </mc:AlternateContent>
      </w:r>
      <w:r w:rsidR="004D322D" w:rsidRPr="00E20A8E">
        <w:rPr>
          <w:rFonts w:ascii="Times New Roman" w:hAnsi="Times New Roman" w:cs="Times New Roman"/>
          <w:noProof/>
        </w:rPr>
        <mc:AlternateContent>
          <mc:Choice Requires="wps">
            <w:drawing>
              <wp:anchor distT="0" distB="0" distL="114300" distR="114300" simplePos="0" relativeHeight="251658240" behindDoc="0" locked="0" layoutInCell="1" allowOverlap="1" wp14:anchorId="52A4A7ED" wp14:editId="11CB075E">
                <wp:simplePos x="0" y="0"/>
                <wp:positionH relativeFrom="column">
                  <wp:posOffset>981075</wp:posOffset>
                </wp:positionH>
                <wp:positionV relativeFrom="paragraph">
                  <wp:posOffset>87630</wp:posOffset>
                </wp:positionV>
                <wp:extent cx="3171825" cy="2209800"/>
                <wp:effectExtent l="0" t="0" r="28575" b="19050"/>
                <wp:wrapNone/>
                <wp:docPr id="22"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1825" cy="2209800"/>
                        </a:xfrm>
                        <a:prstGeom prst="cube">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34" o:spid="_x0000_s1026" type="#_x0000_t16" style="position:absolute;margin-left:77.25pt;margin-top:6.9pt;width:249.75pt;height:1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"/>
            </w:pict>
          </mc:Fallback>
        </mc:AlternateContent>
      </w:r>
      <w:r w:rsidR="009624EC" w:rsidRPr="00E20A8E">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5F03C18A" wp14:editId="2E24BCA7">
                <wp:simplePos x="0" y="0"/>
                <wp:positionH relativeFrom="column">
                  <wp:posOffset>-57150</wp:posOffset>
                </wp:positionH>
                <wp:positionV relativeFrom="paragraph">
                  <wp:posOffset>184785</wp:posOffset>
                </wp:positionV>
                <wp:extent cx="885825" cy="457200"/>
                <wp:effectExtent l="0" t="0" r="28575" b="19050"/>
                <wp:wrapNone/>
                <wp:docPr id="24"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457200"/>
                        </a:xfrm>
                        <a:prstGeom prst="rect">
                          <a:avLst/>
                        </a:prstGeom>
                        <a:solidFill>
                          <a:srgbClr val="FFFFFF"/>
                        </a:solidFill>
                        <a:ln w="9525">
                          <a:solidFill>
                            <a:srgbClr val="000000"/>
                          </a:solidFill>
                          <a:miter lim="800000"/>
                          <a:headEnd/>
                          <a:tailEnd/>
                        </a:ln>
                      </wps:spPr>
                      <wps:txbx>
                        <w:txbxContent>
                          <w:p w:rsidR="004D322D" w:rsidRDefault="004D322D">
                            <w:r>
                              <w:t>Macro-level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8" o:spid="_x0000_s1026" type="#_x0000_t202" style="position:absolute;margin-left:-4.5pt;margin-top:14.55pt;width:69.75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">
                <v:textbox>
                  <w:txbxContent>
                    <w:p w:rsidR="004D322D" w:rsidRDefault="004D322D">
                      <w:r>
                        <w:t>Macro-level variables</w:t>
                      </w:r>
                    </w:p>
                  </w:txbxContent>
                </v:textbox>
              </v:shape>
            </w:pict>
          </mc:Fallback>
        </mc:AlternateContent>
      </w:r>
    </w:p>
    <w:p w:rsidR="005361AE"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25548602" wp14:editId="36A5B59F">
                <wp:simplePos x="0" y="0"/>
                <wp:positionH relativeFrom="column">
                  <wp:posOffset>3600450</wp:posOffset>
                </wp:positionH>
                <wp:positionV relativeFrom="paragraph">
                  <wp:posOffset>217170</wp:posOffset>
                </wp:positionV>
                <wp:extent cx="542925" cy="466090"/>
                <wp:effectExtent l="0" t="0" r="28575" b="29210"/>
                <wp:wrapNone/>
                <wp:docPr id="18"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46609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283.5pt;margin-top:17.1pt;width:42.75pt;height:36.7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"/>
            </w:pict>
          </mc:Fallback>
        </mc:AlternateContent>
      </w:r>
      <w:r w:rsidRPr="00E20A8E">
        <w:rPr>
          <w:rFonts w:ascii="Times New Roman" w:hAnsi="Times New Roman" w:cs="Times New Roman"/>
          <w:noProof/>
        </w:rPr>
        <mc:AlternateContent>
          <mc:Choice Requires="wps">
            <w:drawing>
              <wp:anchor distT="0" distB="0" distL="114299" distR="114299" simplePos="0" relativeHeight="251679744" behindDoc="0" locked="0" layoutInCell="1" allowOverlap="1" wp14:anchorId="5D27D932" wp14:editId="5CC4335F">
                <wp:simplePos x="0" y="0"/>
                <wp:positionH relativeFrom="column">
                  <wp:posOffset>3771900</wp:posOffset>
                </wp:positionH>
                <wp:positionV relativeFrom="paragraph">
                  <wp:posOffset>160020</wp:posOffset>
                </wp:positionV>
                <wp:extent cx="9525" cy="1666875"/>
                <wp:effectExtent l="0" t="0" r="28575" b="28575"/>
                <wp:wrapNone/>
                <wp:docPr id="21"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66687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297pt;margin-top:12.6pt;width:.75pt;height:131.25p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"/>
            </w:pict>
          </mc:Fallback>
        </mc:AlternateContent>
      </w:r>
      <w:r w:rsidRPr="00E20A8E">
        <w:rPr>
          <w:rFonts w:ascii="Times New Roman" w:hAnsi="Times New Roman" w:cs="Times New Roman"/>
          <w:noProof/>
        </w:rPr>
        <mc:AlternateContent>
          <mc:Choice Requires="wps">
            <w:drawing>
              <wp:anchor distT="4294967294" distB="4294967294" distL="114300" distR="114300" simplePos="0" relativeHeight="251660288" behindDoc="0" locked="0" layoutInCell="1" allowOverlap="1" wp14:anchorId="6DF3A60A" wp14:editId="3735C85E">
                <wp:simplePos x="0" y="0"/>
                <wp:positionH relativeFrom="column">
                  <wp:posOffset>1200150</wp:posOffset>
                </wp:positionH>
                <wp:positionV relativeFrom="paragraph">
                  <wp:posOffset>160020</wp:posOffset>
                </wp:positionV>
                <wp:extent cx="2590800" cy="0"/>
                <wp:effectExtent l="0" t="0" r="19050" b="19050"/>
                <wp:wrapNone/>
                <wp:docPr id="1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08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94.5pt;margin-top:12.6pt;width:204pt;height:0;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"/>
            </w:pict>
          </mc:Fallback>
        </mc:AlternateContent>
      </w:r>
      <w:r w:rsidR="004D322D" w:rsidRPr="00E20A8E">
        <w:rPr>
          <w:rFonts w:ascii="Times New Roman" w:hAnsi="Times New Roman" w:cs="Times New Roman"/>
          <w:noProof/>
        </w:rPr>
        <mc:AlternateContent>
          <mc:Choice Requires="wps">
            <w:drawing>
              <wp:anchor distT="0" distB="0" distL="114299" distR="114299" simplePos="0" relativeHeight="251680768" behindDoc="0" locked="0" layoutInCell="1" allowOverlap="1" wp14:anchorId="1363249C" wp14:editId="5D80205B">
                <wp:simplePos x="0" y="0"/>
                <wp:positionH relativeFrom="column">
                  <wp:posOffset>3962400</wp:posOffset>
                </wp:positionH>
                <wp:positionV relativeFrom="paragraph">
                  <wp:posOffset>7621</wp:posOffset>
                </wp:positionV>
                <wp:extent cx="0" cy="1609724"/>
                <wp:effectExtent l="0" t="0" r="19050" b="10160"/>
                <wp:wrapNone/>
                <wp:docPr id="29"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09724"/>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312pt;margin-top:.6pt;width:0;height:126.75pt;flip:y;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"/>
            </w:pict>
          </mc:Fallback>
        </mc:AlternateContent>
      </w:r>
      <w:r w:rsidR="009624EC" w:rsidRPr="00E20A8E">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21A508D9" wp14:editId="53513FAF">
                <wp:simplePos x="0" y="0"/>
                <wp:positionH relativeFrom="column">
                  <wp:posOffset>828675</wp:posOffset>
                </wp:positionH>
                <wp:positionV relativeFrom="paragraph">
                  <wp:posOffset>11430</wp:posOffset>
                </wp:positionV>
                <wp:extent cx="371475" cy="9525"/>
                <wp:effectExtent l="0" t="76200" r="28575" b="85725"/>
                <wp:wrapNone/>
                <wp:docPr id="20"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1475" cy="95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65.25pt;margin-top:.9pt;width:29.25pt;height:.7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">
                <v:stroke endarrow="block"/>
              </v:shape>
            </w:pict>
          </mc:Fallback>
        </mc:AlternateContent>
      </w:r>
      <w:r w:rsidR="009624EC" w:rsidRPr="00E20A8E">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6F04FA3B" wp14:editId="2D00AB96">
                <wp:simplePos x="0" y="0"/>
                <wp:positionH relativeFrom="column">
                  <wp:posOffset>4562475</wp:posOffset>
                </wp:positionH>
                <wp:positionV relativeFrom="paragraph">
                  <wp:posOffset>363855</wp:posOffset>
                </wp:positionV>
                <wp:extent cx="1038225" cy="504825"/>
                <wp:effectExtent l="0" t="0" r="28575" b="28575"/>
                <wp:wrapNone/>
                <wp:docPr id="19"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504825"/>
                        </a:xfrm>
                        <a:prstGeom prst="rect">
                          <a:avLst/>
                        </a:prstGeom>
                        <a:solidFill>
                          <a:srgbClr val="FFFFFF"/>
                        </a:solidFill>
                        <a:ln w="9525">
                          <a:solidFill>
                            <a:srgbClr val="000000"/>
                          </a:solidFill>
                          <a:miter lim="800000"/>
                          <a:headEnd/>
                          <a:tailEnd/>
                        </a:ln>
                      </wps:spPr>
                      <wps:txbx>
                        <w:txbxContent>
                          <w:p w:rsidR="004D322D" w:rsidRDefault="004D322D">
                            <w:r>
                              <w:t>Meso-level variables</w:t>
                            </w:r>
                          </w:p>
                          <w:p w:rsidR="004D322D" w:rsidRDefault="004D32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27" type="#_x0000_t202" style="position:absolute;margin-left:359.25pt;margin-top:28.65pt;width:81.75pt;height:3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">
                <v:textbox>
                  <w:txbxContent>
                    <w:p w:rsidR="004D322D" w:rsidRDefault="004D322D">
                      <w:r>
                        <w:t>Meso-level variables</w:t>
                      </w:r>
                    </w:p>
                    <w:p w:rsidR="004D322D" w:rsidRDefault="004D322D"/>
                  </w:txbxContent>
                </v:textbox>
              </v:shape>
            </w:pict>
          </mc:Fallback>
        </mc:AlternateContent>
      </w:r>
      <w:r w:rsidR="009624EC" w:rsidRPr="00E20A8E">
        <w:rPr>
          <w:rFonts w:ascii="Times New Roman" w:hAnsi="Times New Roman" w:cs="Times New Roman"/>
          <w:noProof/>
        </w:rPr>
        <mc:AlternateContent>
          <mc:Choice Requires="wps">
            <w:drawing>
              <wp:anchor distT="0" distB="0" distL="114298" distR="114298" simplePos="0" relativeHeight="251664384" behindDoc="0" locked="0" layoutInCell="1" allowOverlap="1" wp14:anchorId="25CEAD45" wp14:editId="04D9E3FF">
                <wp:simplePos x="0" y="0"/>
                <wp:positionH relativeFrom="column">
                  <wp:posOffset>3047999</wp:posOffset>
                </wp:positionH>
                <wp:positionV relativeFrom="paragraph">
                  <wp:posOffset>363855</wp:posOffset>
                </wp:positionV>
                <wp:extent cx="0" cy="1647825"/>
                <wp:effectExtent l="0" t="0" r="19050" b="9525"/>
                <wp:wrapNone/>
                <wp:docPr id="17"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782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240pt;margin-top:28.65pt;width:0;height:129.75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"/>
            </w:pict>
          </mc:Fallback>
        </mc:AlternateContent>
      </w:r>
      <w:r w:rsidR="009624EC" w:rsidRPr="00E20A8E">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360C5C65" wp14:editId="13414F5C">
                <wp:simplePos x="0" y="0"/>
                <wp:positionH relativeFrom="column">
                  <wp:posOffset>2495550</wp:posOffset>
                </wp:positionH>
                <wp:positionV relativeFrom="paragraph">
                  <wp:posOffset>363855</wp:posOffset>
                </wp:positionV>
                <wp:extent cx="9525" cy="1647825"/>
                <wp:effectExtent l="0" t="0" r="28575" b="28575"/>
                <wp:wrapNone/>
                <wp:docPr id="16"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64782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96.5pt;margin-top:28.65pt;width:.75pt;height:12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"/>
            </w:pict>
          </mc:Fallback>
        </mc:AlternateContent>
      </w:r>
      <w:r w:rsidR="009624EC" w:rsidRPr="00E20A8E">
        <w:rPr>
          <w:rFonts w:ascii="Times New Roman" w:hAnsi="Times New Roman" w:cs="Times New Roman"/>
          <w:noProof/>
        </w:rPr>
        <mc:AlternateContent>
          <mc:Choice Requires="wps">
            <w:drawing>
              <wp:anchor distT="0" distB="0" distL="114298" distR="114298" simplePos="0" relativeHeight="251662336" behindDoc="0" locked="0" layoutInCell="1" allowOverlap="1" wp14:anchorId="4B8E2688" wp14:editId="27690C65">
                <wp:simplePos x="0" y="0"/>
                <wp:positionH relativeFrom="column">
                  <wp:posOffset>1981199</wp:posOffset>
                </wp:positionH>
                <wp:positionV relativeFrom="paragraph">
                  <wp:posOffset>363855</wp:posOffset>
                </wp:positionV>
                <wp:extent cx="0" cy="1647825"/>
                <wp:effectExtent l="0" t="0" r="19050" b="9525"/>
                <wp:wrapNone/>
                <wp:docPr id="15"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782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156pt;margin-top:28.65pt;width:0;height:129.7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"/>
            </w:pict>
          </mc:Fallback>
        </mc:AlternateContent>
      </w:r>
      <w:r w:rsidR="009624EC" w:rsidRPr="00E20A8E">
        <w:rPr>
          <w:rFonts w:ascii="Times New Roman" w:hAnsi="Times New Roman" w:cs="Times New Roman"/>
          <w:noProof/>
        </w:rPr>
        <mc:AlternateContent>
          <mc:Choice Requires="wps">
            <w:drawing>
              <wp:anchor distT="0" distB="0" distL="114298" distR="114298" simplePos="0" relativeHeight="251661312" behindDoc="0" locked="0" layoutInCell="1" allowOverlap="1" wp14:anchorId="040D4221" wp14:editId="0BAEB1C0">
                <wp:simplePos x="0" y="0"/>
                <wp:positionH relativeFrom="column">
                  <wp:posOffset>1447799</wp:posOffset>
                </wp:positionH>
                <wp:positionV relativeFrom="paragraph">
                  <wp:posOffset>363855</wp:posOffset>
                </wp:positionV>
                <wp:extent cx="0" cy="1647825"/>
                <wp:effectExtent l="0" t="0" r="19050" b="9525"/>
                <wp:wrapNone/>
                <wp:docPr id="14"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782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114pt;margin-top:28.65pt;width:0;height:129.75pt;z-index:251661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"/>
            </w:pict>
          </mc:Fallback>
        </mc:AlternateContent>
      </w:r>
    </w:p>
    <w:p w:rsidR="00711411" w:rsidRPr="00E20A8E" w:rsidRDefault="004D322D"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099777CB" wp14:editId="12DB6E3B">
                <wp:simplePos x="0" y="0"/>
                <wp:positionH relativeFrom="column">
                  <wp:posOffset>3600450</wp:posOffset>
                </wp:positionH>
                <wp:positionV relativeFrom="paragraph">
                  <wp:posOffset>167641</wp:posOffset>
                </wp:positionV>
                <wp:extent cx="542925" cy="485774"/>
                <wp:effectExtent l="0" t="0" r="28575" b="29210"/>
                <wp:wrapNone/>
                <wp:docPr id="10"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485774"/>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283.5pt;margin-top:13.2pt;width:42.75pt;height:38.2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"/>
            </w:pict>
          </mc:Fallback>
        </mc:AlternateContent>
      </w:r>
      <w:r w:rsidR="009624EC" w:rsidRPr="00E20A8E">
        <w:rPr>
          <w:rFonts w:ascii="Times New Roman" w:hAnsi="Times New Roman" w:cs="Times New Roman"/>
          <w:noProof/>
        </w:rPr>
        <mc:AlternateContent>
          <mc:Choice Requires="wps">
            <w:drawing>
              <wp:anchor distT="4294967294" distB="4294967294" distL="114300" distR="114300" simplePos="0" relativeHeight="251673600" behindDoc="0" locked="0" layoutInCell="1" allowOverlap="1" wp14:anchorId="07208BDA" wp14:editId="06A1E970">
                <wp:simplePos x="0" y="0"/>
                <wp:positionH relativeFrom="column">
                  <wp:posOffset>4238625</wp:posOffset>
                </wp:positionH>
                <wp:positionV relativeFrom="paragraph">
                  <wp:posOffset>228599</wp:posOffset>
                </wp:positionV>
                <wp:extent cx="323850" cy="0"/>
                <wp:effectExtent l="38100" t="76200" r="0" b="95250"/>
                <wp:wrapNone/>
                <wp:docPr id="11"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385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333.75pt;margin-top:18pt;width:25.5pt;height:0;flip:x;z-index:251673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">
                <v:stroke endarrow="block"/>
              </v:shape>
            </w:pict>
          </mc:Fallback>
        </mc:AlternateContent>
      </w:r>
    </w:p>
    <w:p w:rsidR="00711411"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4294967295" distB="4294967295" distL="114300" distR="114300" simplePos="0" relativeHeight="251681792" behindDoc="0" locked="0" layoutInCell="1" allowOverlap="1" wp14:anchorId="3E9540F8" wp14:editId="7EEA43B4">
                <wp:simplePos x="0" y="0"/>
                <wp:positionH relativeFrom="column">
                  <wp:posOffset>981075</wp:posOffset>
                </wp:positionH>
                <wp:positionV relativeFrom="paragraph">
                  <wp:posOffset>107950</wp:posOffset>
                </wp:positionV>
                <wp:extent cx="2619375" cy="0"/>
                <wp:effectExtent l="0" t="0" r="9525" b="19050"/>
                <wp:wrapNone/>
                <wp:docPr id="12"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6193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77.25pt;margin-top:8.5pt;width:206.25pt;height:0;flip:x y;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"/>
            </w:pict>
          </mc:Fallback>
        </mc:AlternateContent>
      </w:r>
      <w:r w:rsidR="004D322D" w:rsidRPr="00E20A8E">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7C3459E1" wp14:editId="7F6918ED">
                <wp:simplePos x="0" y="0"/>
                <wp:positionH relativeFrom="column">
                  <wp:posOffset>3600450</wp:posOffset>
                </wp:positionH>
                <wp:positionV relativeFrom="paragraph">
                  <wp:posOffset>175260</wp:posOffset>
                </wp:positionV>
                <wp:extent cx="542925" cy="494666"/>
                <wp:effectExtent l="0" t="0" r="28575" b="19685"/>
                <wp:wrapNone/>
                <wp:docPr id="7"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494666"/>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283.5pt;margin-top:13.8pt;width:42.75pt;height:38.9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"/>
            </w:pict>
          </mc:Fallback>
        </mc:AlternateContent>
      </w:r>
    </w:p>
    <w:p w:rsidR="00E00E40"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4294967295" distB="4294967295" distL="114300" distR="114300" simplePos="0" relativeHeight="251682816" behindDoc="0" locked="0" layoutInCell="1" allowOverlap="1" wp14:anchorId="46F836FB" wp14:editId="3B621CD1">
                <wp:simplePos x="0" y="0"/>
                <wp:positionH relativeFrom="column">
                  <wp:posOffset>971550</wp:posOffset>
                </wp:positionH>
                <wp:positionV relativeFrom="paragraph">
                  <wp:posOffset>77470</wp:posOffset>
                </wp:positionV>
                <wp:extent cx="2628900" cy="0"/>
                <wp:effectExtent l="0" t="0" r="19050" b="19050"/>
                <wp:wrapNone/>
                <wp:docPr id="9"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6289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76.5pt;margin-top:6.1pt;width:207pt;height:0;flip:x y;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"/>
            </w:pict>
          </mc:Fallback>
        </mc:AlternateContent>
      </w:r>
      <w:r w:rsidR="004D322D" w:rsidRPr="00E20A8E">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3DF86268" wp14:editId="7CE3F982">
                <wp:simplePos x="0" y="0"/>
                <wp:positionH relativeFrom="column">
                  <wp:posOffset>3600450</wp:posOffset>
                </wp:positionH>
                <wp:positionV relativeFrom="paragraph">
                  <wp:posOffset>201931</wp:posOffset>
                </wp:positionV>
                <wp:extent cx="552450" cy="552449"/>
                <wp:effectExtent l="0" t="0" r="19050" b="19685"/>
                <wp:wrapNone/>
                <wp:docPr id="8"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2450" cy="55244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283.5pt;margin-top:15.9pt;width:43.5pt;height:43.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"/>
            </w:pict>
          </mc:Fallback>
        </mc:AlternateContent>
      </w:r>
    </w:p>
    <w:p w:rsidR="00AB559E" w:rsidRPr="00E20A8E" w:rsidRDefault="009624EC"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4294967295" distB="4294967295" distL="114300" distR="114300" simplePos="0" relativeHeight="251685888" behindDoc="0" locked="0" layoutInCell="1" allowOverlap="1" wp14:anchorId="50E7E63D" wp14:editId="6B788F4B">
                <wp:simplePos x="0" y="0"/>
                <wp:positionH relativeFrom="column">
                  <wp:posOffset>962025</wp:posOffset>
                </wp:positionH>
                <wp:positionV relativeFrom="paragraph">
                  <wp:posOffset>99694</wp:posOffset>
                </wp:positionV>
                <wp:extent cx="2609850" cy="0"/>
                <wp:effectExtent l="0" t="0" r="19050" b="19050"/>
                <wp:wrapNone/>
                <wp:docPr id="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0985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75.75pt;margin-top:7.85pt;width:205.5pt;height:0;flip:x;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"/>
            </w:pict>
          </mc:Fallback>
        </mc:AlternateContent>
      </w:r>
      <w:r w:rsidRPr="00E20A8E">
        <w:rPr>
          <w:rFonts w:ascii="Times New Roman" w:hAnsi="Times New Roman" w:cs="Times New Roman"/>
          <w:noProof/>
        </w:rPr>
        <mc:AlternateContent>
          <mc:Choice Requires="wps">
            <w:drawing>
              <wp:anchor distT="4294967295" distB="4294967295" distL="114300" distR="114300" simplePos="0" relativeHeight="251684864" behindDoc="0" locked="0" layoutInCell="1" allowOverlap="1" wp14:anchorId="0B1E27FC" wp14:editId="1EF0AC37">
                <wp:simplePos x="0" y="0"/>
                <wp:positionH relativeFrom="column">
                  <wp:posOffset>962025</wp:posOffset>
                </wp:positionH>
                <wp:positionV relativeFrom="paragraph">
                  <wp:posOffset>99694</wp:posOffset>
                </wp:positionV>
                <wp:extent cx="2609850" cy="0"/>
                <wp:effectExtent l="0" t="19050" r="0" b="19050"/>
                <wp:wrapNone/>
                <wp:docPr id="4"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09850" cy="0"/>
                        </a:xfrm>
                        <a:prstGeom prst="straightConnector1">
                          <a:avLst/>
                        </a:prstGeom>
                        <a:noFill/>
                        <a:ln w="38100" cmpd="sng">
                          <a:solidFill>
                            <a:schemeClr val="lt1">
                              <a:lumMod val="95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75.75pt;margin-top:7.85pt;width:205.5pt;height:0;flip:x;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" strokecolor="#f2f2f2 [3041]" strokeweight="3pt">
                <v:shadow color="#622423 [1605]" opacity=".5" offset="1pt"/>
              </v:shape>
            </w:pict>
          </mc:Fallback>
        </mc:AlternateContent>
      </w:r>
    </w:p>
    <w:p w:rsidR="009841E3"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4294967295" distB="4294967295" distL="114300" distR="114300" simplePos="0" relativeHeight="251683840" behindDoc="0" locked="0" layoutInCell="1" allowOverlap="1" wp14:anchorId="277DF699" wp14:editId="266A1936">
                <wp:simplePos x="0" y="0"/>
                <wp:positionH relativeFrom="column">
                  <wp:posOffset>981075</wp:posOffset>
                </wp:positionH>
                <wp:positionV relativeFrom="paragraph">
                  <wp:posOffset>178435</wp:posOffset>
                </wp:positionV>
                <wp:extent cx="2619375" cy="0"/>
                <wp:effectExtent l="0" t="0" r="9525" b="19050"/>
                <wp:wrapNone/>
                <wp:docPr id="6"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193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77.25pt;margin-top:14.05pt;width:206.25pt;height:0;flip:x;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"/>
            </w:pict>
          </mc:Fallback>
        </mc:AlternateContent>
      </w:r>
    </w:p>
    <w:p w:rsidR="002E7E29"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0" distB="0" distL="114298" distR="114298" simplePos="0" relativeHeight="251674624" behindDoc="0" locked="0" layoutInCell="1" allowOverlap="1" wp14:anchorId="57D1304F" wp14:editId="0F3718C0">
                <wp:simplePos x="0" y="0"/>
                <wp:positionH relativeFrom="column">
                  <wp:posOffset>2247900</wp:posOffset>
                </wp:positionH>
                <wp:positionV relativeFrom="paragraph">
                  <wp:posOffset>281940</wp:posOffset>
                </wp:positionV>
                <wp:extent cx="0" cy="257175"/>
                <wp:effectExtent l="76200" t="38100" r="57150" b="9525"/>
                <wp:wrapNone/>
                <wp:docPr id="3"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717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177pt;margin-top:22.2pt;width:0;height:20.25pt;flip:y;z-index:251674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">
                <v:stroke endarrow="block"/>
              </v:shape>
            </w:pict>
          </mc:Fallback>
        </mc:AlternateContent>
      </w:r>
    </w:p>
    <w:p w:rsidR="0045618B" w:rsidRPr="00E20A8E" w:rsidRDefault="0059255B" w:rsidP="004D322D">
      <w:pPr>
        <w:spacing w:line="240" w:lineRule="auto"/>
        <w:rPr>
          <w:rFonts w:ascii="Times New Roman" w:hAnsi="Times New Roman" w:cs="Times New Roman"/>
        </w:rPr>
      </w:pPr>
      <w:r w:rsidRPr="00E20A8E">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76A152E3" wp14:editId="25F5C3A8">
                <wp:simplePos x="0" y="0"/>
                <wp:positionH relativeFrom="column">
                  <wp:posOffset>1447800</wp:posOffset>
                </wp:positionH>
                <wp:positionV relativeFrom="paragraph">
                  <wp:posOffset>247015</wp:posOffset>
                </wp:positionV>
                <wp:extent cx="1600200" cy="428625"/>
                <wp:effectExtent l="0" t="0" r="19050" b="28575"/>
                <wp:wrapNone/>
                <wp:docPr id="2"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28625"/>
                        </a:xfrm>
                        <a:prstGeom prst="rect">
                          <a:avLst/>
                        </a:prstGeom>
                        <a:solidFill>
                          <a:srgbClr val="FFFFFF"/>
                        </a:solidFill>
                        <a:ln w="9525">
                          <a:solidFill>
                            <a:srgbClr val="000000"/>
                          </a:solidFill>
                          <a:miter lim="800000"/>
                          <a:headEnd/>
                          <a:tailEnd/>
                        </a:ln>
                      </wps:spPr>
                      <wps:txbx>
                        <w:txbxContent>
                          <w:p w:rsidR="004D322D" w:rsidRDefault="004D322D">
                            <w:r>
                              <w:t>Micro-level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28" type="#_x0000_t202" style="position:absolute;margin-left:114pt;margin-top:19.45pt;width:126pt;height:33.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">
                <v:textbox>
                  <w:txbxContent>
                    <w:p w:rsidR="004D322D" w:rsidRDefault="004D322D">
                      <w:r>
                        <w:t>Micro-level variables</w:t>
                      </w:r>
                    </w:p>
                  </w:txbxContent>
                </v:textbox>
              </v:shape>
            </w:pict>
          </mc:Fallback>
        </mc:AlternateContent>
      </w:r>
    </w:p>
    <w:p w:rsidR="00A1102C" w:rsidRPr="00E20A8E" w:rsidRDefault="00A1102C" w:rsidP="004D322D">
      <w:pPr>
        <w:spacing w:line="240" w:lineRule="auto"/>
        <w:rPr>
          <w:rFonts w:ascii="Times New Roman" w:hAnsi="Times New Roman" w:cs="Times New Roman"/>
        </w:rPr>
      </w:pPr>
    </w:p>
    <w:p w:rsidR="0059255B" w:rsidRDefault="0059255B" w:rsidP="004D322D">
      <w:pPr>
        <w:spacing w:line="240" w:lineRule="auto"/>
        <w:rPr>
          <w:b/>
        </w:rPr>
      </w:pPr>
    </w:p>
    <w:p w:rsidR="0059255B" w:rsidRPr="0059255B" w:rsidRDefault="0059255B" w:rsidP="0059255B">
      <w:pPr>
        <w:spacing w:line="240" w:lineRule="auto"/>
        <w:rPr>
          <w:rFonts w:ascii="Times New Roman" w:hAnsi="Times New Roman" w:cs="Times New Roman"/>
          <w:b/>
        </w:rPr>
      </w:pPr>
      <w:r>
        <w:rPr>
          <w:rFonts w:ascii="Times New Roman" w:hAnsi="Times New Roman" w:cs="Times New Roman"/>
        </w:rPr>
        <w:t>Figure 2: Inter-Relationships between Variables</w:t>
      </w:r>
      <w:r>
        <w:rPr>
          <w:rFonts w:ascii="Times New Roman" w:hAnsi="Times New Roman" w:cs="Times New Roman"/>
          <w:b/>
        </w:rPr>
        <w:t xml:space="preserve"> </w:t>
      </w:r>
    </w:p>
    <w:p w:rsidR="00820101" w:rsidRPr="00CD7565" w:rsidRDefault="00820101" w:rsidP="00CD7565">
      <w:pPr>
        <w:spacing w:line="240" w:lineRule="auto"/>
        <w:rPr>
          <w:rFonts w:ascii="Times New Roman" w:hAnsi="Times New Roman" w:cs="Times New Roman"/>
        </w:rPr>
      </w:pPr>
      <w:r w:rsidRPr="00CD7565">
        <w:rPr>
          <w:rFonts w:ascii="Times New Roman" w:hAnsi="Times New Roman" w:cs="Times New Roman"/>
          <w:b/>
        </w:rPr>
        <w:lastRenderedPageBreak/>
        <w:t>Bibliography</w:t>
      </w:r>
    </w:p>
    <w:p w:rsidR="00707611" w:rsidRPr="00CD7565" w:rsidRDefault="00707611" w:rsidP="00CD7565">
      <w:pPr>
        <w:spacing w:line="240" w:lineRule="auto"/>
        <w:rPr>
          <w:rFonts w:ascii="Times New Roman" w:hAnsi="Times New Roman" w:cs="Times New Roman"/>
        </w:rPr>
      </w:pPr>
      <w:r w:rsidRPr="00CD7565">
        <w:rPr>
          <w:rFonts w:ascii="Times New Roman" w:hAnsi="Times New Roman" w:cs="Times New Roman"/>
        </w:rPr>
        <w:t>Archer, M (198</w:t>
      </w:r>
      <w:r w:rsidR="009624EC" w:rsidRPr="00CD7565">
        <w:rPr>
          <w:rFonts w:ascii="Times New Roman" w:hAnsi="Times New Roman" w:cs="Times New Roman"/>
        </w:rPr>
        <w:t>8</w:t>
      </w:r>
      <w:r w:rsidRPr="00CD7565">
        <w:rPr>
          <w:rFonts w:ascii="Times New Roman" w:hAnsi="Times New Roman" w:cs="Times New Roman"/>
        </w:rPr>
        <w:t xml:space="preserve">), </w:t>
      </w:r>
      <w:r w:rsidRPr="00CD7565">
        <w:rPr>
          <w:rFonts w:ascii="Times New Roman" w:hAnsi="Times New Roman" w:cs="Times New Roman"/>
          <w:i/>
        </w:rPr>
        <w:t>Culture and Agency</w:t>
      </w:r>
      <w:r w:rsidRPr="00CD7565">
        <w:rPr>
          <w:rFonts w:ascii="Times New Roman" w:hAnsi="Times New Roman" w:cs="Times New Roman"/>
        </w:rPr>
        <w:t xml:space="preserve"> (Cambridge, Cambridge University Press)</w:t>
      </w:r>
    </w:p>
    <w:p w:rsidR="00707611" w:rsidRPr="00CD7565" w:rsidRDefault="00707611" w:rsidP="00CD7565">
      <w:pPr>
        <w:spacing w:line="240" w:lineRule="auto"/>
        <w:rPr>
          <w:rFonts w:ascii="Times New Roman" w:hAnsi="Times New Roman" w:cs="Times New Roman"/>
        </w:rPr>
      </w:pPr>
      <w:r w:rsidRPr="00CD7565">
        <w:rPr>
          <w:rFonts w:ascii="Times New Roman" w:hAnsi="Times New Roman" w:cs="Times New Roman"/>
        </w:rPr>
        <w:t xml:space="preserve">Archer, M (1995), </w:t>
      </w:r>
      <w:r w:rsidRPr="00CD7565">
        <w:rPr>
          <w:rFonts w:ascii="Times New Roman" w:hAnsi="Times New Roman" w:cs="Times New Roman"/>
          <w:i/>
        </w:rPr>
        <w:t>Realist Social Theory: The Morphogenetic Approach</w:t>
      </w:r>
      <w:r w:rsidRPr="00CD7565">
        <w:rPr>
          <w:rFonts w:ascii="Times New Roman" w:hAnsi="Times New Roman" w:cs="Times New Roman"/>
        </w:rPr>
        <w:t xml:space="preserve"> (Cambridge, Cambridge University Press)  </w:t>
      </w:r>
    </w:p>
    <w:p w:rsidR="00707611" w:rsidRPr="00CD7565" w:rsidRDefault="00707611" w:rsidP="00CD7565">
      <w:pPr>
        <w:spacing w:line="240" w:lineRule="auto"/>
        <w:rPr>
          <w:rFonts w:ascii="Times New Roman" w:hAnsi="Times New Roman" w:cs="Times New Roman"/>
        </w:rPr>
      </w:pPr>
      <w:r w:rsidRPr="00CD7565">
        <w:rPr>
          <w:rFonts w:ascii="Times New Roman" w:hAnsi="Times New Roman" w:cs="Times New Roman"/>
        </w:rPr>
        <w:t>Archer, M (200</w:t>
      </w:r>
      <w:r w:rsidR="00F92167" w:rsidRPr="00CD7565">
        <w:rPr>
          <w:rFonts w:ascii="Times New Roman" w:hAnsi="Times New Roman" w:cs="Times New Roman"/>
        </w:rPr>
        <w:t>3</w:t>
      </w:r>
      <w:r w:rsidRPr="00CD7565">
        <w:rPr>
          <w:rFonts w:ascii="Times New Roman" w:hAnsi="Times New Roman" w:cs="Times New Roman"/>
        </w:rPr>
        <w:t>)</w:t>
      </w:r>
      <w:r w:rsidR="004E3831" w:rsidRPr="00CD7565">
        <w:rPr>
          <w:rFonts w:ascii="Times New Roman" w:hAnsi="Times New Roman" w:cs="Times New Roman"/>
        </w:rPr>
        <w:t>,</w:t>
      </w:r>
      <w:r w:rsidR="004E3831" w:rsidRPr="00CD7565">
        <w:rPr>
          <w:rFonts w:ascii="Times New Roman" w:hAnsi="Times New Roman" w:cs="Times New Roman"/>
          <w:i/>
        </w:rPr>
        <w:t xml:space="preserve"> Structure</w:t>
      </w:r>
      <w:r w:rsidR="00F92167" w:rsidRPr="00CD7565">
        <w:rPr>
          <w:rFonts w:ascii="Times New Roman" w:hAnsi="Times New Roman" w:cs="Times New Roman"/>
          <w:i/>
        </w:rPr>
        <w:t>, Agency and the Internal Conversation</w:t>
      </w:r>
      <w:r w:rsidR="00F92167" w:rsidRPr="00CD7565">
        <w:rPr>
          <w:rFonts w:ascii="Times New Roman" w:hAnsi="Times New Roman" w:cs="Times New Roman"/>
        </w:rPr>
        <w:t xml:space="preserve"> (Cambridge, Cambridge University Press)</w:t>
      </w:r>
    </w:p>
    <w:p w:rsidR="000916E0" w:rsidRPr="00CD7565" w:rsidRDefault="000916E0" w:rsidP="00CD7565">
      <w:pPr>
        <w:spacing w:line="240" w:lineRule="auto"/>
        <w:rPr>
          <w:rFonts w:ascii="Times New Roman" w:hAnsi="Times New Roman" w:cs="Times New Roman"/>
        </w:rPr>
      </w:pPr>
      <w:r w:rsidRPr="00CD7565">
        <w:rPr>
          <w:rFonts w:ascii="Times New Roman" w:hAnsi="Times New Roman" w:cs="Times New Roman"/>
        </w:rPr>
        <w:t xml:space="preserve">Benson, D &amp; A. Jordan (2011), ‘What Have We Learned From Policy Transfer Research?: Dolowitz and Marsh Revisited’, </w:t>
      </w:r>
      <w:r w:rsidRPr="00CD7565">
        <w:rPr>
          <w:rFonts w:ascii="Times New Roman" w:hAnsi="Times New Roman" w:cs="Times New Roman"/>
          <w:i/>
        </w:rPr>
        <w:t>Political Studies Review</w:t>
      </w:r>
      <w:r w:rsidRPr="00CD7565">
        <w:rPr>
          <w:rFonts w:ascii="Times New Roman" w:hAnsi="Times New Roman" w:cs="Times New Roman"/>
        </w:rPr>
        <w:t>, 9, 366-78</w:t>
      </w:r>
    </w:p>
    <w:p w:rsidR="001837D6" w:rsidRPr="00CD7565" w:rsidRDefault="001837D6" w:rsidP="00CD7565">
      <w:pPr>
        <w:spacing w:line="240" w:lineRule="auto"/>
        <w:rPr>
          <w:rFonts w:ascii="Times New Roman" w:hAnsi="Times New Roman" w:cs="Times New Roman"/>
        </w:rPr>
      </w:pPr>
      <w:r w:rsidRPr="00CD7565">
        <w:rPr>
          <w:rFonts w:ascii="Times New Roman" w:hAnsi="Times New Roman" w:cs="Times New Roman"/>
        </w:rPr>
        <w:t xml:space="preserve">Butts, P (2007), ‘Maori, Museums and the Treaty of Waitangi: the Changing Politics of Representation and Control’, 215-27 in S. Knell, S. MacLeod &amp; S. Watson (Eds), </w:t>
      </w:r>
      <w:r w:rsidR="00692D12" w:rsidRPr="00CD7565">
        <w:rPr>
          <w:rFonts w:ascii="Times New Roman" w:hAnsi="Times New Roman" w:cs="Times New Roman"/>
          <w:i/>
        </w:rPr>
        <w:t>Museum Revolutions: How Museums Change and are Changed</w:t>
      </w:r>
      <w:r w:rsidR="00692D12" w:rsidRPr="00CD7565">
        <w:rPr>
          <w:rFonts w:ascii="Times New Roman" w:hAnsi="Times New Roman" w:cs="Times New Roman"/>
        </w:rPr>
        <w:t xml:space="preserve"> (London, Routledge)</w:t>
      </w:r>
    </w:p>
    <w:p w:rsidR="0061564E" w:rsidRPr="00CD7565" w:rsidRDefault="0061564E" w:rsidP="00CD7565">
      <w:pPr>
        <w:spacing w:line="240" w:lineRule="auto"/>
        <w:rPr>
          <w:rFonts w:ascii="Times New Roman" w:hAnsi="Times New Roman" w:cs="Times New Roman"/>
        </w:rPr>
      </w:pPr>
      <w:r w:rsidRPr="00CD7565">
        <w:rPr>
          <w:rFonts w:ascii="Times New Roman" w:hAnsi="Times New Roman" w:cs="Times New Roman"/>
        </w:rPr>
        <w:t>Cairney, P (2012)</w:t>
      </w:r>
      <w:r w:rsidR="00B8292B" w:rsidRPr="00CD7565">
        <w:rPr>
          <w:rFonts w:ascii="Times New Roman" w:hAnsi="Times New Roman" w:cs="Times New Roman"/>
        </w:rPr>
        <w:t xml:space="preserve">, </w:t>
      </w:r>
      <w:r w:rsidR="00B8292B" w:rsidRPr="00CD7565">
        <w:rPr>
          <w:rFonts w:ascii="Times New Roman" w:hAnsi="Times New Roman" w:cs="Times New Roman"/>
          <w:i/>
        </w:rPr>
        <w:t>Understanding Public Policy: Theories and Issues</w:t>
      </w:r>
      <w:r w:rsidR="00B8292B" w:rsidRPr="00CD7565">
        <w:rPr>
          <w:rFonts w:ascii="Times New Roman" w:hAnsi="Times New Roman" w:cs="Times New Roman"/>
        </w:rPr>
        <w:t xml:space="preserve"> (Basingstoke, Palgrave Macmillan</w:t>
      </w:r>
    </w:p>
    <w:p w:rsidR="00F72471" w:rsidRPr="00CD7565" w:rsidRDefault="00F72471" w:rsidP="00CD7565">
      <w:pPr>
        <w:spacing w:line="240" w:lineRule="auto"/>
        <w:rPr>
          <w:rFonts w:ascii="Times New Roman" w:hAnsi="Times New Roman" w:cs="Times New Roman"/>
        </w:rPr>
      </w:pPr>
      <w:r w:rsidRPr="00CD7565">
        <w:rPr>
          <w:rFonts w:ascii="Times New Roman" w:hAnsi="Times New Roman" w:cs="Times New Roman"/>
        </w:rPr>
        <w:t xml:space="preserve">Davies, H, S. Nutley &amp; P. Smith (Eds) (2000), </w:t>
      </w:r>
      <w:r w:rsidRPr="00CD7565">
        <w:rPr>
          <w:rFonts w:ascii="Times New Roman" w:hAnsi="Times New Roman" w:cs="Times New Roman"/>
          <w:i/>
        </w:rPr>
        <w:t>What Works? Evidence-Based Policy and Practice in Public Services</w:t>
      </w:r>
      <w:r w:rsidRPr="00CD7565">
        <w:rPr>
          <w:rFonts w:ascii="Times New Roman" w:hAnsi="Times New Roman" w:cs="Times New Roman"/>
        </w:rPr>
        <w:t xml:space="preserve"> (Bristol, Policy Press)</w:t>
      </w:r>
    </w:p>
    <w:p w:rsidR="001C4818" w:rsidRPr="00CD7565" w:rsidRDefault="001C4818" w:rsidP="00CD7565">
      <w:pPr>
        <w:spacing w:line="240" w:lineRule="auto"/>
        <w:rPr>
          <w:rFonts w:ascii="Times New Roman" w:hAnsi="Times New Roman" w:cs="Times New Roman"/>
        </w:rPr>
      </w:pPr>
      <w:r w:rsidRPr="00CD7565">
        <w:rPr>
          <w:rFonts w:ascii="Times New Roman" w:hAnsi="Times New Roman" w:cs="Times New Roman"/>
        </w:rPr>
        <w:t xml:space="preserve">de Bruijn, H &amp; H. Hufen (1998), ’The Traditional Approach to Policy Instruments’, 11-32 in B. Peters &amp; F. van Nispen (Eds), </w:t>
      </w:r>
      <w:r w:rsidRPr="00CD7565">
        <w:rPr>
          <w:rFonts w:ascii="Times New Roman" w:hAnsi="Times New Roman" w:cs="Times New Roman"/>
          <w:i/>
        </w:rPr>
        <w:t>Public Policy Instruments; Evaluating the Tools of Public Administration</w:t>
      </w:r>
      <w:r w:rsidRPr="00CD7565">
        <w:rPr>
          <w:rFonts w:ascii="Times New Roman" w:hAnsi="Times New Roman" w:cs="Times New Roman"/>
        </w:rPr>
        <w:t xml:space="preserve"> (Cheltenham, Edward Elgar)</w:t>
      </w:r>
    </w:p>
    <w:p w:rsidR="001C1DBD" w:rsidRPr="00CD7565" w:rsidRDefault="001C1DBD" w:rsidP="00CD7565">
      <w:pPr>
        <w:spacing w:line="240" w:lineRule="auto"/>
        <w:rPr>
          <w:rFonts w:ascii="Times New Roman" w:hAnsi="Times New Roman" w:cs="Times New Roman"/>
        </w:rPr>
      </w:pPr>
      <w:r w:rsidRPr="00CD7565">
        <w:rPr>
          <w:rFonts w:ascii="Times New Roman" w:hAnsi="Times New Roman" w:cs="Times New Roman"/>
        </w:rPr>
        <w:t xml:space="preserve">Eisenstein, E (1979), </w:t>
      </w:r>
      <w:r w:rsidR="005D4E64" w:rsidRPr="00CD7565">
        <w:rPr>
          <w:rFonts w:ascii="Times New Roman" w:hAnsi="Times New Roman" w:cs="Times New Roman"/>
          <w:i/>
        </w:rPr>
        <w:t>The Printing Press as an Agent of Change</w:t>
      </w:r>
      <w:r w:rsidR="005D4E64" w:rsidRPr="00CD7565">
        <w:rPr>
          <w:rFonts w:ascii="Times New Roman" w:hAnsi="Times New Roman" w:cs="Times New Roman"/>
        </w:rPr>
        <w:t xml:space="preserve"> (Cambridge, Cambridge University Press)</w:t>
      </w:r>
    </w:p>
    <w:p w:rsidR="00905E7A" w:rsidRPr="00CD7565" w:rsidRDefault="00905E7A" w:rsidP="00CD7565">
      <w:pPr>
        <w:spacing w:line="240" w:lineRule="auto"/>
        <w:rPr>
          <w:rFonts w:ascii="Times New Roman" w:hAnsi="Times New Roman" w:cs="Times New Roman"/>
          <w:i/>
        </w:rPr>
      </w:pPr>
      <w:r w:rsidRPr="00CD7565">
        <w:rPr>
          <w:rFonts w:ascii="Times New Roman" w:hAnsi="Times New Roman" w:cs="Times New Roman"/>
        </w:rPr>
        <w:t xml:space="preserve">Elder-Vass, D (2010), ‘For Emergence: Refining Archer’s Account of Social Structure’, 59-78 in W. Olsen (Ed), </w:t>
      </w:r>
      <w:r w:rsidRPr="00CD7565">
        <w:rPr>
          <w:rFonts w:ascii="Times New Roman" w:hAnsi="Times New Roman" w:cs="Times New Roman"/>
          <w:i/>
        </w:rPr>
        <w:t>Realist Methodology, Vol. I</w:t>
      </w:r>
      <w:r w:rsidR="000F4BFF" w:rsidRPr="00CD7565">
        <w:rPr>
          <w:rFonts w:ascii="Times New Roman" w:hAnsi="Times New Roman" w:cs="Times New Roman"/>
        </w:rPr>
        <w:t xml:space="preserve"> (Los Angeles, Sage)</w:t>
      </w:r>
    </w:p>
    <w:p w:rsidR="00774373" w:rsidRPr="00CD7565" w:rsidRDefault="00774373" w:rsidP="00CD7565">
      <w:pPr>
        <w:spacing w:line="240" w:lineRule="auto"/>
        <w:rPr>
          <w:rFonts w:ascii="Times New Roman" w:hAnsi="Times New Roman" w:cs="Times New Roman"/>
        </w:rPr>
      </w:pPr>
      <w:r w:rsidRPr="00CD7565">
        <w:rPr>
          <w:rFonts w:ascii="Times New Roman" w:hAnsi="Times New Roman" w:cs="Times New Roman"/>
        </w:rPr>
        <w:t xml:space="preserve">Goddard, M, R. Mannion &amp; P. Smith (2000), ’Enhancing Performance in Health Care: A Theoretical Perspective on Agency and the Role of Information’, </w:t>
      </w:r>
      <w:r w:rsidRPr="00CD7565">
        <w:rPr>
          <w:rFonts w:ascii="Times New Roman" w:hAnsi="Times New Roman" w:cs="Times New Roman"/>
          <w:i/>
        </w:rPr>
        <w:t>Health Economics</w:t>
      </w:r>
      <w:r w:rsidRPr="00CD7565">
        <w:rPr>
          <w:rFonts w:ascii="Times New Roman" w:hAnsi="Times New Roman" w:cs="Times New Roman"/>
        </w:rPr>
        <w:t xml:space="preserve">, 9, 95-107 </w:t>
      </w:r>
    </w:p>
    <w:p w:rsidR="00BA3D7F" w:rsidRPr="00CD7565" w:rsidRDefault="00BA3D7F" w:rsidP="00CD7565">
      <w:pPr>
        <w:spacing w:line="240" w:lineRule="auto"/>
        <w:rPr>
          <w:rFonts w:ascii="Times New Roman" w:hAnsi="Times New Roman" w:cs="Times New Roman"/>
        </w:rPr>
      </w:pPr>
      <w:r w:rsidRPr="00CD7565">
        <w:rPr>
          <w:rFonts w:ascii="Times New Roman" w:hAnsi="Times New Roman" w:cs="Times New Roman"/>
        </w:rPr>
        <w:t xml:space="preserve">Gray, C (2000), </w:t>
      </w:r>
      <w:r w:rsidRPr="00CD7565">
        <w:rPr>
          <w:rFonts w:ascii="Times New Roman" w:hAnsi="Times New Roman" w:cs="Times New Roman"/>
          <w:i/>
        </w:rPr>
        <w:t>The Politics of the Arts in Britain</w:t>
      </w:r>
      <w:r w:rsidRPr="00CD7565">
        <w:rPr>
          <w:rFonts w:ascii="Times New Roman" w:hAnsi="Times New Roman" w:cs="Times New Roman"/>
        </w:rPr>
        <w:t xml:space="preserve"> (Basingstoke, Macmillan)</w:t>
      </w:r>
    </w:p>
    <w:p w:rsidR="007712CC" w:rsidRPr="00CD7565" w:rsidRDefault="007712CC" w:rsidP="00CD7565">
      <w:pPr>
        <w:spacing w:line="240" w:lineRule="auto"/>
        <w:rPr>
          <w:rFonts w:ascii="Times New Roman" w:hAnsi="Times New Roman" w:cs="Times New Roman"/>
        </w:rPr>
      </w:pPr>
      <w:r w:rsidRPr="00CD7565">
        <w:rPr>
          <w:rFonts w:ascii="Times New Roman" w:hAnsi="Times New Roman" w:cs="Times New Roman"/>
        </w:rPr>
        <w:t>Gray, C (2006), ‘Joining-Up or Tagging-On?</w:t>
      </w:r>
      <w:r w:rsidR="00BE32F0" w:rsidRPr="00CD7565">
        <w:rPr>
          <w:rFonts w:ascii="Times New Roman" w:hAnsi="Times New Roman" w:cs="Times New Roman"/>
        </w:rPr>
        <w:t xml:space="preserve"> The Arts, Cultural Planning and the View From Below’, </w:t>
      </w:r>
      <w:r w:rsidR="00BE32F0" w:rsidRPr="00CD7565">
        <w:rPr>
          <w:rFonts w:ascii="Times New Roman" w:hAnsi="Times New Roman" w:cs="Times New Roman"/>
          <w:i/>
        </w:rPr>
        <w:t>Public Policy and Administration</w:t>
      </w:r>
      <w:r w:rsidR="00BE32F0" w:rsidRPr="00CD7565">
        <w:rPr>
          <w:rFonts w:ascii="Times New Roman" w:hAnsi="Times New Roman" w:cs="Times New Roman"/>
        </w:rPr>
        <w:t>, 38-49</w:t>
      </w:r>
    </w:p>
    <w:p w:rsidR="009A5831" w:rsidRPr="00CD7565" w:rsidRDefault="009A5831" w:rsidP="00CD7565">
      <w:pPr>
        <w:spacing w:line="240" w:lineRule="auto"/>
        <w:rPr>
          <w:rFonts w:ascii="Times New Roman" w:hAnsi="Times New Roman" w:cs="Times New Roman"/>
        </w:rPr>
      </w:pPr>
      <w:r w:rsidRPr="00CD7565">
        <w:rPr>
          <w:rFonts w:ascii="Times New Roman" w:hAnsi="Times New Roman" w:cs="Times New Roman"/>
        </w:rPr>
        <w:t xml:space="preserve">Gray, C (2007), ‘Commodification and Instrumentality in Cultural Policy’, </w:t>
      </w:r>
      <w:r w:rsidRPr="00CD7565">
        <w:rPr>
          <w:rFonts w:ascii="Times New Roman" w:hAnsi="Times New Roman" w:cs="Times New Roman"/>
          <w:i/>
        </w:rPr>
        <w:t>International Journal of Cultural Policy</w:t>
      </w:r>
      <w:r w:rsidRPr="00CD7565">
        <w:rPr>
          <w:rFonts w:ascii="Times New Roman" w:hAnsi="Times New Roman" w:cs="Times New Roman"/>
        </w:rPr>
        <w:t>, 13, 203-15</w:t>
      </w:r>
    </w:p>
    <w:p w:rsidR="004E0E07" w:rsidRPr="00CD7565" w:rsidRDefault="004E0E07" w:rsidP="00CD7565">
      <w:pPr>
        <w:spacing w:line="240" w:lineRule="auto"/>
        <w:rPr>
          <w:rFonts w:ascii="Times New Roman" w:hAnsi="Times New Roman" w:cs="Times New Roman"/>
        </w:rPr>
      </w:pPr>
      <w:r w:rsidRPr="00CD7565">
        <w:rPr>
          <w:rFonts w:ascii="Times New Roman" w:hAnsi="Times New Roman" w:cs="Times New Roman"/>
        </w:rPr>
        <w:t xml:space="preserve">Gray, C (2008), ‘Instrumental Policies: Causes, Consequences, Museums and Galleries’, </w:t>
      </w:r>
      <w:r w:rsidRPr="00CD7565">
        <w:rPr>
          <w:rFonts w:ascii="Times New Roman" w:hAnsi="Times New Roman" w:cs="Times New Roman"/>
          <w:i/>
        </w:rPr>
        <w:t>Cultural Trends</w:t>
      </w:r>
      <w:r w:rsidRPr="00CD7565">
        <w:rPr>
          <w:rFonts w:ascii="Times New Roman" w:hAnsi="Times New Roman" w:cs="Times New Roman"/>
        </w:rPr>
        <w:t>, 17, 209-22</w:t>
      </w:r>
    </w:p>
    <w:p w:rsidR="001F0163" w:rsidRPr="00CD7565" w:rsidRDefault="001F0163" w:rsidP="00CD7565">
      <w:pPr>
        <w:spacing w:line="240" w:lineRule="auto"/>
        <w:rPr>
          <w:rFonts w:ascii="Times New Roman" w:hAnsi="Times New Roman" w:cs="Times New Roman"/>
        </w:rPr>
      </w:pPr>
      <w:r w:rsidRPr="00CD7565">
        <w:rPr>
          <w:rFonts w:ascii="Times New Roman" w:hAnsi="Times New Roman" w:cs="Times New Roman"/>
        </w:rPr>
        <w:t xml:space="preserve">Gray, C (2009), ‘Managing Cultural Policy: Prospects and Pitfalls’, </w:t>
      </w:r>
      <w:r w:rsidRPr="00CD7565">
        <w:rPr>
          <w:rFonts w:ascii="Times New Roman" w:hAnsi="Times New Roman" w:cs="Times New Roman"/>
          <w:i/>
        </w:rPr>
        <w:t>Public Administration</w:t>
      </w:r>
      <w:r w:rsidRPr="00CD7565">
        <w:rPr>
          <w:rFonts w:ascii="Times New Roman" w:hAnsi="Times New Roman" w:cs="Times New Roman"/>
        </w:rPr>
        <w:t>, 87,</w:t>
      </w:r>
      <w:r w:rsidR="00E574A9" w:rsidRPr="00CD7565">
        <w:rPr>
          <w:rFonts w:ascii="Times New Roman" w:hAnsi="Times New Roman" w:cs="Times New Roman"/>
        </w:rPr>
        <w:t xml:space="preserve"> 574-85</w:t>
      </w:r>
    </w:p>
    <w:p w:rsidR="00820101" w:rsidRPr="00CD7565" w:rsidRDefault="00820101" w:rsidP="00CD7565">
      <w:pPr>
        <w:spacing w:line="240" w:lineRule="auto"/>
        <w:rPr>
          <w:rFonts w:ascii="Times New Roman" w:hAnsi="Times New Roman" w:cs="Times New Roman"/>
        </w:rPr>
      </w:pPr>
      <w:r w:rsidRPr="00CD7565">
        <w:rPr>
          <w:rFonts w:ascii="Times New Roman" w:hAnsi="Times New Roman" w:cs="Times New Roman"/>
        </w:rPr>
        <w:t>Gray, C (20</w:t>
      </w:r>
      <w:r w:rsidR="004E0E07" w:rsidRPr="00CD7565">
        <w:rPr>
          <w:rFonts w:ascii="Times New Roman" w:hAnsi="Times New Roman" w:cs="Times New Roman"/>
        </w:rPr>
        <w:t>10</w:t>
      </w:r>
      <w:r w:rsidRPr="00CD7565">
        <w:rPr>
          <w:rFonts w:ascii="Times New Roman" w:hAnsi="Times New Roman" w:cs="Times New Roman"/>
        </w:rPr>
        <w:t xml:space="preserve">), </w:t>
      </w:r>
      <w:r w:rsidR="00B72196" w:rsidRPr="00CD7565">
        <w:rPr>
          <w:rFonts w:ascii="Times New Roman" w:hAnsi="Times New Roman" w:cs="Times New Roman"/>
        </w:rPr>
        <w:t>‘</w:t>
      </w:r>
      <w:r w:rsidR="004E0E07" w:rsidRPr="00CD7565">
        <w:rPr>
          <w:rFonts w:ascii="Times New Roman" w:hAnsi="Times New Roman" w:cs="Times New Roman"/>
        </w:rPr>
        <w:t>Analysing Cultural Policy: Incorrigibly Plural or Ontologically Compatible?</w:t>
      </w:r>
      <w:r w:rsidR="00B72196" w:rsidRPr="00CD7565">
        <w:rPr>
          <w:rFonts w:ascii="Times New Roman" w:hAnsi="Times New Roman" w:cs="Times New Roman"/>
        </w:rPr>
        <w:t>’</w:t>
      </w:r>
      <w:r w:rsidRPr="00CD7565">
        <w:rPr>
          <w:rFonts w:ascii="Times New Roman" w:hAnsi="Times New Roman" w:cs="Times New Roman"/>
        </w:rPr>
        <w:t xml:space="preserve">, </w:t>
      </w:r>
      <w:r w:rsidRPr="00CD7565">
        <w:rPr>
          <w:rFonts w:ascii="Times New Roman" w:hAnsi="Times New Roman" w:cs="Times New Roman"/>
          <w:i/>
        </w:rPr>
        <w:t>International Journal of Cultural Policy</w:t>
      </w:r>
      <w:r w:rsidR="004E0E07" w:rsidRPr="00CD7565">
        <w:rPr>
          <w:rFonts w:ascii="Times New Roman" w:hAnsi="Times New Roman" w:cs="Times New Roman"/>
        </w:rPr>
        <w:t>, 16, 215-30</w:t>
      </w:r>
    </w:p>
    <w:p w:rsidR="00D056A1" w:rsidRPr="00CD7565" w:rsidRDefault="00D056A1" w:rsidP="00CD7565">
      <w:pPr>
        <w:spacing w:line="240" w:lineRule="auto"/>
        <w:rPr>
          <w:rFonts w:ascii="Times New Roman" w:hAnsi="Times New Roman" w:cs="Times New Roman"/>
        </w:rPr>
      </w:pPr>
      <w:r w:rsidRPr="00CD7565">
        <w:rPr>
          <w:rFonts w:ascii="Times New Roman" w:hAnsi="Times New Roman" w:cs="Times New Roman"/>
        </w:rPr>
        <w:t xml:space="preserve">Gray, C (2012), </w:t>
      </w:r>
      <w:r w:rsidRPr="00CD7565">
        <w:rPr>
          <w:rFonts w:ascii="Times New Roman" w:hAnsi="Times New Roman" w:cs="Times New Roman"/>
          <w:i/>
        </w:rPr>
        <w:t>Museums Policy: Structural Invariants and Political Agency?</w:t>
      </w:r>
      <w:r w:rsidRPr="00CD7565">
        <w:rPr>
          <w:rFonts w:ascii="Times New Roman" w:hAnsi="Times New Roman" w:cs="Times New Roman"/>
        </w:rPr>
        <w:t xml:space="preserve"> (paper to The International Centre for Cultural and Heritage Studies, Newcastle University)</w:t>
      </w:r>
    </w:p>
    <w:p w:rsidR="00E574A9" w:rsidRPr="00CD7565" w:rsidRDefault="00E574A9" w:rsidP="00CD7565">
      <w:pPr>
        <w:spacing w:line="240" w:lineRule="auto"/>
        <w:rPr>
          <w:rFonts w:ascii="Times New Roman" w:hAnsi="Times New Roman" w:cs="Times New Roman"/>
        </w:rPr>
      </w:pPr>
      <w:r w:rsidRPr="00CD7565">
        <w:rPr>
          <w:rFonts w:ascii="Times New Roman" w:hAnsi="Times New Roman" w:cs="Times New Roman"/>
        </w:rPr>
        <w:t xml:space="preserve">Gray, C &amp; M. Wingfield (2011), ‘Are Governmental Culture Departments Important?: An Empirical Investigation’, </w:t>
      </w:r>
      <w:r w:rsidRPr="00CD7565">
        <w:rPr>
          <w:rFonts w:ascii="Times New Roman" w:hAnsi="Times New Roman" w:cs="Times New Roman"/>
          <w:i/>
        </w:rPr>
        <w:t>International Journal of Cultural Policy</w:t>
      </w:r>
      <w:r w:rsidRPr="00CD7565">
        <w:rPr>
          <w:rFonts w:ascii="Times New Roman" w:hAnsi="Times New Roman" w:cs="Times New Roman"/>
        </w:rPr>
        <w:t>, 17, 590-604</w:t>
      </w:r>
    </w:p>
    <w:p w:rsidR="00ED556D" w:rsidRPr="00CD7565" w:rsidRDefault="00ED556D" w:rsidP="00CD7565">
      <w:pPr>
        <w:spacing w:line="240" w:lineRule="auto"/>
        <w:rPr>
          <w:rFonts w:ascii="Times New Roman" w:hAnsi="Times New Roman" w:cs="Times New Roman"/>
        </w:rPr>
      </w:pPr>
      <w:r w:rsidRPr="00CD7565">
        <w:rPr>
          <w:rFonts w:ascii="Times New Roman" w:hAnsi="Times New Roman" w:cs="Times New Roman"/>
        </w:rPr>
        <w:lastRenderedPageBreak/>
        <w:t xml:space="preserve">Green, D &amp; I. Shapiro (1994), </w:t>
      </w:r>
      <w:r w:rsidRPr="00CD7565">
        <w:rPr>
          <w:rFonts w:ascii="Times New Roman" w:hAnsi="Times New Roman" w:cs="Times New Roman"/>
          <w:i/>
        </w:rPr>
        <w:t>Pathologies of Rational Choice Theory: A Critique of Applications in Political Science</w:t>
      </w:r>
      <w:r w:rsidRPr="00CD7565">
        <w:rPr>
          <w:rFonts w:ascii="Times New Roman" w:hAnsi="Times New Roman" w:cs="Times New Roman"/>
        </w:rPr>
        <w:t xml:space="preserve"> (New Haven, Yale University Press)</w:t>
      </w:r>
    </w:p>
    <w:p w:rsidR="001D6FAF" w:rsidRPr="00CD7565" w:rsidRDefault="001D6FAF" w:rsidP="00CD7565">
      <w:pPr>
        <w:spacing w:line="240" w:lineRule="auto"/>
        <w:rPr>
          <w:rFonts w:ascii="Times New Roman" w:hAnsi="Times New Roman" w:cs="Times New Roman"/>
        </w:rPr>
      </w:pPr>
      <w:r w:rsidRPr="00CD7565">
        <w:rPr>
          <w:rFonts w:ascii="Times New Roman" w:hAnsi="Times New Roman" w:cs="Times New Roman"/>
        </w:rPr>
        <w:t xml:space="preserve">Hall, P &amp; R. Taylor (1996), ‘Political Science and the Three New Institutionalisms’, </w:t>
      </w:r>
      <w:r w:rsidRPr="00CD7565">
        <w:rPr>
          <w:rFonts w:ascii="Times New Roman" w:hAnsi="Times New Roman" w:cs="Times New Roman"/>
          <w:i/>
        </w:rPr>
        <w:t>Political Studies</w:t>
      </w:r>
      <w:r w:rsidRPr="00CD7565">
        <w:rPr>
          <w:rFonts w:ascii="Times New Roman" w:hAnsi="Times New Roman" w:cs="Times New Roman"/>
        </w:rPr>
        <w:t>, 44, 936-57</w:t>
      </w:r>
    </w:p>
    <w:p w:rsidR="00ED556D" w:rsidRPr="00CD7565" w:rsidRDefault="00ED556D" w:rsidP="00CD7565">
      <w:pPr>
        <w:spacing w:line="240" w:lineRule="auto"/>
        <w:rPr>
          <w:rFonts w:ascii="Times New Roman" w:hAnsi="Times New Roman" w:cs="Times New Roman"/>
        </w:rPr>
      </w:pPr>
      <w:r w:rsidRPr="00CD7565">
        <w:rPr>
          <w:rFonts w:ascii="Times New Roman" w:hAnsi="Times New Roman" w:cs="Times New Roman"/>
        </w:rPr>
        <w:t>Hay, C (</w:t>
      </w:r>
      <w:r w:rsidR="0034265C" w:rsidRPr="00CD7565">
        <w:rPr>
          <w:rFonts w:ascii="Times New Roman" w:hAnsi="Times New Roman" w:cs="Times New Roman"/>
        </w:rPr>
        <w:t xml:space="preserve">2004),‘Theory, Stylized Heuristic or Self-Fulfilling Prophecy? The Status of </w:t>
      </w:r>
      <w:r w:rsidRPr="00CD7565">
        <w:rPr>
          <w:rFonts w:ascii="Times New Roman" w:hAnsi="Times New Roman" w:cs="Times New Roman"/>
        </w:rPr>
        <w:t xml:space="preserve">Rational </w:t>
      </w:r>
      <w:r w:rsidR="0034265C" w:rsidRPr="00CD7565">
        <w:rPr>
          <w:rFonts w:ascii="Times New Roman" w:hAnsi="Times New Roman" w:cs="Times New Roman"/>
        </w:rPr>
        <w:t>C</w:t>
      </w:r>
      <w:r w:rsidRPr="00CD7565">
        <w:rPr>
          <w:rFonts w:ascii="Times New Roman" w:hAnsi="Times New Roman" w:cs="Times New Roman"/>
        </w:rPr>
        <w:t>hoice</w:t>
      </w:r>
      <w:r w:rsidR="0034265C" w:rsidRPr="00CD7565">
        <w:rPr>
          <w:rFonts w:ascii="Times New Roman" w:hAnsi="Times New Roman" w:cs="Times New Roman"/>
        </w:rPr>
        <w:t xml:space="preserve"> Theory in Public </w:t>
      </w:r>
      <w:r w:rsidR="00217C02" w:rsidRPr="00CD7565">
        <w:rPr>
          <w:rFonts w:ascii="Times New Roman" w:hAnsi="Times New Roman" w:cs="Times New Roman"/>
        </w:rPr>
        <w:t>Administration’,</w:t>
      </w:r>
      <w:r w:rsidR="00217C02" w:rsidRPr="00CD7565">
        <w:rPr>
          <w:rFonts w:ascii="Times New Roman" w:hAnsi="Times New Roman" w:cs="Times New Roman"/>
          <w:i/>
        </w:rPr>
        <w:t xml:space="preserve"> Public</w:t>
      </w:r>
      <w:r w:rsidRPr="00CD7565">
        <w:rPr>
          <w:rFonts w:ascii="Times New Roman" w:hAnsi="Times New Roman" w:cs="Times New Roman"/>
          <w:i/>
        </w:rPr>
        <w:t xml:space="preserve"> Administration</w:t>
      </w:r>
      <w:r w:rsidRPr="00CD7565">
        <w:rPr>
          <w:rFonts w:ascii="Times New Roman" w:hAnsi="Times New Roman" w:cs="Times New Roman"/>
        </w:rPr>
        <w:t xml:space="preserve">, </w:t>
      </w:r>
      <w:r w:rsidR="0034265C" w:rsidRPr="00CD7565">
        <w:rPr>
          <w:rFonts w:ascii="Times New Roman" w:hAnsi="Times New Roman" w:cs="Times New Roman"/>
        </w:rPr>
        <w:t>82, 39-62</w:t>
      </w:r>
    </w:p>
    <w:p w:rsidR="00005CB9" w:rsidRPr="00CD7565" w:rsidRDefault="00005CB9" w:rsidP="00CD7565">
      <w:pPr>
        <w:spacing w:line="240" w:lineRule="auto"/>
        <w:rPr>
          <w:rFonts w:ascii="Times New Roman" w:hAnsi="Times New Roman" w:cs="Times New Roman"/>
        </w:rPr>
      </w:pPr>
      <w:r w:rsidRPr="00CD7565">
        <w:rPr>
          <w:rFonts w:ascii="Times New Roman" w:hAnsi="Times New Roman" w:cs="Times New Roman"/>
        </w:rPr>
        <w:t xml:space="preserve">Hindmoor, </w:t>
      </w:r>
      <w:r w:rsidR="00ED556D" w:rsidRPr="00CD7565">
        <w:rPr>
          <w:rFonts w:ascii="Times New Roman" w:hAnsi="Times New Roman" w:cs="Times New Roman"/>
        </w:rPr>
        <w:t>A</w:t>
      </w:r>
      <w:r w:rsidRPr="00CD7565">
        <w:rPr>
          <w:rFonts w:ascii="Times New Roman" w:hAnsi="Times New Roman" w:cs="Times New Roman"/>
        </w:rPr>
        <w:t xml:space="preserve"> (200</w:t>
      </w:r>
      <w:r w:rsidR="00ED556D" w:rsidRPr="00CD7565">
        <w:rPr>
          <w:rFonts w:ascii="Times New Roman" w:hAnsi="Times New Roman" w:cs="Times New Roman"/>
        </w:rPr>
        <w:t>6</w:t>
      </w:r>
      <w:r w:rsidRPr="00CD7565">
        <w:rPr>
          <w:rFonts w:ascii="Times New Roman" w:hAnsi="Times New Roman" w:cs="Times New Roman"/>
        </w:rPr>
        <w:t xml:space="preserve">), </w:t>
      </w:r>
      <w:r w:rsidR="00ED556D" w:rsidRPr="00CD7565">
        <w:rPr>
          <w:rFonts w:ascii="Times New Roman" w:hAnsi="Times New Roman" w:cs="Times New Roman"/>
          <w:i/>
        </w:rPr>
        <w:t>Rational Choice</w:t>
      </w:r>
      <w:r w:rsidR="00ED556D" w:rsidRPr="00CD7565">
        <w:rPr>
          <w:rFonts w:ascii="Times New Roman" w:hAnsi="Times New Roman" w:cs="Times New Roman"/>
        </w:rPr>
        <w:t xml:space="preserve"> (Basingstoke, Palgrave Macmillan)</w:t>
      </w:r>
    </w:p>
    <w:p w:rsidR="001C4818" w:rsidRPr="00CD7565" w:rsidRDefault="001C4818" w:rsidP="00CD7565">
      <w:pPr>
        <w:spacing w:line="240" w:lineRule="auto"/>
        <w:rPr>
          <w:rFonts w:ascii="Times New Roman" w:hAnsi="Times New Roman" w:cs="Times New Roman"/>
        </w:rPr>
      </w:pPr>
      <w:r w:rsidRPr="00CD7565">
        <w:rPr>
          <w:rFonts w:ascii="Times New Roman" w:hAnsi="Times New Roman" w:cs="Times New Roman"/>
        </w:rPr>
        <w:t xml:space="preserve">Hood, C (1983), </w:t>
      </w:r>
      <w:r w:rsidRPr="00CD7565">
        <w:rPr>
          <w:rFonts w:ascii="Times New Roman" w:hAnsi="Times New Roman" w:cs="Times New Roman"/>
          <w:i/>
        </w:rPr>
        <w:t>The Tools of Government</w:t>
      </w:r>
      <w:r w:rsidRPr="00CD7565">
        <w:rPr>
          <w:rFonts w:ascii="Times New Roman" w:hAnsi="Times New Roman" w:cs="Times New Roman"/>
        </w:rPr>
        <w:t xml:space="preserve"> (London, Macmillan)</w:t>
      </w:r>
    </w:p>
    <w:p w:rsidR="00A04AE3" w:rsidRPr="00CD7565" w:rsidRDefault="00A04AE3" w:rsidP="00CD7565">
      <w:pPr>
        <w:spacing w:line="240" w:lineRule="auto"/>
        <w:rPr>
          <w:rFonts w:ascii="Times New Roman" w:hAnsi="Times New Roman" w:cs="Times New Roman"/>
        </w:rPr>
      </w:pPr>
      <w:r w:rsidRPr="00CD7565">
        <w:rPr>
          <w:rFonts w:ascii="Times New Roman" w:hAnsi="Times New Roman" w:cs="Times New Roman"/>
        </w:rPr>
        <w:t xml:space="preserve">Hood, C (2006), </w:t>
      </w:r>
      <w:r w:rsidR="003D5DCA" w:rsidRPr="00CD7565">
        <w:rPr>
          <w:rFonts w:ascii="Times New Roman" w:hAnsi="Times New Roman" w:cs="Times New Roman"/>
        </w:rPr>
        <w:t xml:space="preserve">‘Gaming in Targetworld: the Targets Approach to Managing British Public Services’, </w:t>
      </w:r>
      <w:r w:rsidR="003D5DCA" w:rsidRPr="00CD7565">
        <w:rPr>
          <w:rFonts w:ascii="Times New Roman" w:hAnsi="Times New Roman" w:cs="Times New Roman"/>
          <w:i/>
        </w:rPr>
        <w:t>Public Administration Review</w:t>
      </w:r>
      <w:r w:rsidR="003D5DCA" w:rsidRPr="00CD7565">
        <w:rPr>
          <w:rFonts w:ascii="Times New Roman" w:hAnsi="Times New Roman" w:cs="Times New Roman"/>
        </w:rPr>
        <w:t>,</w:t>
      </w:r>
      <w:r w:rsidR="007B700A" w:rsidRPr="00CD7565">
        <w:rPr>
          <w:rFonts w:ascii="Times New Roman" w:hAnsi="Times New Roman" w:cs="Times New Roman"/>
        </w:rPr>
        <w:t xml:space="preserve"> 66</w:t>
      </w:r>
      <w:r w:rsidR="003D5DCA" w:rsidRPr="00CD7565">
        <w:rPr>
          <w:rFonts w:ascii="Times New Roman" w:hAnsi="Times New Roman" w:cs="Times New Roman"/>
        </w:rPr>
        <w:t>,515-21</w:t>
      </w:r>
    </w:p>
    <w:p w:rsidR="00D13774" w:rsidRPr="00CD7565" w:rsidRDefault="00D13774" w:rsidP="00CD7565">
      <w:pPr>
        <w:spacing w:line="240" w:lineRule="auto"/>
        <w:rPr>
          <w:rFonts w:ascii="Times New Roman" w:hAnsi="Times New Roman" w:cs="Times New Roman"/>
        </w:rPr>
      </w:pPr>
      <w:r w:rsidRPr="00CD7565">
        <w:rPr>
          <w:rFonts w:ascii="Times New Roman" w:hAnsi="Times New Roman" w:cs="Times New Roman"/>
        </w:rPr>
        <w:t>Howlett</w:t>
      </w:r>
      <w:r w:rsidR="00F92167" w:rsidRPr="00CD7565">
        <w:rPr>
          <w:rFonts w:ascii="Times New Roman" w:hAnsi="Times New Roman" w:cs="Times New Roman"/>
        </w:rPr>
        <w:t>, M</w:t>
      </w:r>
      <w:r w:rsidRPr="00CD7565">
        <w:rPr>
          <w:rFonts w:ascii="Times New Roman" w:hAnsi="Times New Roman" w:cs="Times New Roman"/>
        </w:rPr>
        <w:t xml:space="preserve"> (201</w:t>
      </w:r>
      <w:r w:rsidR="00F92167" w:rsidRPr="00CD7565">
        <w:rPr>
          <w:rFonts w:ascii="Times New Roman" w:hAnsi="Times New Roman" w:cs="Times New Roman"/>
        </w:rPr>
        <w:t>1</w:t>
      </w:r>
      <w:r w:rsidRPr="00CD7565">
        <w:rPr>
          <w:rFonts w:ascii="Times New Roman" w:hAnsi="Times New Roman" w:cs="Times New Roman"/>
        </w:rPr>
        <w:t>)</w:t>
      </w:r>
      <w:r w:rsidR="00F92167" w:rsidRPr="00CD7565">
        <w:rPr>
          <w:rFonts w:ascii="Times New Roman" w:hAnsi="Times New Roman" w:cs="Times New Roman"/>
        </w:rPr>
        <w:t xml:space="preserve">, </w:t>
      </w:r>
      <w:r w:rsidR="00F92167" w:rsidRPr="00CD7565">
        <w:rPr>
          <w:rFonts w:ascii="Times New Roman" w:hAnsi="Times New Roman" w:cs="Times New Roman"/>
          <w:i/>
        </w:rPr>
        <w:t>Designing Public Policies: Principles and Instruments</w:t>
      </w:r>
      <w:r w:rsidR="00F92167" w:rsidRPr="00CD7565">
        <w:rPr>
          <w:rFonts w:ascii="Times New Roman" w:hAnsi="Times New Roman" w:cs="Times New Roman"/>
        </w:rPr>
        <w:t xml:space="preserve"> (London, Routledge)</w:t>
      </w:r>
    </w:p>
    <w:p w:rsidR="000916E0" w:rsidRPr="00CD7565" w:rsidRDefault="000916E0" w:rsidP="00CD7565">
      <w:pPr>
        <w:spacing w:line="240" w:lineRule="auto"/>
        <w:rPr>
          <w:rFonts w:ascii="Times New Roman" w:hAnsi="Times New Roman" w:cs="Times New Roman"/>
        </w:rPr>
      </w:pPr>
      <w:r w:rsidRPr="00CD7565">
        <w:rPr>
          <w:rFonts w:ascii="Times New Roman" w:hAnsi="Times New Roman" w:cs="Times New Roman"/>
        </w:rPr>
        <w:t xml:space="preserve">Ingram, H, A. Schneider &amp; P. deLeon (2007), ‘Social Construction and Policy Design’, 93-126 in P. Sabatier (Ed), </w:t>
      </w:r>
      <w:r w:rsidRPr="00CD7565">
        <w:rPr>
          <w:rFonts w:ascii="Times New Roman" w:hAnsi="Times New Roman" w:cs="Times New Roman"/>
          <w:i/>
        </w:rPr>
        <w:t>Theories of the Policy Process</w:t>
      </w:r>
      <w:r w:rsidR="00D67E75" w:rsidRPr="00CD7565">
        <w:rPr>
          <w:rFonts w:ascii="Times New Roman" w:hAnsi="Times New Roman" w:cs="Times New Roman"/>
        </w:rPr>
        <w:t xml:space="preserve"> (2</w:t>
      </w:r>
      <w:r w:rsidR="00D67E75" w:rsidRPr="00CD7565">
        <w:rPr>
          <w:rFonts w:ascii="Times New Roman" w:hAnsi="Times New Roman" w:cs="Times New Roman"/>
          <w:vertAlign w:val="superscript"/>
        </w:rPr>
        <w:t>nd</w:t>
      </w:r>
      <w:r w:rsidR="00D67E75" w:rsidRPr="00CD7565">
        <w:rPr>
          <w:rFonts w:ascii="Times New Roman" w:hAnsi="Times New Roman" w:cs="Times New Roman"/>
        </w:rPr>
        <w:t xml:space="preserve"> Ed, Boulder, Westview)</w:t>
      </w:r>
    </w:p>
    <w:p w:rsidR="00F72471" w:rsidRPr="00CD7565" w:rsidRDefault="00F72471" w:rsidP="00CD7565">
      <w:pPr>
        <w:spacing w:line="240" w:lineRule="auto"/>
        <w:rPr>
          <w:rFonts w:ascii="Times New Roman" w:hAnsi="Times New Roman" w:cs="Times New Roman"/>
        </w:rPr>
      </w:pPr>
      <w:r w:rsidRPr="00CD7565">
        <w:rPr>
          <w:rFonts w:ascii="Times New Roman" w:hAnsi="Times New Roman" w:cs="Times New Roman"/>
        </w:rPr>
        <w:t>Ling</w:t>
      </w:r>
      <w:r w:rsidR="00BE32F0" w:rsidRPr="00CD7565">
        <w:rPr>
          <w:rFonts w:ascii="Times New Roman" w:hAnsi="Times New Roman" w:cs="Times New Roman"/>
        </w:rPr>
        <w:t xml:space="preserve">, T (2002), ‘Delivering Joined-Up Government in the UK’, </w:t>
      </w:r>
      <w:r w:rsidR="00BE32F0" w:rsidRPr="00CD7565">
        <w:rPr>
          <w:rFonts w:ascii="Times New Roman" w:hAnsi="Times New Roman" w:cs="Times New Roman"/>
          <w:i/>
        </w:rPr>
        <w:t>Public Administration</w:t>
      </w:r>
      <w:r w:rsidR="00BE32F0" w:rsidRPr="00CD7565">
        <w:rPr>
          <w:rFonts w:ascii="Times New Roman" w:hAnsi="Times New Roman" w:cs="Times New Roman"/>
        </w:rPr>
        <w:t>, 80, 615-42</w:t>
      </w:r>
    </w:p>
    <w:p w:rsidR="00F10BC6" w:rsidRPr="00CD7565" w:rsidRDefault="00F10BC6" w:rsidP="00CD7565">
      <w:pPr>
        <w:spacing w:line="240" w:lineRule="auto"/>
        <w:rPr>
          <w:rFonts w:ascii="Times New Roman" w:hAnsi="Times New Roman" w:cs="Times New Roman"/>
        </w:rPr>
      </w:pPr>
      <w:r w:rsidRPr="00CD7565">
        <w:rPr>
          <w:rFonts w:ascii="Times New Roman" w:hAnsi="Times New Roman" w:cs="Times New Roman"/>
        </w:rPr>
        <w:t xml:space="preserve">Marx, K (1973), </w:t>
      </w:r>
      <w:r w:rsidRPr="00CD7565">
        <w:rPr>
          <w:rFonts w:ascii="Times New Roman" w:hAnsi="Times New Roman" w:cs="Times New Roman"/>
          <w:i/>
        </w:rPr>
        <w:t>Surveys From Exile: Political Writings, Volume 2</w:t>
      </w:r>
      <w:r w:rsidRPr="00CD7565">
        <w:rPr>
          <w:rFonts w:ascii="Times New Roman" w:hAnsi="Times New Roman" w:cs="Times New Roman"/>
        </w:rPr>
        <w:t xml:space="preserve"> (London, Allen Lane)</w:t>
      </w:r>
    </w:p>
    <w:p w:rsidR="00692D12" w:rsidRPr="00CD7565" w:rsidRDefault="00692D12" w:rsidP="00CD7565">
      <w:pPr>
        <w:spacing w:line="240" w:lineRule="auto"/>
        <w:rPr>
          <w:rFonts w:ascii="Times New Roman" w:hAnsi="Times New Roman" w:cs="Times New Roman"/>
        </w:rPr>
      </w:pPr>
      <w:r w:rsidRPr="00CD7565">
        <w:rPr>
          <w:rFonts w:ascii="Times New Roman" w:hAnsi="Times New Roman" w:cs="Times New Roman"/>
        </w:rPr>
        <w:t xml:space="preserve">Mason, R (2011), ‘Representing  Wales at the Museum of Welsh Life’, 247-71 in S. Knell, P. Aronsson, A. Amundsen, A. Barnes, S. Burch, J. Carter, V. Gosselin, S. Hughes &amp; A. Kirwan (Eds), </w:t>
      </w:r>
      <w:r w:rsidRPr="00CD7565">
        <w:rPr>
          <w:rFonts w:ascii="Times New Roman" w:hAnsi="Times New Roman" w:cs="Times New Roman"/>
          <w:i/>
        </w:rPr>
        <w:t>National Museums: New Studies From Around the World</w:t>
      </w:r>
      <w:r w:rsidRPr="00CD7565">
        <w:rPr>
          <w:rFonts w:ascii="Times New Roman" w:hAnsi="Times New Roman" w:cs="Times New Roman"/>
        </w:rPr>
        <w:t xml:space="preserve"> (London, Routledge)</w:t>
      </w:r>
    </w:p>
    <w:p w:rsidR="005F7FDC" w:rsidRPr="00CD7565" w:rsidRDefault="005F7FDC" w:rsidP="00CD7565">
      <w:pPr>
        <w:spacing w:line="240" w:lineRule="auto"/>
        <w:rPr>
          <w:rFonts w:ascii="Times New Roman" w:hAnsi="Times New Roman" w:cs="Times New Roman"/>
        </w:rPr>
      </w:pPr>
      <w:r w:rsidRPr="00CD7565">
        <w:rPr>
          <w:rFonts w:ascii="Times New Roman" w:hAnsi="Times New Roman" w:cs="Times New Roman"/>
        </w:rPr>
        <w:t xml:space="preserve">Mouzelis, N (1995), </w:t>
      </w:r>
      <w:r w:rsidRPr="00CD7565">
        <w:rPr>
          <w:rFonts w:ascii="Times New Roman" w:hAnsi="Times New Roman" w:cs="Times New Roman"/>
          <w:i/>
        </w:rPr>
        <w:t>Sociological Theory: What Went Wrong? Diagnosis and Remedies</w:t>
      </w:r>
      <w:r w:rsidRPr="00CD7565">
        <w:rPr>
          <w:rFonts w:ascii="Times New Roman" w:hAnsi="Times New Roman" w:cs="Times New Roman"/>
        </w:rPr>
        <w:t xml:space="preserve"> (London, Routledge)</w:t>
      </w:r>
    </w:p>
    <w:p w:rsidR="00741192" w:rsidRPr="00CD7565" w:rsidRDefault="00741192" w:rsidP="00CD7565">
      <w:pPr>
        <w:spacing w:line="240" w:lineRule="auto"/>
        <w:rPr>
          <w:rFonts w:ascii="Times New Roman" w:hAnsi="Times New Roman" w:cs="Times New Roman"/>
        </w:rPr>
      </w:pPr>
      <w:r w:rsidRPr="00CD7565">
        <w:rPr>
          <w:rFonts w:ascii="Times New Roman" w:hAnsi="Times New Roman" w:cs="Times New Roman"/>
        </w:rPr>
        <w:t xml:space="preserve">Newman, A (2011), ‘Imagining the Social Impact of Museums and Galleries: Interrogating Cultural Policy Through an Empirical Study’, </w:t>
      </w:r>
      <w:r w:rsidRPr="00CD7565">
        <w:rPr>
          <w:rFonts w:ascii="Times New Roman" w:hAnsi="Times New Roman" w:cs="Times New Roman"/>
          <w:i/>
        </w:rPr>
        <w:t>International Journal of Cultural Policy</w:t>
      </w:r>
      <w:r w:rsidR="007B6350" w:rsidRPr="00CD7565">
        <w:rPr>
          <w:rFonts w:ascii="Times New Roman" w:hAnsi="Times New Roman" w:cs="Times New Roman"/>
        </w:rPr>
        <w:t>, e-publication in advance of print</w:t>
      </w:r>
    </w:p>
    <w:p w:rsidR="00B8660D" w:rsidRPr="00CD7565" w:rsidRDefault="00B8660D" w:rsidP="00CD7565">
      <w:pPr>
        <w:spacing w:line="240" w:lineRule="auto"/>
        <w:rPr>
          <w:rFonts w:ascii="Times New Roman" w:hAnsi="Times New Roman" w:cs="Times New Roman"/>
        </w:rPr>
      </w:pPr>
      <w:r w:rsidRPr="00CD7565">
        <w:rPr>
          <w:rFonts w:ascii="Times New Roman" w:hAnsi="Times New Roman" w:cs="Times New Roman"/>
        </w:rPr>
        <w:t>Newman, A &amp; F. MacLean (200</w:t>
      </w:r>
      <w:r w:rsidR="00BE32F0" w:rsidRPr="00CD7565">
        <w:rPr>
          <w:rFonts w:ascii="Times New Roman" w:hAnsi="Times New Roman" w:cs="Times New Roman"/>
        </w:rPr>
        <w:t>4)</w:t>
      </w:r>
      <w:r w:rsidRPr="00CD7565">
        <w:rPr>
          <w:rFonts w:ascii="Times New Roman" w:hAnsi="Times New Roman" w:cs="Times New Roman"/>
        </w:rPr>
        <w:t>,</w:t>
      </w:r>
      <w:r w:rsidR="00BE32F0" w:rsidRPr="00CD7565">
        <w:rPr>
          <w:rFonts w:ascii="Times New Roman" w:hAnsi="Times New Roman" w:cs="Times New Roman"/>
        </w:rPr>
        <w:t xml:space="preserve"> ‘Presumption, Policy and Practice: the Use of Museums and Galleries as Agents of Social </w:t>
      </w:r>
      <w:r w:rsidR="00217C02" w:rsidRPr="00CD7565">
        <w:rPr>
          <w:rFonts w:ascii="Times New Roman" w:hAnsi="Times New Roman" w:cs="Times New Roman"/>
        </w:rPr>
        <w:t>Inclusion’,</w:t>
      </w:r>
      <w:r w:rsidR="00217C02" w:rsidRPr="00CD7565">
        <w:rPr>
          <w:rFonts w:ascii="Times New Roman" w:hAnsi="Times New Roman" w:cs="Times New Roman"/>
          <w:i/>
        </w:rPr>
        <w:t xml:space="preserve"> International</w:t>
      </w:r>
      <w:r w:rsidRPr="00CD7565">
        <w:rPr>
          <w:rFonts w:ascii="Times New Roman" w:hAnsi="Times New Roman" w:cs="Times New Roman"/>
          <w:i/>
        </w:rPr>
        <w:t xml:space="preserve"> Journal of Cultural Policy</w:t>
      </w:r>
      <w:r w:rsidR="00BE32F0" w:rsidRPr="00CD7565">
        <w:rPr>
          <w:rFonts w:ascii="Times New Roman" w:hAnsi="Times New Roman" w:cs="Times New Roman"/>
        </w:rPr>
        <w:t>, 10, 167-81</w:t>
      </w:r>
    </w:p>
    <w:p w:rsidR="00752C7E" w:rsidRPr="00CD7565" w:rsidRDefault="00752C7E" w:rsidP="00CD7565">
      <w:pPr>
        <w:spacing w:line="240" w:lineRule="auto"/>
        <w:rPr>
          <w:rFonts w:ascii="Times New Roman" w:hAnsi="Times New Roman" w:cs="Times New Roman"/>
        </w:rPr>
      </w:pPr>
      <w:r w:rsidRPr="00CD7565">
        <w:rPr>
          <w:rFonts w:ascii="Times New Roman" w:hAnsi="Times New Roman" w:cs="Times New Roman"/>
        </w:rPr>
        <w:t xml:space="preserve">Newman, K &amp; P. Tourle (2011), </w:t>
      </w:r>
      <w:r w:rsidRPr="00CD7565">
        <w:rPr>
          <w:rFonts w:ascii="Times New Roman" w:hAnsi="Times New Roman" w:cs="Times New Roman"/>
          <w:i/>
        </w:rPr>
        <w:t>The Impact of Cuts on UK Museums: A Report for the Museums Association</w:t>
      </w:r>
      <w:r w:rsidRPr="00CD7565">
        <w:rPr>
          <w:rFonts w:ascii="Times New Roman" w:hAnsi="Times New Roman" w:cs="Times New Roman"/>
        </w:rPr>
        <w:t xml:space="preserve"> (London, Museums Association)</w:t>
      </w:r>
    </w:p>
    <w:p w:rsidR="00752C7E" w:rsidRPr="00CD7565" w:rsidRDefault="00752C7E" w:rsidP="00CD7565">
      <w:pPr>
        <w:spacing w:line="240" w:lineRule="auto"/>
        <w:rPr>
          <w:rFonts w:ascii="Times New Roman" w:hAnsi="Times New Roman" w:cs="Times New Roman"/>
        </w:rPr>
      </w:pPr>
      <w:r w:rsidRPr="00CD7565">
        <w:rPr>
          <w:rFonts w:ascii="Times New Roman" w:hAnsi="Times New Roman" w:cs="Times New Roman"/>
        </w:rPr>
        <w:t>Nisbett, M (2012), ‘New Perspectives on Instrumentalism: An Empirical Study of Cultural Diplomacy’ (Unpublished Paper)</w:t>
      </w:r>
    </w:p>
    <w:p w:rsidR="005D4E64" w:rsidRPr="00CD7565" w:rsidRDefault="005D4E64" w:rsidP="00CD7565">
      <w:pPr>
        <w:spacing w:line="240" w:lineRule="auto"/>
        <w:rPr>
          <w:rFonts w:ascii="Times New Roman" w:hAnsi="Times New Roman" w:cs="Times New Roman"/>
        </w:rPr>
      </w:pPr>
      <w:r w:rsidRPr="00CD7565">
        <w:rPr>
          <w:rFonts w:ascii="Times New Roman" w:hAnsi="Times New Roman" w:cs="Times New Roman"/>
        </w:rPr>
        <w:t>Pettegree, A (201</w:t>
      </w:r>
      <w:r w:rsidR="009624EC" w:rsidRPr="00CD7565">
        <w:rPr>
          <w:rFonts w:ascii="Times New Roman" w:hAnsi="Times New Roman" w:cs="Times New Roman"/>
        </w:rPr>
        <w:t>0</w:t>
      </w:r>
      <w:r w:rsidRPr="00CD7565">
        <w:rPr>
          <w:rFonts w:ascii="Times New Roman" w:hAnsi="Times New Roman" w:cs="Times New Roman"/>
        </w:rPr>
        <w:t xml:space="preserve">), </w:t>
      </w:r>
      <w:r w:rsidRPr="00CD7565">
        <w:rPr>
          <w:rFonts w:ascii="Times New Roman" w:hAnsi="Times New Roman" w:cs="Times New Roman"/>
          <w:i/>
        </w:rPr>
        <w:t>The Book in the Renaissance</w:t>
      </w:r>
      <w:r w:rsidR="009624EC" w:rsidRPr="00CD7565">
        <w:rPr>
          <w:rFonts w:ascii="Times New Roman" w:hAnsi="Times New Roman" w:cs="Times New Roman"/>
        </w:rPr>
        <w:t xml:space="preserve"> (New Haven, Yale University Press)</w:t>
      </w:r>
    </w:p>
    <w:p w:rsidR="00F72471" w:rsidRPr="00CD7565" w:rsidRDefault="00F72471" w:rsidP="00CD7565">
      <w:pPr>
        <w:spacing w:line="240" w:lineRule="auto"/>
        <w:rPr>
          <w:rFonts w:ascii="Times New Roman" w:hAnsi="Times New Roman" w:cs="Times New Roman"/>
        </w:rPr>
      </w:pPr>
      <w:r w:rsidRPr="00CD7565">
        <w:rPr>
          <w:rFonts w:ascii="Times New Roman" w:hAnsi="Times New Roman" w:cs="Times New Roman"/>
        </w:rPr>
        <w:t>Pollitt</w:t>
      </w:r>
      <w:r w:rsidR="00BE32F0" w:rsidRPr="00CD7565">
        <w:rPr>
          <w:rFonts w:ascii="Times New Roman" w:hAnsi="Times New Roman" w:cs="Times New Roman"/>
        </w:rPr>
        <w:t xml:space="preserve">, C (2003), ‘Joined-Up Government: A Survey’, </w:t>
      </w:r>
      <w:r w:rsidR="00BE32F0" w:rsidRPr="00CD7565">
        <w:rPr>
          <w:rFonts w:ascii="Times New Roman" w:hAnsi="Times New Roman" w:cs="Times New Roman"/>
          <w:i/>
        </w:rPr>
        <w:t>Political Studies Review</w:t>
      </w:r>
      <w:r w:rsidR="00BE32F0" w:rsidRPr="00CD7565">
        <w:rPr>
          <w:rFonts w:ascii="Times New Roman" w:hAnsi="Times New Roman" w:cs="Times New Roman"/>
        </w:rPr>
        <w:t>, 1, 34-49</w:t>
      </w:r>
    </w:p>
    <w:p w:rsidR="00195863" w:rsidRPr="00CD7565" w:rsidRDefault="00195863" w:rsidP="00CD7565">
      <w:pPr>
        <w:spacing w:line="240" w:lineRule="auto"/>
        <w:rPr>
          <w:rFonts w:ascii="Times New Roman" w:hAnsi="Times New Roman" w:cs="Times New Roman"/>
        </w:rPr>
      </w:pPr>
      <w:r w:rsidRPr="00CD7565">
        <w:rPr>
          <w:rFonts w:ascii="Times New Roman" w:hAnsi="Times New Roman" w:cs="Times New Roman"/>
        </w:rPr>
        <w:t xml:space="preserve">Rhodes, R (1981), </w:t>
      </w:r>
      <w:r w:rsidRPr="00CD7565">
        <w:rPr>
          <w:rFonts w:ascii="Times New Roman" w:hAnsi="Times New Roman" w:cs="Times New Roman"/>
          <w:i/>
        </w:rPr>
        <w:t>Control and Power in Central-Local Government Relations</w:t>
      </w:r>
      <w:r w:rsidRPr="00CD7565">
        <w:rPr>
          <w:rFonts w:ascii="Times New Roman" w:hAnsi="Times New Roman" w:cs="Times New Roman"/>
        </w:rPr>
        <w:t xml:space="preserve"> (Aldershot, Gower)</w:t>
      </w:r>
    </w:p>
    <w:p w:rsidR="0061564E" w:rsidRPr="00CD7565" w:rsidRDefault="0061564E" w:rsidP="00CD7565">
      <w:pPr>
        <w:spacing w:line="240" w:lineRule="auto"/>
        <w:rPr>
          <w:rFonts w:ascii="Times New Roman" w:hAnsi="Times New Roman" w:cs="Times New Roman"/>
        </w:rPr>
      </w:pPr>
      <w:r w:rsidRPr="00CD7565">
        <w:rPr>
          <w:rFonts w:ascii="Times New Roman" w:hAnsi="Times New Roman" w:cs="Times New Roman"/>
        </w:rPr>
        <w:t>Rose, R</w:t>
      </w:r>
      <w:r w:rsidR="00BE32F0" w:rsidRPr="00CD7565">
        <w:rPr>
          <w:rFonts w:ascii="Times New Roman" w:hAnsi="Times New Roman" w:cs="Times New Roman"/>
        </w:rPr>
        <w:t xml:space="preserve"> (2005)</w:t>
      </w:r>
      <w:r w:rsidRPr="00CD7565">
        <w:rPr>
          <w:rFonts w:ascii="Times New Roman" w:hAnsi="Times New Roman" w:cs="Times New Roman"/>
        </w:rPr>
        <w:t xml:space="preserve">, </w:t>
      </w:r>
      <w:r w:rsidR="00BE32F0" w:rsidRPr="00CD7565">
        <w:rPr>
          <w:rFonts w:ascii="Times New Roman" w:hAnsi="Times New Roman" w:cs="Times New Roman"/>
          <w:i/>
        </w:rPr>
        <w:t>L</w:t>
      </w:r>
      <w:r w:rsidRPr="00CD7565">
        <w:rPr>
          <w:rFonts w:ascii="Times New Roman" w:hAnsi="Times New Roman" w:cs="Times New Roman"/>
          <w:i/>
        </w:rPr>
        <w:t>earning</w:t>
      </w:r>
      <w:r w:rsidR="00BE32F0" w:rsidRPr="00CD7565">
        <w:rPr>
          <w:rFonts w:ascii="Times New Roman" w:hAnsi="Times New Roman" w:cs="Times New Roman"/>
          <w:i/>
        </w:rPr>
        <w:t xml:space="preserve"> From Comparative Public Policy: A Practical Guide</w:t>
      </w:r>
      <w:r w:rsidR="00BE32F0" w:rsidRPr="00CD7565">
        <w:rPr>
          <w:rFonts w:ascii="Times New Roman" w:hAnsi="Times New Roman" w:cs="Times New Roman"/>
        </w:rPr>
        <w:t xml:space="preserve"> (Abingdon, Routledge)</w:t>
      </w:r>
    </w:p>
    <w:p w:rsidR="002F57A7" w:rsidRPr="00CD7565" w:rsidRDefault="00F92167" w:rsidP="00CD7565">
      <w:pPr>
        <w:spacing w:line="240" w:lineRule="auto"/>
        <w:rPr>
          <w:rFonts w:ascii="Times New Roman" w:hAnsi="Times New Roman" w:cs="Times New Roman"/>
        </w:rPr>
      </w:pPr>
      <w:r w:rsidRPr="00CD7565">
        <w:rPr>
          <w:rFonts w:ascii="Times New Roman" w:hAnsi="Times New Roman" w:cs="Times New Roman"/>
        </w:rPr>
        <w:t>R</w:t>
      </w:r>
      <w:r w:rsidR="002F57A7" w:rsidRPr="00CD7565">
        <w:rPr>
          <w:rFonts w:ascii="Times New Roman" w:hAnsi="Times New Roman" w:cs="Times New Roman"/>
        </w:rPr>
        <w:t>oyseng, S (200</w:t>
      </w:r>
      <w:r w:rsidRPr="00CD7565">
        <w:rPr>
          <w:rFonts w:ascii="Times New Roman" w:hAnsi="Times New Roman" w:cs="Times New Roman"/>
        </w:rPr>
        <w:t xml:space="preserve">8), </w:t>
      </w:r>
      <w:r w:rsidRPr="00CD7565">
        <w:rPr>
          <w:rFonts w:ascii="Times New Roman" w:hAnsi="Times New Roman" w:cs="Times New Roman"/>
          <w:i/>
        </w:rPr>
        <w:t>The Ritual Logic of Cultural Policy</w:t>
      </w:r>
      <w:r w:rsidRPr="00CD7565">
        <w:rPr>
          <w:rFonts w:ascii="Times New Roman" w:hAnsi="Times New Roman" w:cs="Times New Roman"/>
        </w:rPr>
        <w:t xml:space="preserve"> (Paper to the 5</w:t>
      </w:r>
      <w:r w:rsidRPr="00CD7565">
        <w:rPr>
          <w:rFonts w:ascii="Times New Roman" w:hAnsi="Times New Roman" w:cs="Times New Roman"/>
          <w:vertAlign w:val="superscript"/>
        </w:rPr>
        <w:t>th</w:t>
      </w:r>
      <w:r w:rsidRPr="00CD7565">
        <w:rPr>
          <w:rFonts w:ascii="Times New Roman" w:hAnsi="Times New Roman" w:cs="Times New Roman"/>
        </w:rPr>
        <w:t xml:space="preserve"> International Conference on Cultural Policy Research, Istanbul)</w:t>
      </w:r>
    </w:p>
    <w:p w:rsidR="00F32092" w:rsidRPr="00CD7565" w:rsidRDefault="00F32092" w:rsidP="00CD7565">
      <w:pPr>
        <w:spacing w:line="240" w:lineRule="auto"/>
        <w:rPr>
          <w:rFonts w:ascii="Times New Roman" w:hAnsi="Times New Roman" w:cs="Times New Roman"/>
        </w:rPr>
      </w:pPr>
      <w:r w:rsidRPr="00CD7565">
        <w:rPr>
          <w:rFonts w:ascii="Times New Roman" w:hAnsi="Times New Roman" w:cs="Times New Roman"/>
        </w:rPr>
        <w:t xml:space="preserve">Sanderson, I (2002), ‘Evaluation, Policy Learning and Evidence-Based Policy Making’, </w:t>
      </w:r>
      <w:r w:rsidRPr="00CD7565">
        <w:rPr>
          <w:rFonts w:ascii="Times New Roman" w:hAnsi="Times New Roman" w:cs="Times New Roman"/>
          <w:i/>
        </w:rPr>
        <w:t>Public Administration</w:t>
      </w:r>
      <w:r w:rsidRPr="00CD7565">
        <w:rPr>
          <w:rFonts w:ascii="Times New Roman" w:hAnsi="Times New Roman" w:cs="Times New Roman"/>
        </w:rPr>
        <w:t>, 80, 1-22</w:t>
      </w:r>
    </w:p>
    <w:p w:rsidR="003D5DCA" w:rsidRPr="00CD7565" w:rsidRDefault="003D5DCA" w:rsidP="00CD7565">
      <w:pPr>
        <w:spacing w:line="240" w:lineRule="auto"/>
        <w:rPr>
          <w:rFonts w:ascii="Times New Roman" w:hAnsi="Times New Roman" w:cs="Times New Roman"/>
        </w:rPr>
      </w:pPr>
      <w:r w:rsidRPr="00CD7565">
        <w:rPr>
          <w:rFonts w:ascii="Times New Roman" w:hAnsi="Times New Roman" w:cs="Times New Roman"/>
        </w:rPr>
        <w:lastRenderedPageBreak/>
        <w:t xml:space="preserve">Smith, P (1995), ‘On the Unintended Consequences of Publishing Performance Data in the Public Sector’, </w:t>
      </w:r>
      <w:r w:rsidRPr="00CD7565">
        <w:rPr>
          <w:rFonts w:ascii="Times New Roman" w:hAnsi="Times New Roman" w:cs="Times New Roman"/>
          <w:i/>
        </w:rPr>
        <w:t>International Journal of Public Administration</w:t>
      </w:r>
      <w:r w:rsidRPr="00CD7565">
        <w:rPr>
          <w:rFonts w:ascii="Times New Roman" w:hAnsi="Times New Roman" w:cs="Times New Roman"/>
        </w:rPr>
        <w:t>, 18, 277-310</w:t>
      </w:r>
    </w:p>
    <w:p w:rsidR="00CB7730" w:rsidRPr="00CD7565" w:rsidRDefault="00692D12" w:rsidP="00CD7565">
      <w:pPr>
        <w:spacing w:line="240" w:lineRule="auto"/>
        <w:rPr>
          <w:rFonts w:ascii="Times New Roman" w:hAnsi="Times New Roman" w:cs="Times New Roman"/>
        </w:rPr>
      </w:pPr>
      <w:r w:rsidRPr="00CD7565">
        <w:rPr>
          <w:rFonts w:ascii="Times New Roman" w:hAnsi="Times New Roman" w:cs="Times New Roman"/>
        </w:rPr>
        <w:t xml:space="preserve">Szekeres, V (2002), ‘Representing Diversity and Challenging Racism: the Migration Museum’, 142-52 in R. Sandell (Ed), </w:t>
      </w:r>
      <w:r w:rsidRPr="00CD7565">
        <w:rPr>
          <w:rFonts w:ascii="Times New Roman" w:hAnsi="Times New Roman" w:cs="Times New Roman"/>
          <w:i/>
        </w:rPr>
        <w:t>Museums, Society, Inequality</w:t>
      </w:r>
      <w:r w:rsidRPr="00CD7565">
        <w:rPr>
          <w:rFonts w:ascii="Times New Roman" w:hAnsi="Times New Roman" w:cs="Times New Roman"/>
        </w:rPr>
        <w:t xml:space="preserve"> (London, Routledge)</w:t>
      </w:r>
    </w:p>
    <w:p w:rsidR="00FF7F04" w:rsidRPr="00CD7565" w:rsidRDefault="00FF7F04" w:rsidP="00CD7565">
      <w:pPr>
        <w:spacing w:line="240" w:lineRule="auto"/>
        <w:rPr>
          <w:rFonts w:ascii="Times New Roman" w:hAnsi="Times New Roman" w:cs="Times New Roman"/>
        </w:rPr>
      </w:pPr>
      <w:r w:rsidRPr="00CD7565">
        <w:rPr>
          <w:rFonts w:ascii="Times New Roman" w:hAnsi="Times New Roman" w:cs="Times New Roman"/>
        </w:rPr>
        <w:t xml:space="preserve">Weber, M (1978), </w:t>
      </w:r>
      <w:r w:rsidR="001B0396" w:rsidRPr="00CD7565">
        <w:rPr>
          <w:rFonts w:ascii="Times New Roman" w:hAnsi="Times New Roman" w:cs="Times New Roman"/>
          <w:i/>
        </w:rPr>
        <w:t xml:space="preserve">Economy and Society, I </w:t>
      </w:r>
      <w:r w:rsidR="001B0396" w:rsidRPr="00CD7565">
        <w:rPr>
          <w:rFonts w:ascii="Times New Roman" w:hAnsi="Times New Roman" w:cs="Times New Roman"/>
        </w:rPr>
        <w:t>(Berkeley, University of California Press)</w:t>
      </w:r>
    </w:p>
    <w:p w:rsidR="0034265C" w:rsidRPr="00CD7565" w:rsidRDefault="00820101" w:rsidP="00CD7565">
      <w:pPr>
        <w:spacing w:line="240" w:lineRule="auto"/>
        <w:rPr>
          <w:rFonts w:ascii="Times New Roman" w:hAnsi="Times New Roman" w:cs="Times New Roman"/>
        </w:rPr>
      </w:pPr>
      <w:r w:rsidRPr="00CD7565">
        <w:rPr>
          <w:rFonts w:ascii="Times New Roman" w:hAnsi="Times New Roman" w:cs="Times New Roman"/>
        </w:rPr>
        <w:t>West</w:t>
      </w:r>
      <w:r w:rsidR="00F92167" w:rsidRPr="00CD7565">
        <w:rPr>
          <w:rFonts w:ascii="Times New Roman" w:hAnsi="Times New Roman" w:cs="Times New Roman"/>
        </w:rPr>
        <w:t xml:space="preserve">, C </w:t>
      </w:r>
      <w:r w:rsidRPr="00CD7565">
        <w:rPr>
          <w:rFonts w:ascii="Times New Roman" w:hAnsi="Times New Roman" w:cs="Times New Roman"/>
        </w:rPr>
        <w:t>&amp;</w:t>
      </w:r>
      <w:r w:rsidR="00F92167" w:rsidRPr="00CD7565">
        <w:rPr>
          <w:rFonts w:ascii="Times New Roman" w:hAnsi="Times New Roman" w:cs="Times New Roman"/>
        </w:rPr>
        <w:t xml:space="preserve">C. </w:t>
      </w:r>
      <w:r w:rsidRPr="00CD7565">
        <w:rPr>
          <w:rFonts w:ascii="Times New Roman" w:hAnsi="Times New Roman" w:cs="Times New Roman"/>
        </w:rPr>
        <w:t>Smith (2005), ‘”We are Not a Government Poodle”</w:t>
      </w:r>
      <w:r w:rsidR="00F92167" w:rsidRPr="00CD7565">
        <w:rPr>
          <w:rFonts w:ascii="Times New Roman" w:hAnsi="Times New Roman" w:cs="Times New Roman"/>
        </w:rPr>
        <w:t>: Museums and Social Inclusion Under New Labour</w:t>
      </w:r>
      <w:r w:rsidRPr="00CD7565">
        <w:rPr>
          <w:rFonts w:ascii="Times New Roman" w:hAnsi="Times New Roman" w:cs="Times New Roman"/>
        </w:rPr>
        <w:t xml:space="preserve">, </w:t>
      </w:r>
      <w:r w:rsidRPr="00CD7565">
        <w:rPr>
          <w:rFonts w:ascii="Times New Roman" w:hAnsi="Times New Roman" w:cs="Times New Roman"/>
          <w:i/>
        </w:rPr>
        <w:t>International Journal of Cultural Policy</w:t>
      </w:r>
      <w:r w:rsidR="00F92167" w:rsidRPr="00CD7565">
        <w:rPr>
          <w:rFonts w:ascii="Times New Roman" w:hAnsi="Times New Roman" w:cs="Times New Roman"/>
        </w:rPr>
        <w:t>, 11, 275-88</w:t>
      </w:r>
      <w:bookmarkStart w:id="0" w:name="_GoBack"/>
      <w:bookmarkEnd w:id="0"/>
    </w:p>
    <w:sectPr w:rsidR="0034265C" w:rsidRPr="00CD7565" w:rsidSect="008A68AE">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22D" w:rsidRDefault="004D322D" w:rsidP="003B099E">
      <w:pPr>
        <w:spacing w:after="0" w:line="240" w:lineRule="auto"/>
      </w:pPr>
      <w:r>
        <w:separator/>
      </w:r>
    </w:p>
  </w:endnote>
  <w:endnote w:type="continuationSeparator" w:id="0">
    <w:p w:rsidR="004D322D" w:rsidRDefault="004D322D" w:rsidP="003B09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688"/>
      <w:docPartObj>
        <w:docPartGallery w:val="Page Numbers (Bottom of Page)"/>
        <w:docPartUnique/>
      </w:docPartObj>
    </w:sdtPr>
    <w:sdtContent>
      <w:p w:rsidR="004D322D" w:rsidRDefault="004D322D">
        <w:pPr>
          <w:pStyle w:val="Footer"/>
          <w:jc w:val="center"/>
        </w:pPr>
        <w:r>
          <w:fldChar w:fldCharType="begin"/>
        </w:r>
        <w:r>
          <w:instrText xml:space="preserve"> PAGE   \* MERGEFORMAT </w:instrText>
        </w:r>
        <w:r>
          <w:fldChar w:fldCharType="separate"/>
        </w:r>
        <w:r w:rsidR="00CD7565">
          <w:rPr>
            <w:noProof/>
          </w:rPr>
          <w:t>14</w:t>
        </w:r>
        <w:r>
          <w:rPr>
            <w:noProof/>
          </w:rPr>
          <w:fldChar w:fldCharType="end"/>
        </w:r>
      </w:p>
    </w:sdtContent>
  </w:sdt>
  <w:p w:rsidR="004D322D" w:rsidRDefault="004D32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22D" w:rsidRDefault="004D322D" w:rsidP="003B099E">
      <w:pPr>
        <w:spacing w:after="0" w:line="240" w:lineRule="auto"/>
      </w:pPr>
      <w:r>
        <w:separator/>
      </w:r>
    </w:p>
  </w:footnote>
  <w:footnote w:type="continuationSeparator" w:id="0">
    <w:p w:rsidR="004D322D" w:rsidRDefault="004D322D" w:rsidP="003B099E">
      <w:pPr>
        <w:spacing w:after="0" w:line="240" w:lineRule="auto"/>
      </w:pPr>
      <w:r>
        <w:continuationSeparator/>
      </w:r>
    </w:p>
  </w:footnote>
  <w:footnote w:id="1">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This paper is not intended to be taken as being a definitive exploration of the subject that it discusses, not least as it is part of a work-in-progress study of structure and agency in the museums and galleries sector in England. Any comments and, particularly, any suggestions on how to improve the content and the analysis that is contained in the paper will be gratefully received. All of the inevitable failings that go with conference papers are my responsibility.</w:t>
      </w:r>
    </w:p>
  </w:footnote>
  <w:footnote w:id="2">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Clearly the internal decision processes of cultural departments at the central government level can equally be analysed through the mechanisms that are developed in this paper: the approach developed is a general rather than an institutionally-specific one. A shift in focus to the level of the decisions being made within a government department instead of at the level of an individual culture-producing organisation would simply shift the focus of the analysis to that of the central government department, with consequent changes in the location of variables that affect the choices that are made within it.  </w:t>
      </w:r>
    </w:p>
  </w:footnote>
  <w:footnote w:id="3">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And, indeed, by a general sense of ‘professionalism’ that is distinct from these standards. My thanks go to Andrew Newman for this distinction.</w:t>
      </w:r>
    </w:p>
  </w:footnote>
  <w:footnote w:id="4">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Given the emphasis within rational choice on methodological individualism this may seem to be a rather perverse claim but, as critics have argued (see Green &amp; Shapiro, 1994; Hay, 2004), if the underlying assumptions of rational choice are followed through then individuals can only make some choices out of the multitudes that potentially confront them, and those that are made are determined by the underlying value preferences that they hold. At the very least there are some methodological inconsistencies here.  </w:t>
      </w:r>
    </w:p>
  </w:footnote>
  <w:footnote w:id="5">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Archer (1995, 2-12) discusses the problems and limitations of upwards and downwards conflation – an emphasis on individual or structural features – in the context of structure and agency issues. </w:t>
      </w:r>
    </w:p>
  </w:footnote>
  <w:footnote w:id="6">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As will be emphasised in the model that is developed at a later stage in the paper where the importance of exogenous factors in accounting for endogenous choices is made clear.</w:t>
      </w:r>
    </w:p>
  </w:footnote>
  <w:footnote w:id="7">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Regrettably, negative findings remain rare in the literature. This may demonstrate that things are even more complex than is commonly thought – the sheer number of factors that have been argued to affect policy, either singly or in combination, now runs in to the thousands – or it may demonstrate that there is simply an unnecessary complication of analysis, or that there has been a certain amount of re-naming of identical factors</w:t>
      </w:r>
      <w:r>
        <w:t xml:space="preserve"> </w:t>
      </w:r>
      <w:r w:rsidRPr="00E20A8E">
        <w:rPr>
          <w:rFonts w:ascii="Times New Roman" w:hAnsi="Times New Roman" w:cs="Times New Roman"/>
        </w:rPr>
        <w:t>in different studies. It would make a change for a study to announce that the variable that has been studied has absolutely no effect on policy.</w:t>
      </w:r>
    </w:p>
  </w:footnote>
  <w:footnote w:id="8">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The specificity of cultural policy should not be ignored, having, as it does, particular consequences for how the sector functions (Gray, 2009), but this specificity is given effect in how the framework that has been developed is put into practice. </w:t>
      </w:r>
    </w:p>
  </w:footnote>
  <w:footnote w:id="9">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This does leave it open to a recursive attempt to identify the original structuring framework that existed – although whether this is analytically helpful is open to question – but for analytical purposes the identification of the existing structural framework within which policy is made would be all that is required, unless the emphasis is on analysing processes of morphogenesis whereby it may be that changes in the structural context  are being analysed through agential means with the latter being the focus of study.</w:t>
      </w:r>
    </w:p>
  </w:footnote>
  <w:footnote w:id="10">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Neither is this peculiar to the public sector. The private and voluntary sectors have equally as varied responses to demands for information from both internal and external actors.</w:t>
      </w:r>
    </w:p>
  </w:footnote>
  <w:footnote w:id="11">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The principal/agent model in economics usually ends with much the same conclusions, even if starting in a different place – see, for example, Goddard </w:t>
      </w:r>
      <w:r w:rsidRPr="00E20A8E">
        <w:rPr>
          <w:rFonts w:ascii="Times New Roman" w:hAnsi="Times New Roman" w:cs="Times New Roman"/>
          <w:i/>
        </w:rPr>
        <w:t>et al</w:t>
      </w:r>
      <w:r w:rsidRPr="00E20A8E">
        <w:rPr>
          <w:rFonts w:ascii="Times New Roman" w:hAnsi="Times New Roman" w:cs="Times New Roman"/>
        </w:rPr>
        <w:t>, 2000.</w:t>
      </w:r>
    </w:p>
  </w:footnote>
  <w:footnote w:id="12">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While a broad consideration of these is contained within this paper a fuller discussion of them would require a rather different sort of paper to the current one.</w:t>
      </w:r>
    </w:p>
  </w:footnote>
  <w:footnote w:id="13">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As in the case of adopting new approaches to management across the public sector as a whole (Gray, 2008), or the impact of new technologies for/on the activities of public and private organisations in general (see, for example, Eisenstein, 1979, or Pettegree, 2010, on the impact of the printing press).</w:t>
      </w:r>
    </w:p>
  </w:footnote>
  <w:footnote w:id="14">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This is important, for example, in the treatment of hierarchical relationships in Mouzelis’ (1995, 141-7) re-working of functionalism to integrate social action, leading to a rather different version of the relationship of structure and agency to that developed by Archer.</w:t>
      </w:r>
    </w:p>
  </w:footnote>
  <w:footnote w:id="15">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These largely correspond to Archer’s (1988) notion of ‘culture’ but are here being used much more in the political science sense of ‘ideology’.</w:t>
      </w:r>
    </w:p>
  </w:footnote>
  <w:footnote w:id="16">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Archer (1995, 168) argues that ‘the identification of structures is possible because of their irreducible character, autonomous influence and relatively enduring character’ all of which are met by ideology, legitimacy and rationality.</w:t>
      </w:r>
    </w:p>
  </w:footnote>
  <w:footnote w:id="17">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In Britain the New Public Management is no longer directly relevant having been replaced by newer models and ideas of effective and efficient public sector management.</w:t>
      </w:r>
    </w:p>
  </w:footnote>
  <w:footnote w:id="18">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Gray (2012, 19), for example, quotes a museum curator as saying with regard to the ‘big society’ idea that ‘nobody can afford it and nobody can be bothered’ indicating a relative lack of direct impact in that specific case.</w:t>
      </w:r>
    </w:p>
  </w:footnote>
  <w:footnote w:id="19">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This is of clear importance as it is at this stage of the policy process that policy success and failure are most commonly determined. </w:t>
      </w:r>
    </w:p>
  </w:footnote>
  <w:footnote w:id="20">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Whether they actually do so is a matter of agency rather than structure but treating instruments as structural components identifies the policy framework that is being employed and the boundaries to action that this then imposes on actors.</w:t>
      </w:r>
    </w:p>
  </w:footnote>
  <w:footnote w:id="21">
    <w:p w:rsidR="004D322D" w:rsidRPr="00E20A8E" w:rsidRDefault="004D322D">
      <w:pPr>
        <w:pStyle w:val="FootnoteText"/>
        <w:rPr>
          <w:rFonts w:ascii="Times New Roman" w:hAnsi="Times New Roman" w:cs="Times New Roman"/>
        </w:rPr>
      </w:pPr>
      <w:r w:rsidRPr="00E20A8E">
        <w:rPr>
          <w:rStyle w:val="FootnoteReference"/>
          <w:rFonts w:ascii="Times New Roman" w:hAnsi="Times New Roman" w:cs="Times New Roman"/>
        </w:rPr>
        <w:footnoteRef/>
      </w:r>
      <w:r w:rsidRPr="00E20A8E">
        <w:rPr>
          <w:rFonts w:ascii="Times New Roman" w:hAnsi="Times New Roman" w:cs="Times New Roman"/>
        </w:rPr>
        <w:t xml:space="preserve"> Unless, of course, the organisation’s entire budget is determined elsewhere which is very rarely the case.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F60B3"/>
    <w:multiLevelType w:val="hybridMultilevel"/>
    <w:tmpl w:val="0CD82B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DD77877"/>
    <w:multiLevelType w:val="hybridMultilevel"/>
    <w:tmpl w:val="A0742E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99E"/>
    <w:rsid w:val="00005CB9"/>
    <w:rsid w:val="0001686E"/>
    <w:rsid w:val="000261F8"/>
    <w:rsid w:val="00037E09"/>
    <w:rsid w:val="00043992"/>
    <w:rsid w:val="00054B87"/>
    <w:rsid w:val="00055B00"/>
    <w:rsid w:val="00067172"/>
    <w:rsid w:val="00073B3A"/>
    <w:rsid w:val="000830AF"/>
    <w:rsid w:val="00090041"/>
    <w:rsid w:val="000916E0"/>
    <w:rsid w:val="00092B5C"/>
    <w:rsid w:val="00093ED1"/>
    <w:rsid w:val="000B61B9"/>
    <w:rsid w:val="000E0E29"/>
    <w:rsid w:val="000F473F"/>
    <w:rsid w:val="000F4BFF"/>
    <w:rsid w:val="0010582B"/>
    <w:rsid w:val="0011425F"/>
    <w:rsid w:val="00135290"/>
    <w:rsid w:val="0015254B"/>
    <w:rsid w:val="00182A74"/>
    <w:rsid w:val="001837D6"/>
    <w:rsid w:val="00190627"/>
    <w:rsid w:val="00195863"/>
    <w:rsid w:val="00195BB0"/>
    <w:rsid w:val="001A64FC"/>
    <w:rsid w:val="001B0396"/>
    <w:rsid w:val="001B2E25"/>
    <w:rsid w:val="001C1DBD"/>
    <w:rsid w:val="001C2AEB"/>
    <w:rsid w:val="001C4818"/>
    <w:rsid w:val="001C79ED"/>
    <w:rsid w:val="001D6CDB"/>
    <w:rsid w:val="001D6FAF"/>
    <w:rsid w:val="001E6153"/>
    <w:rsid w:val="001F0163"/>
    <w:rsid w:val="001F4E50"/>
    <w:rsid w:val="0020203F"/>
    <w:rsid w:val="00215CC2"/>
    <w:rsid w:val="00217C02"/>
    <w:rsid w:val="00230C05"/>
    <w:rsid w:val="002450FB"/>
    <w:rsid w:val="00247617"/>
    <w:rsid w:val="0024773B"/>
    <w:rsid w:val="00267E30"/>
    <w:rsid w:val="00273740"/>
    <w:rsid w:val="00280BD0"/>
    <w:rsid w:val="00286667"/>
    <w:rsid w:val="002A6B8C"/>
    <w:rsid w:val="002B2227"/>
    <w:rsid w:val="002C4DDF"/>
    <w:rsid w:val="002D35B9"/>
    <w:rsid w:val="002E7E29"/>
    <w:rsid w:val="002F57A7"/>
    <w:rsid w:val="002F63ED"/>
    <w:rsid w:val="002F6E39"/>
    <w:rsid w:val="00300A6C"/>
    <w:rsid w:val="0030558F"/>
    <w:rsid w:val="0031313C"/>
    <w:rsid w:val="0031778C"/>
    <w:rsid w:val="00325261"/>
    <w:rsid w:val="00334266"/>
    <w:rsid w:val="003411F9"/>
    <w:rsid w:val="00341C35"/>
    <w:rsid w:val="0034265C"/>
    <w:rsid w:val="00343BD5"/>
    <w:rsid w:val="00361F86"/>
    <w:rsid w:val="003666AF"/>
    <w:rsid w:val="00381006"/>
    <w:rsid w:val="00381C85"/>
    <w:rsid w:val="003A3E5D"/>
    <w:rsid w:val="003A7733"/>
    <w:rsid w:val="003B099E"/>
    <w:rsid w:val="003C209A"/>
    <w:rsid w:val="003D5DCA"/>
    <w:rsid w:val="003E35D9"/>
    <w:rsid w:val="003F08BA"/>
    <w:rsid w:val="00403BFC"/>
    <w:rsid w:val="004154EA"/>
    <w:rsid w:val="00425F8C"/>
    <w:rsid w:val="00433228"/>
    <w:rsid w:val="00437547"/>
    <w:rsid w:val="0045618B"/>
    <w:rsid w:val="00466AA8"/>
    <w:rsid w:val="004829D2"/>
    <w:rsid w:val="00496F96"/>
    <w:rsid w:val="004A0A62"/>
    <w:rsid w:val="004D322D"/>
    <w:rsid w:val="004D5A2F"/>
    <w:rsid w:val="004E0E07"/>
    <w:rsid w:val="004E3831"/>
    <w:rsid w:val="005053F5"/>
    <w:rsid w:val="0050556F"/>
    <w:rsid w:val="00516E51"/>
    <w:rsid w:val="00526274"/>
    <w:rsid w:val="005361AE"/>
    <w:rsid w:val="0056356E"/>
    <w:rsid w:val="0058325F"/>
    <w:rsid w:val="0059255B"/>
    <w:rsid w:val="005954F9"/>
    <w:rsid w:val="005A3039"/>
    <w:rsid w:val="005D4E64"/>
    <w:rsid w:val="005E4454"/>
    <w:rsid w:val="005E77EB"/>
    <w:rsid w:val="005F229E"/>
    <w:rsid w:val="005F7FDC"/>
    <w:rsid w:val="00601723"/>
    <w:rsid w:val="0061451A"/>
    <w:rsid w:val="0061564E"/>
    <w:rsid w:val="006260E1"/>
    <w:rsid w:val="00632CAA"/>
    <w:rsid w:val="00642AE3"/>
    <w:rsid w:val="00656B0F"/>
    <w:rsid w:val="00683C57"/>
    <w:rsid w:val="00685627"/>
    <w:rsid w:val="00685FC4"/>
    <w:rsid w:val="00692D12"/>
    <w:rsid w:val="006B74E4"/>
    <w:rsid w:val="006C476B"/>
    <w:rsid w:val="006F5E21"/>
    <w:rsid w:val="00700855"/>
    <w:rsid w:val="00707611"/>
    <w:rsid w:val="00710179"/>
    <w:rsid w:val="00711411"/>
    <w:rsid w:val="0071343B"/>
    <w:rsid w:val="00713B26"/>
    <w:rsid w:val="0071583C"/>
    <w:rsid w:val="007346CE"/>
    <w:rsid w:val="00741192"/>
    <w:rsid w:val="00752707"/>
    <w:rsid w:val="00752C7E"/>
    <w:rsid w:val="00764AAB"/>
    <w:rsid w:val="00767E49"/>
    <w:rsid w:val="007712CC"/>
    <w:rsid w:val="00774373"/>
    <w:rsid w:val="007805F0"/>
    <w:rsid w:val="00785B30"/>
    <w:rsid w:val="00792776"/>
    <w:rsid w:val="007957A1"/>
    <w:rsid w:val="007A5481"/>
    <w:rsid w:val="007B54C8"/>
    <w:rsid w:val="007B6350"/>
    <w:rsid w:val="007B700A"/>
    <w:rsid w:val="00804E21"/>
    <w:rsid w:val="00820101"/>
    <w:rsid w:val="0082166D"/>
    <w:rsid w:val="008231EF"/>
    <w:rsid w:val="00831304"/>
    <w:rsid w:val="00832724"/>
    <w:rsid w:val="00842FDD"/>
    <w:rsid w:val="00844DE1"/>
    <w:rsid w:val="008459BB"/>
    <w:rsid w:val="0086383F"/>
    <w:rsid w:val="00865F29"/>
    <w:rsid w:val="00874CEB"/>
    <w:rsid w:val="00887C09"/>
    <w:rsid w:val="00891AD2"/>
    <w:rsid w:val="008A68AE"/>
    <w:rsid w:val="008C1333"/>
    <w:rsid w:val="008F0571"/>
    <w:rsid w:val="008F1EE5"/>
    <w:rsid w:val="008F7601"/>
    <w:rsid w:val="00905E7A"/>
    <w:rsid w:val="00920483"/>
    <w:rsid w:val="00934BB2"/>
    <w:rsid w:val="0093607B"/>
    <w:rsid w:val="00941422"/>
    <w:rsid w:val="00947009"/>
    <w:rsid w:val="009624EC"/>
    <w:rsid w:val="00962F77"/>
    <w:rsid w:val="009648F1"/>
    <w:rsid w:val="009709A5"/>
    <w:rsid w:val="009841E3"/>
    <w:rsid w:val="009859EF"/>
    <w:rsid w:val="009A1D5B"/>
    <w:rsid w:val="009A3535"/>
    <w:rsid w:val="009A4AA9"/>
    <w:rsid w:val="009A5831"/>
    <w:rsid w:val="009B6B1F"/>
    <w:rsid w:val="009C11E4"/>
    <w:rsid w:val="009C4E65"/>
    <w:rsid w:val="009C6505"/>
    <w:rsid w:val="009E06B4"/>
    <w:rsid w:val="009F159E"/>
    <w:rsid w:val="009F50D0"/>
    <w:rsid w:val="009F65C3"/>
    <w:rsid w:val="00A01F66"/>
    <w:rsid w:val="00A04AE3"/>
    <w:rsid w:val="00A0573B"/>
    <w:rsid w:val="00A05BF9"/>
    <w:rsid w:val="00A1102C"/>
    <w:rsid w:val="00A1259F"/>
    <w:rsid w:val="00A1359D"/>
    <w:rsid w:val="00A305D6"/>
    <w:rsid w:val="00A423E0"/>
    <w:rsid w:val="00A46D83"/>
    <w:rsid w:val="00A57A7C"/>
    <w:rsid w:val="00A71540"/>
    <w:rsid w:val="00A83985"/>
    <w:rsid w:val="00A84CA4"/>
    <w:rsid w:val="00A936F9"/>
    <w:rsid w:val="00AA0107"/>
    <w:rsid w:val="00AB559E"/>
    <w:rsid w:val="00AC16D7"/>
    <w:rsid w:val="00AC2EC3"/>
    <w:rsid w:val="00AC70DB"/>
    <w:rsid w:val="00AD56DD"/>
    <w:rsid w:val="00AD7136"/>
    <w:rsid w:val="00AF4158"/>
    <w:rsid w:val="00B062F0"/>
    <w:rsid w:val="00B34D78"/>
    <w:rsid w:val="00B44DF8"/>
    <w:rsid w:val="00B45C8C"/>
    <w:rsid w:val="00B60AC4"/>
    <w:rsid w:val="00B72196"/>
    <w:rsid w:val="00B76585"/>
    <w:rsid w:val="00B81AA4"/>
    <w:rsid w:val="00B81DDB"/>
    <w:rsid w:val="00B8292B"/>
    <w:rsid w:val="00B8660D"/>
    <w:rsid w:val="00BA15CE"/>
    <w:rsid w:val="00BA3D7F"/>
    <w:rsid w:val="00BA4370"/>
    <w:rsid w:val="00BB2416"/>
    <w:rsid w:val="00BE0F92"/>
    <w:rsid w:val="00BE32F0"/>
    <w:rsid w:val="00BE7330"/>
    <w:rsid w:val="00BF4EE2"/>
    <w:rsid w:val="00C03A66"/>
    <w:rsid w:val="00C360D4"/>
    <w:rsid w:val="00C61457"/>
    <w:rsid w:val="00C65DAB"/>
    <w:rsid w:val="00C71978"/>
    <w:rsid w:val="00C75246"/>
    <w:rsid w:val="00C76719"/>
    <w:rsid w:val="00CA6E63"/>
    <w:rsid w:val="00CA74A7"/>
    <w:rsid w:val="00CB7730"/>
    <w:rsid w:val="00CC19F2"/>
    <w:rsid w:val="00CC24D5"/>
    <w:rsid w:val="00CC5619"/>
    <w:rsid w:val="00CD7565"/>
    <w:rsid w:val="00CD7FD4"/>
    <w:rsid w:val="00D056A1"/>
    <w:rsid w:val="00D05B6D"/>
    <w:rsid w:val="00D13774"/>
    <w:rsid w:val="00D152C5"/>
    <w:rsid w:val="00D33518"/>
    <w:rsid w:val="00D33C1B"/>
    <w:rsid w:val="00D517E4"/>
    <w:rsid w:val="00D6520B"/>
    <w:rsid w:val="00D67E75"/>
    <w:rsid w:val="00D73B89"/>
    <w:rsid w:val="00D93DF0"/>
    <w:rsid w:val="00DA0616"/>
    <w:rsid w:val="00DA739A"/>
    <w:rsid w:val="00DC4615"/>
    <w:rsid w:val="00DD39B0"/>
    <w:rsid w:val="00DD7D74"/>
    <w:rsid w:val="00DE62A5"/>
    <w:rsid w:val="00E00E40"/>
    <w:rsid w:val="00E15AC1"/>
    <w:rsid w:val="00E170F0"/>
    <w:rsid w:val="00E179CE"/>
    <w:rsid w:val="00E20A8E"/>
    <w:rsid w:val="00E21008"/>
    <w:rsid w:val="00E311AF"/>
    <w:rsid w:val="00E366D1"/>
    <w:rsid w:val="00E43586"/>
    <w:rsid w:val="00E46414"/>
    <w:rsid w:val="00E52C6E"/>
    <w:rsid w:val="00E574A9"/>
    <w:rsid w:val="00E707A8"/>
    <w:rsid w:val="00E94DB4"/>
    <w:rsid w:val="00E97E1E"/>
    <w:rsid w:val="00EA3A00"/>
    <w:rsid w:val="00EC36C6"/>
    <w:rsid w:val="00ED3862"/>
    <w:rsid w:val="00ED556D"/>
    <w:rsid w:val="00EE61F4"/>
    <w:rsid w:val="00F04EE6"/>
    <w:rsid w:val="00F10BC6"/>
    <w:rsid w:val="00F216B5"/>
    <w:rsid w:val="00F2737A"/>
    <w:rsid w:val="00F32092"/>
    <w:rsid w:val="00F5374C"/>
    <w:rsid w:val="00F54268"/>
    <w:rsid w:val="00F5755D"/>
    <w:rsid w:val="00F637E0"/>
    <w:rsid w:val="00F72471"/>
    <w:rsid w:val="00F92167"/>
    <w:rsid w:val="00FB666C"/>
    <w:rsid w:val="00FC3664"/>
    <w:rsid w:val="00FC658D"/>
    <w:rsid w:val="00FD175B"/>
    <w:rsid w:val="00FF0A4B"/>
    <w:rsid w:val="00FF1FC5"/>
    <w:rsid w:val="00FF6348"/>
    <w:rsid w:val="00FF7F04"/>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099E"/>
    <w:rPr>
      <w:color w:val="0000FF" w:themeColor="hyperlink"/>
      <w:u w:val="single"/>
    </w:rPr>
  </w:style>
  <w:style w:type="paragraph" w:styleId="Header">
    <w:name w:val="header"/>
    <w:basedOn w:val="Normal"/>
    <w:link w:val="HeaderChar"/>
    <w:uiPriority w:val="99"/>
    <w:semiHidden/>
    <w:unhideWhenUsed/>
    <w:rsid w:val="003B099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B099E"/>
  </w:style>
  <w:style w:type="paragraph" w:styleId="Footer">
    <w:name w:val="footer"/>
    <w:basedOn w:val="Normal"/>
    <w:link w:val="FooterChar"/>
    <w:uiPriority w:val="99"/>
    <w:unhideWhenUsed/>
    <w:rsid w:val="003B09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99E"/>
  </w:style>
  <w:style w:type="paragraph" w:styleId="FootnoteText">
    <w:name w:val="footnote text"/>
    <w:basedOn w:val="Normal"/>
    <w:link w:val="FootnoteTextChar"/>
    <w:uiPriority w:val="99"/>
    <w:semiHidden/>
    <w:unhideWhenUsed/>
    <w:rsid w:val="00891A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1AD2"/>
    <w:rPr>
      <w:sz w:val="20"/>
      <w:szCs w:val="20"/>
    </w:rPr>
  </w:style>
  <w:style w:type="character" w:styleId="FootnoteReference">
    <w:name w:val="footnote reference"/>
    <w:basedOn w:val="DefaultParagraphFont"/>
    <w:uiPriority w:val="99"/>
    <w:semiHidden/>
    <w:unhideWhenUsed/>
    <w:rsid w:val="00891AD2"/>
    <w:rPr>
      <w:vertAlign w:val="superscript"/>
    </w:rPr>
  </w:style>
  <w:style w:type="paragraph" w:styleId="EndnoteText">
    <w:name w:val="endnote text"/>
    <w:basedOn w:val="Normal"/>
    <w:link w:val="EndnoteTextChar"/>
    <w:uiPriority w:val="99"/>
    <w:semiHidden/>
    <w:unhideWhenUsed/>
    <w:rsid w:val="00891AD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91AD2"/>
    <w:rPr>
      <w:sz w:val="20"/>
      <w:szCs w:val="20"/>
    </w:rPr>
  </w:style>
  <w:style w:type="character" w:styleId="EndnoteReference">
    <w:name w:val="endnote reference"/>
    <w:basedOn w:val="DefaultParagraphFont"/>
    <w:uiPriority w:val="99"/>
    <w:semiHidden/>
    <w:unhideWhenUsed/>
    <w:rsid w:val="00891AD2"/>
    <w:rPr>
      <w:vertAlign w:val="superscript"/>
    </w:rPr>
  </w:style>
  <w:style w:type="paragraph" w:styleId="ListParagraph">
    <w:name w:val="List Paragraph"/>
    <w:basedOn w:val="Normal"/>
    <w:uiPriority w:val="34"/>
    <w:qFormat/>
    <w:rsid w:val="0031313C"/>
    <w:pPr>
      <w:ind w:left="720"/>
      <w:contextualSpacing/>
    </w:pPr>
  </w:style>
  <w:style w:type="paragraph" w:styleId="BalloonText">
    <w:name w:val="Balloon Text"/>
    <w:basedOn w:val="Normal"/>
    <w:link w:val="BalloonTextChar"/>
    <w:uiPriority w:val="99"/>
    <w:semiHidden/>
    <w:unhideWhenUsed/>
    <w:rsid w:val="00381C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1C8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099E"/>
    <w:rPr>
      <w:color w:val="0000FF" w:themeColor="hyperlink"/>
      <w:u w:val="single"/>
    </w:rPr>
  </w:style>
  <w:style w:type="paragraph" w:styleId="Header">
    <w:name w:val="header"/>
    <w:basedOn w:val="Normal"/>
    <w:link w:val="HeaderChar"/>
    <w:uiPriority w:val="99"/>
    <w:semiHidden/>
    <w:unhideWhenUsed/>
    <w:rsid w:val="003B099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B099E"/>
  </w:style>
  <w:style w:type="paragraph" w:styleId="Footer">
    <w:name w:val="footer"/>
    <w:basedOn w:val="Normal"/>
    <w:link w:val="FooterChar"/>
    <w:uiPriority w:val="99"/>
    <w:unhideWhenUsed/>
    <w:rsid w:val="003B09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99E"/>
  </w:style>
  <w:style w:type="paragraph" w:styleId="FootnoteText">
    <w:name w:val="footnote text"/>
    <w:basedOn w:val="Normal"/>
    <w:link w:val="FootnoteTextChar"/>
    <w:uiPriority w:val="99"/>
    <w:semiHidden/>
    <w:unhideWhenUsed/>
    <w:rsid w:val="00891A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1AD2"/>
    <w:rPr>
      <w:sz w:val="20"/>
      <w:szCs w:val="20"/>
    </w:rPr>
  </w:style>
  <w:style w:type="character" w:styleId="FootnoteReference">
    <w:name w:val="footnote reference"/>
    <w:basedOn w:val="DefaultParagraphFont"/>
    <w:uiPriority w:val="99"/>
    <w:semiHidden/>
    <w:unhideWhenUsed/>
    <w:rsid w:val="00891AD2"/>
    <w:rPr>
      <w:vertAlign w:val="superscript"/>
    </w:rPr>
  </w:style>
  <w:style w:type="paragraph" w:styleId="EndnoteText">
    <w:name w:val="endnote text"/>
    <w:basedOn w:val="Normal"/>
    <w:link w:val="EndnoteTextChar"/>
    <w:uiPriority w:val="99"/>
    <w:semiHidden/>
    <w:unhideWhenUsed/>
    <w:rsid w:val="00891AD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91AD2"/>
    <w:rPr>
      <w:sz w:val="20"/>
      <w:szCs w:val="20"/>
    </w:rPr>
  </w:style>
  <w:style w:type="character" w:styleId="EndnoteReference">
    <w:name w:val="endnote reference"/>
    <w:basedOn w:val="DefaultParagraphFont"/>
    <w:uiPriority w:val="99"/>
    <w:semiHidden/>
    <w:unhideWhenUsed/>
    <w:rsid w:val="00891AD2"/>
    <w:rPr>
      <w:vertAlign w:val="superscript"/>
    </w:rPr>
  </w:style>
  <w:style w:type="paragraph" w:styleId="ListParagraph">
    <w:name w:val="List Paragraph"/>
    <w:basedOn w:val="Normal"/>
    <w:uiPriority w:val="34"/>
    <w:qFormat/>
    <w:rsid w:val="0031313C"/>
    <w:pPr>
      <w:ind w:left="720"/>
      <w:contextualSpacing/>
    </w:pPr>
  </w:style>
  <w:style w:type="paragraph" w:styleId="BalloonText">
    <w:name w:val="Balloon Text"/>
    <w:basedOn w:val="Normal"/>
    <w:link w:val="BalloonTextChar"/>
    <w:uiPriority w:val="99"/>
    <w:semiHidden/>
    <w:unhideWhenUsed/>
    <w:rsid w:val="00381C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1C8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6AC03E7-B74F-4C51-91C9-E5C9C34BA32F}" type="doc">
      <dgm:prSet loTypeId="urn:microsoft.com/office/officeart/2005/8/layout/target1" loCatId="relationship" qsTypeId="urn:microsoft.com/office/officeart/2005/8/quickstyle/simple1" qsCatId="simple" csTypeId="urn:microsoft.com/office/officeart/2005/8/colors/accent1_2" csCatId="accent1" phldr="1"/>
      <dgm:spPr/>
    </dgm:pt>
    <dgm:pt modelId="{934A7DE9-0FAD-4C51-960A-1F3DB0105B79}">
      <dgm:prSet phldrT="[Text]"/>
      <dgm:spPr/>
      <dgm:t>
        <a:bodyPr/>
        <a:lstStyle/>
        <a:p>
          <a:r>
            <a:rPr lang="en-GB"/>
            <a:t>Policies; Power; People; Resources; Instruments</a:t>
          </a:r>
        </a:p>
      </dgm:t>
    </dgm:pt>
    <dgm:pt modelId="{093EABEC-99C7-4D26-AE1C-63F58FC6A1FA}" type="parTrans" cxnId="{2F3E1B88-8287-4995-835A-EF4E66ED1A3A}">
      <dgm:prSet/>
      <dgm:spPr/>
      <dgm:t>
        <a:bodyPr/>
        <a:lstStyle/>
        <a:p>
          <a:endParaRPr lang="en-GB"/>
        </a:p>
      </dgm:t>
    </dgm:pt>
    <dgm:pt modelId="{417F84A2-F625-4239-BDD8-2B5753D54316}" type="sibTrans" cxnId="{2F3E1B88-8287-4995-835A-EF4E66ED1A3A}">
      <dgm:prSet/>
      <dgm:spPr/>
      <dgm:t>
        <a:bodyPr/>
        <a:lstStyle/>
        <a:p>
          <a:endParaRPr lang="en-GB"/>
        </a:p>
      </dgm:t>
    </dgm:pt>
    <dgm:pt modelId="{C9067B5D-47C7-493E-9DA4-B555E5F43086}">
      <dgm:prSet phldrT="[Text]"/>
      <dgm:spPr/>
      <dgm:t>
        <a:bodyPr/>
        <a:lstStyle/>
        <a:p>
          <a:r>
            <a:rPr lang="en-GB"/>
            <a:t>Priorities/Agendas; Organisations; Macro-Policies; Structural Policies; Instruments</a:t>
          </a:r>
        </a:p>
      </dgm:t>
    </dgm:pt>
    <dgm:pt modelId="{6B93AE96-46D1-4723-9998-3176D995C8FE}" type="parTrans" cxnId="{AFD1D317-DDF8-4BCC-AE32-6F6C23A1399B}">
      <dgm:prSet/>
      <dgm:spPr/>
      <dgm:t>
        <a:bodyPr/>
        <a:lstStyle/>
        <a:p>
          <a:endParaRPr lang="en-GB"/>
        </a:p>
      </dgm:t>
    </dgm:pt>
    <dgm:pt modelId="{C3EC5EBF-1EA2-4EBE-BB9A-72CFC4214183}" type="sibTrans" cxnId="{AFD1D317-DDF8-4BCC-AE32-6F6C23A1399B}">
      <dgm:prSet/>
      <dgm:spPr/>
      <dgm:t>
        <a:bodyPr/>
        <a:lstStyle/>
        <a:p>
          <a:endParaRPr lang="en-GB"/>
        </a:p>
      </dgm:t>
    </dgm:pt>
    <dgm:pt modelId="{16618E77-5E07-4E12-84C3-B5D3D2DD2EDF}">
      <dgm:prSet phldrT="[Text]"/>
      <dgm:spPr/>
      <dgm:t>
        <a:bodyPr/>
        <a:lstStyle/>
        <a:p>
          <a:r>
            <a:rPr lang="en-GB"/>
            <a:t>Ideology; Legitimacy; Rationality</a:t>
          </a:r>
        </a:p>
      </dgm:t>
    </dgm:pt>
    <dgm:pt modelId="{F3CC8124-4CDD-4DB0-89F5-E44CE1BD8874}" type="parTrans" cxnId="{F6B63BFE-F7B2-4607-AB52-6FF727D84E7B}">
      <dgm:prSet/>
      <dgm:spPr/>
      <dgm:t>
        <a:bodyPr/>
        <a:lstStyle/>
        <a:p>
          <a:endParaRPr lang="en-GB"/>
        </a:p>
      </dgm:t>
    </dgm:pt>
    <dgm:pt modelId="{2156D162-58FF-4831-B1AD-949A9C885632}" type="sibTrans" cxnId="{F6B63BFE-F7B2-4607-AB52-6FF727D84E7B}">
      <dgm:prSet/>
      <dgm:spPr/>
      <dgm:t>
        <a:bodyPr/>
        <a:lstStyle/>
        <a:p>
          <a:endParaRPr lang="en-GB"/>
        </a:p>
      </dgm:t>
    </dgm:pt>
    <dgm:pt modelId="{02C5EF80-5882-46C0-9C8B-6089B0AEFF39}" type="pres">
      <dgm:prSet presAssocID="{86AC03E7-B74F-4C51-91C9-E5C9C34BA32F}" presName="composite" presStyleCnt="0">
        <dgm:presLayoutVars>
          <dgm:chMax val="5"/>
          <dgm:dir/>
          <dgm:resizeHandles val="exact"/>
        </dgm:presLayoutVars>
      </dgm:prSet>
      <dgm:spPr/>
    </dgm:pt>
    <dgm:pt modelId="{CCAA4A97-E7A6-40BB-A94E-A64147BE7604}" type="pres">
      <dgm:prSet presAssocID="{934A7DE9-0FAD-4C51-960A-1F3DB0105B79}" presName="circle1" presStyleLbl="lnNode1" presStyleIdx="0" presStyleCnt="3"/>
      <dgm:spPr/>
    </dgm:pt>
    <dgm:pt modelId="{D77791F0-55F7-4D05-9FA0-2591FED26A40}" type="pres">
      <dgm:prSet presAssocID="{934A7DE9-0FAD-4C51-960A-1F3DB0105B79}" presName="text1" presStyleLbl="revTx" presStyleIdx="0" presStyleCnt="3">
        <dgm:presLayoutVars>
          <dgm:bulletEnabled val="1"/>
        </dgm:presLayoutVars>
      </dgm:prSet>
      <dgm:spPr/>
      <dgm:t>
        <a:bodyPr/>
        <a:lstStyle/>
        <a:p>
          <a:endParaRPr lang="en-GB"/>
        </a:p>
      </dgm:t>
    </dgm:pt>
    <dgm:pt modelId="{436AE9CE-0965-49D0-80C1-38CA739718D0}" type="pres">
      <dgm:prSet presAssocID="{934A7DE9-0FAD-4C51-960A-1F3DB0105B79}" presName="line1" presStyleLbl="callout" presStyleIdx="0" presStyleCnt="6"/>
      <dgm:spPr/>
    </dgm:pt>
    <dgm:pt modelId="{C0E67F1B-FD55-4F1E-A44D-229A9268400B}" type="pres">
      <dgm:prSet presAssocID="{934A7DE9-0FAD-4C51-960A-1F3DB0105B79}" presName="d1" presStyleLbl="callout" presStyleIdx="1" presStyleCnt="6"/>
      <dgm:spPr/>
    </dgm:pt>
    <dgm:pt modelId="{A23438AD-D98D-46D2-8E86-9ACA2D6E9F02}" type="pres">
      <dgm:prSet presAssocID="{C9067B5D-47C7-493E-9DA4-B555E5F43086}" presName="circle2" presStyleLbl="lnNode1" presStyleIdx="1" presStyleCnt="3"/>
      <dgm:spPr/>
    </dgm:pt>
    <dgm:pt modelId="{C5787546-4E15-419D-B3E9-6F8A6E7C18E9}" type="pres">
      <dgm:prSet presAssocID="{C9067B5D-47C7-493E-9DA4-B555E5F43086}" presName="text2" presStyleLbl="revTx" presStyleIdx="1" presStyleCnt="3">
        <dgm:presLayoutVars>
          <dgm:bulletEnabled val="1"/>
        </dgm:presLayoutVars>
      </dgm:prSet>
      <dgm:spPr/>
      <dgm:t>
        <a:bodyPr/>
        <a:lstStyle/>
        <a:p>
          <a:endParaRPr lang="en-GB"/>
        </a:p>
      </dgm:t>
    </dgm:pt>
    <dgm:pt modelId="{167EE7C0-0973-4BB1-A5BB-0E311C2ABA34}" type="pres">
      <dgm:prSet presAssocID="{C9067B5D-47C7-493E-9DA4-B555E5F43086}" presName="line2" presStyleLbl="callout" presStyleIdx="2" presStyleCnt="6"/>
      <dgm:spPr/>
    </dgm:pt>
    <dgm:pt modelId="{222F6D87-1FB2-4E93-8DFF-DE05F1BF0930}" type="pres">
      <dgm:prSet presAssocID="{C9067B5D-47C7-493E-9DA4-B555E5F43086}" presName="d2" presStyleLbl="callout" presStyleIdx="3" presStyleCnt="6"/>
      <dgm:spPr/>
    </dgm:pt>
    <dgm:pt modelId="{F5F86772-D170-4179-9C4A-CE3A39C090F3}" type="pres">
      <dgm:prSet presAssocID="{16618E77-5E07-4E12-84C3-B5D3D2DD2EDF}" presName="circle3" presStyleLbl="lnNode1" presStyleIdx="2" presStyleCnt="3"/>
      <dgm:spPr/>
    </dgm:pt>
    <dgm:pt modelId="{F19EC14D-6F41-49CB-A3EA-2481C19FA2B4}" type="pres">
      <dgm:prSet presAssocID="{16618E77-5E07-4E12-84C3-B5D3D2DD2EDF}" presName="text3" presStyleLbl="revTx" presStyleIdx="2" presStyleCnt="3">
        <dgm:presLayoutVars>
          <dgm:bulletEnabled val="1"/>
        </dgm:presLayoutVars>
      </dgm:prSet>
      <dgm:spPr/>
      <dgm:t>
        <a:bodyPr/>
        <a:lstStyle/>
        <a:p>
          <a:endParaRPr lang="en-GB"/>
        </a:p>
      </dgm:t>
    </dgm:pt>
    <dgm:pt modelId="{14F3E368-3FB1-40F5-B35A-2D88D8B7A144}" type="pres">
      <dgm:prSet presAssocID="{16618E77-5E07-4E12-84C3-B5D3D2DD2EDF}" presName="line3" presStyleLbl="callout" presStyleIdx="4" presStyleCnt="6"/>
      <dgm:spPr/>
    </dgm:pt>
    <dgm:pt modelId="{C9F45C0D-491E-43E1-8398-DDAE4C772D3E}" type="pres">
      <dgm:prSet presAssocID="{16618E77-5E07-4E12-84C3-B5D3D2DD2EDF}" presName="d3" presStyleLbl="callout" presStyleIdx="5" presStyleCnt="6"/>
      <dgm:spPr/>
    </dgm:pt>
  </dgm:ptLst>
  <dgm:cxnLst>
    <dgm:cxn modelId="{F6B63BFE-F7B2-4607-AB52-6FF727D84E7B}" srcId="{86AC03E7-B74F-4C51-91C9-E5C9C34BA32F}" destId="{16618E77-5E07-4E12-84C3-B5D3D2DD2EDF}" srcOrd="2" destOrd="0" parTransId="{F3CC8124-4CDD-4DB0-89F5-E44CE1BD8874}" sibTransId="{2156D162-58FF-4831-B1AD-949A9C885632}"/>
    <dgm:cxn modelId="{AFD1D317-DDF8-4BCC-AE32-6F6C23A1399B}" srcId="{86AC03E7-B74F-4C51-91C9-E5C9C34BA32F}" destId="{C9067B5D-47C7-493E-9DA4-B555E5F43086}" srcOrd="1" destOrd="0" parTransId="{6B93AE96-46D1-4723-9998-3176D995C8FE}" sibTransId="{C3EC5EBF-1EA2-4EBE-BB9A-72CFC4214183}"/>
    <dgm:cxn modelId="{2D1C6BFE-BCA5-4EEA-8045-81DF732FEC64}" type="presOf" srcId="{934A7DE9-0FAD-4C51-960A-1F3DB0105B79}" destId="{D77791F0-55F7-4D05-9FA0-2591FED26A40}" srcOrd="0" destOrd="0" presId="urn:microsoft.com/office/officeart/2005/8/layout/target1"/>
    <dgm:cxn modelId="{46BC8D4F-77CA-42F6-BD56-2A8AFAC90545}" type="presOf" srcId="{16618E77-5E07-4E12-84C3-B5D3D2DD2EDF}" destId="{F19EC14D-6F41-49CB-A3EA-2481C19FA2B4}" srcOrd="0" destOrd="0" presId="urn:microsoft.com/office/officeart/2005/8/layout/target1"/>
    <dgm:cxn modelId="{4FD0BFE8-A66B-4306-B08B-A26594453E14}" type="presOf" srcId="{C9067B5D-47C7-493E-9DA4-B555E5F43086}" destId="{C5787546-4E15-419D-B3E9-6F8A6E7C18E9}" srcOrd="0" destOrd="0" presId="urn:microsoft.com/office/officeart/2005/8/layout/target1"/>
    <dgm:cxn modelId="{2F3E1B88-8287-4995-835A-EF4E66ED1A3A}" srcId="{86AC03E7-B74F-4C51-91C9-E5C9C34BA32F}" destId="{934A7DE9-0FAD-4C51-960A-1F3DB0105B79}" srcOrd="0" destOrd="0" parTransId="{093EABEC-99C7-4D26-AE1C-63F58FC6A1FA}" sibTransId="{417F84A2-F625-4239-BDD8-2B5753D54316}"/>
    <dgm:cxn modelId="{0E4089C3-DF72-4099-B7D5-80B4361A7B8F}" type="presOf" srcId="{86AC03E7-B74F-4C51-91C9-E5C9C34BA32F}" destId="{02C5EF80-5882-46C0-9C8B-6089B0AEFF39}" srcOrd="0" destOrd="0" presId="urn:microsoft.com/office/officeart/2005/8/layout/target1"/>
    <dgm:cxn modelId="{91D1B4F2-F698-4C3B-BFB6-61A5524C2032}" type="presParOf" srcId="{02C5EF80-5882-46C0-9C8B-6089B0AEFF39}" destId="{CCAA4A97-E7A6-40BB-A94E-A64147BE7604}" srcOrd="0" destOrd="0" presId="urn:microsoft.com/office/officeart/2005/8/layout/target1"/>
    <dgm:cxn modelId="{B6C328AA-698D-499F-9734-F21D5DDB369E}" type="presParOf" srcId="{02C5EF80-5882-46C0-9C8B-6089B0AEFF39}" destId="{D77791F0-55F7-4D05-9FA0-2591FED26A40}" srcOrd="1" destOrd="0" presId="urn:microsoft.com/office/officeart/2005/8/layout/target1"/>
    <dgm:cxn modelId="{A306901E-9EAB-473A-B4A2-83FE9042CC17}" type="presParOf" srcId="{02C5EF80-5882-46C0-9C8B-6089B0AEFF39}" destId="{436AE9CE-0965-49D0-80C1-38CA739718D0}" srcOrd="2" destOrd="0" presId="urn:microsoft.com/office/officeart/2005/8/layout/target1"/>
    <dgm:cxn modelId="{196D0E69-CA4B-470D-8375-5F7E6DCDF644}" type="presParOf" srcId="{02C5EF80-5882-46C0-9C8B-6089B0AEFF39}" destId="{C0E67F1B-FD55-4F1E-A44D-229A9268400B}" srcOrd="3" destOrd="0" presId="urn:microsoft.com/office/officeart/2005/8/layout/target1"/>
    <dgm:cxn modelId="{C019F180-E64F-4D64-93C2-20385A4CF86C}" type="presParOf" srcId="{02C5EF80-5882-46C0-9C8B-6089B0AEFF39}" destId="{A23438AD-D98D-46D2-8E86-9ACA2D6E9F02}" srcOrd="4" destOrd="0" presId="urn:microsoft.com/office/officeart/2005/8/layout/target1"/>
    <dgm:cxn modelId="{B48271A4-0952-4BD9-9A89-5203AB3FD680}" type="presParOf" srcId="{02C5EF80-5882-46C0-9C8B-6089B0AEFF39}" destId="{C5787546-4E15-419D-B3E9-6F8A6E7C18E9}" srcOrd="5" destOrd="0" presId="urn:microsoft.com/office/officeart/2005/8/layout/target1"/>
    <dgm:cxn modelId="{B3D10386-EED8-4006-AD07-6257BA493379}" type="presParOf" srcId="{02C5EF80-5882-46C0-9C8B-6089B0AEFF39}" destId="{167EE7C0-0973-4BB1-A5BB-0E311C2ABA34}" srcOrd="6" destOrd="0" presId="urn:microsoft.com/office/officeart/2005/8/layout/target1"/>
    <dgm:cxn modelId="{9D078F3D-23D4-40E9-B880-B8F317D356B3}" type="presParOf" srcId="{02C5EF80-5882-46C0-9C8B-6089B0AEFF39}" destId="{222F6D87-1FB2-4E93-8DFF-DE05F1BF0930}" srcOrd="7" destOrd="0" presId="urn:microsoft.com/office/officeart/2005/8/layout/target1"/>
    <dgm:cxn modelId="{A7541400-6856-4EAE-8B65-45199A1665E9}" type="presParOf" srcId="{02C5EF80-5882-46C0-9C8B-6089B0AEFF39}" destId="{F5F86772-D170-4179-9C4A-CE3A39C090F3}" srcOrd="8" destOrd="0" presId="urn:microsoft.com/office/officeart/2005/8/layout/target1"/>
    <dgm:cxn modelId="{3AE7B06F-C9D9-4FA5-B1B6-02F45DF4F94E}" type="presParOf" srcId="{02C5EF80-5882-46C0-9C8B-6089B0AEFF39}" destId="{F19EC14D-6F41-49CB-A3EA-2481C19FA2B4}" srcOrd="9" destOrd="0" presId="urn:microsoft.com/office/officeart/2005/8/layout/target1"/>
    <dgm:cxn modelId="{05848555-7ECB-4C2F-8687-7A6E7C5733FA}" type="presParOf" srcId="{02C5EF80-5882-46C0-9C8B-6089B0AEFF39}" destId="{14F3E368-3FB1-40F5-B35A-2D88D8B7A144}" srcOrd="10" destOrd="0" presId="urn:microsoft.com/office/officeart/2005/8/layout/target1"/>
    <dgm:cxn modelId="{F75B638B-47E5-4A88-BB3F-41C85DC0DFE2}" type="presParOf" srcId="{02C5EF80-5882-46C0-9C8B-6089B0AEFF39}" destId="{C9F45C0D-491E-43E1-8398-DDAE4C772D3E}" srcOrd="11" destOrd="0" presId="urn:microsoft.com/office/officeart/2005/8/layout/targe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F86772-D170-4179-9C4A-CE3A39C090F3}">
      <dsp:nvSpPr>
        <dsp:cNvPr id="0" name=""/>
        <dsp:cNvSpPr/>
      </dsp:nvSpPr>
      <dsp:spPr>
        <a:xfrm>
          <a:off x="497681" y="919162"/>
          <a:ext cx="2757487" cy="275748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23438AD-D98D-46D2-8E86-9ACA2D6E9F02}">
      <dsp:nvSpPr>
        <dsp:cNvPr id="0" name=""/>
        <dsp:cNvSpPr/>
      </dsp:nvSpPr>
      <dsp:spPr>
        <a:xfrm>
          <a:off x="1049178" y="1470659"/>
          <a:ext cx="1654492" cy="165449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AA4A97-E7A6-40BB-A94E-A64147BE7604}">
      <dsp:nvSpPr>
        <dsp:cNvPr id="0" name=""/>
        <dsp:cNvSpPr/>
      </dsp:nvSpPr>
      <dsp:spPr>
        <a:xfrm>
          <a:off x="1600676" y="2022157"/>
          <a:ext cx="551497" cy="55149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77791F0-55F7-4D05-9FA0-2591FED26A40}">
      <dsp:nvSpPr>
        <dsp:cNvPr id="0" name=""/>
        <dsp:cNvSpPr/>
      </dsp:nvSpPr>
      <dsp:spPr>
        <a:xfrm>
          <a:off x="3714750" y="0"/>
          <a:ext cx="1378743" cy="8042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n-GB" sz="1100" kern="1200"/>
            <a:t>Policies; Power; People; Resources; Instruments</a:t>
          </a:r>
        </a:p>
      </dsp:txBody>
      <dsp:txXfrm>
        <a:off x="3714750" y="0"/>
        <a:ext cx="1378743" cy="804267"/>
      </dsp:txXfrm>
    </dsp:sp>
    <dsp:sp modelId="{436AE9CE-0965-49D0-80C1-38CA739718D0}">
      <dsp:nvSpPr>
        <dsp:cNvPr id="0" name=""/>
        <dsp:cNvSpPr/>
      </dsp:nvSpPr>
      <dsp:spPr>
        <a:xfrm>
          <a:off x="3370064" y="402133"/>
          <a:ext cx="344685"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0E67F1B-FD55-4F1E-A44D-229A9268400B}">
      <dsp:nvSpPr>
        <dsp:cNvPr id="0" name=""/>
        <dsp:cNvSpPr/>
      </dsp:nvSpPr>
      <dsp:spPr>
        <a:xfrm rot="5400000">
          <a:off x="1674898" y="604119"/>
          <a:ext cx="1895313" cy="149226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5787546-4E15-419D-B3E9-6F8A6E7C18E9}">
      <dsp:nvSpPr>
        <dsp:cNvPr id="0" name=""/>
        <dsp:cNvSpPr/>
      </dsp:nvSpPr>
      <dsp:spPr>
        <a:xfrm>
          <a:off x="3714750" y="804267"/>
          <a:ext cx="1378743" cy="8042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n-GB" sz="1100" kern="1200"/>
            <a:t>Priorities/Agendas; Organisations; Macro-Policies; Structural Policies; Instruments</a:t>
          </a:r>
        </a:p>
      </dsp:txBody>
      <dsp:txXfrm>
        <a:off x="3714750" y="804267"/>
        <a:ext cx="1378743" cy="804267"/>
      </dsp:txXfrm>
    </dsp:sp>
    <dsp:sp modelId="{167EE7C0-0973-4BB1-A5BB-0E311C2ABA34}">
      <dsp:nvSpPr>
        <dsp:cNvPr id="0" name=""/>
        <dsp:cNvSpPr/>
      </dsp:nvSpPr>
      <dsp:spPr>
        <a:xfrm>
          <a:off x="3370064" y="1206400"/>
          <a:ext cx="344685"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22F6D87-1FB2-4E93-8DFF-DE05F1BF0930}">
      <dsp:nvSpPr>
        <dsp:cNvPr id="0" name=""/>
        <dsp:cNvSpPr/>
      </dsp:nvSpPr>
      <dsp:spPr>
        <a:xfrm rot="5400000">
          <a:off x="2081719" y="1395840"/>
          <a:ext cx="1476910" cy="109702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19EC14D-6F41-49CB-A3EA-2481C19FA2B4}">
      <dsp:nvSpPr>
        <dsp:cNvPr id="0" name=""/>
        <dsp:cNvSpPr/>
      </dsp:nvSpPr>
      <dsp:spPr>
        <a:xfrm>
          <a:off x="3714750" y="1608534"/>
          <a:ext cx="1378743" cy="8042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n-GB" sz="1100" kern="1200"/>
            <a:t>Ideology; Legitimacy; Rationality</a:t>
          </a:r>
        </a:p>
      </dsp:txBody>
      <dsp:txXfrm>
        <a:off x="3714750" y="1608534"/>
        <a:ext cx="1378743" cy="804267"/>
      </dsp:txXfrm>
    </dsp:sp>
    <dsp:sp modelId="{14F3E368-3FB1-40F5-B35A-2D88D8B7A144}">
      <dsp:nvSpPr>
        <dsp:cNvPr id="0" name=""/>
        <dsp:cNvSpPr/>
      </dsp:nvSpPr>
      <dsp:spPr>
        <a:xfrm>
          <a:off x="3370064" y="2010667"/>
          <a:ext cx="344685"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F45C0D-491E-43E1-8398-DDAE4C772D3E}">
      <dsp:nvSpPr>
        <dsp:cNvPr id="0" name=""/>
        <dsp:cNvSpPr/>
      </dsp:nvSpPr>
      <dsp:spPr>
        <a:xfrm rot="5400000">
          <a:off x="2489046" y="2186917"/>
          <a:ext cx="1055198" cy="70178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81F6C-380F-4814-B652-6B5571213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C870D5</Template>
  <TotalTime>0</TotalTime>
  <Pages>16</Pages>
  <Words>7645</Words>
  <Characters>43577</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51120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IT Services</cp:lastModifiedBy>
  <cp:revision>2</cp:revision>
  <cp:lastPrinted>2012-03-26T13:36:00Z</cp:lastPrinted>
  <dcterms:created xsi:type="dcterms:W3CDTF">2012-04-02T10:40:00Z</dcterms:created>
  <dcterms:modified xsi:type="dcterms:W3CDTF">2012-04-02T10:40:00Z</dcterms:modified>
</cp:coreProperties>
</file>