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C7C5A3" w14:textId="4EA9FAB0" w:rsidR="00FF31F6" w:rsidRPr="006A25B2" w:rsidRDefault="0052507C" w:rsidP="006A25B2">
      <w:pPr>
        <w:jc w:val="center"/>
        <w:rPr>
          <w:b/>
          <w:bCs/>
        </w:rPr>
      </w:pPr>
      <w:r w:rsidRPr="006A25B2">
        <w:rPr>
          <w:b/>
          <w:bCs/>
        </w:rPr>
        <w:t>Academic Development Centre</w:t>
      </w:r>
      <w:r w:rsidR="006A25B2">
        <w:rPr>
          <w:b/>
          <w:bCs/>
        </w:rPr>
        <w:t xml:space="preserve"> ADC</w:t>
      </w:r>
    </w:p>
    <w:p w14:paraId="72D24AB2" w14:textId="2B8CB515" w:rsidR="0052507C" w:rsidRPr="006A25B2" w:rsidRDefault="0052507C" w:rsidP="006A25B2">
      <w:pPr>
        <w:jc w:val="center"/>
        <w:rPr>
          <w:b/>
          <w:bCs/>
        </w:rPr>
      </w:pPr>
      <w:r w:rsidRPr="006A25B2">
        <w:rPr>
          <w:b/>
          <w:bCs/>
        </w:rPr>
        <w:t>Student-Staff Liaison Committee SSLC</w:t>
      </w:r>
    </w:p>
    <w:p w14:paraId="69DB9BB1" w14:textId="438E288D" w:rsidR="0052507C" w:rsidRDefault="0052507C" w:rsidP="006A25B2">
      <w:pPr>
        <w:jc w:val="center"/>
        <w:rPr>
          <w:b/>
          <w:bCs/>
        </w:rPr>
      </w:pPr>
      <w:r w:rsidRPr="006A25B2">
        <w:rPr>
          <w:b/>
          <w:bCs/>
        </w:rPr>
        <w:t>Terms of Reference</w:t>
      </w:r>
    </w:p>
    <w:p w14:paraId="57FFAC49" w14:textId="77777777" w:rsidR="006A25B2" w:rsidRDefault="006A25B2" w:rsidP="006A25B2">
      <w:pPr>
        <w:jc w:val="center"/>
        <w:rPr>
          <w:b/>
          <w:bCs/>
        </w:rPr>
      </w:pPr>
    </w:p>
    <w:p w14:paraId="29639E5D" w14:textId="4A38F164" w:rsidR="006A25B2" w:rsidRDefault="006A25B2" w:rsidP="006A25B2">
      <w:pPr>
        <w:rPr>
          <w:b/>
          <w:bCs/>
        </w:rPr>
      </w:pPr>
      <w:r>
        <w:rPr>
          <w:rStyle w:val="normaltextrun"/>
          <w:rFonts w:ascii="Calibri" w:hAnsi="Calibri" w:cs="Calibri"/>
          <w:color w:val="000000"/>
          <w:shd w:val="clear" w:color="auto" w:fill="FFFFFF"/>
        </w:rPr>
        <w:t xml:space="preserve">ADC is an academic department which leads continuing professional development activities. These activities include credit-bearing and non-credit bearing programmes. </w:t>
      </w:r>
      <w:r w:rsidR="726BDD90">
        <w:rPr>
          <w:rStyle w:val="normaltextrun"/>
          <w:rFonts w:ascii="Calibri" w:hAnsi="Calibri" w:cs="Calibri"/>
          <w:color w:val="000000"/>
          <w:shd w:val="clear" w:color="auto" w:fill="FFFFFF"/>
        </w:rPr>
        <w:t>The non-credit bearing pathways are accredited by Advance HE and lead to one of the four categories of Advance HE fellowship</w:t>
      </w:r>
      <w:r w:rsidR="490B274B">
        <w:rPr>
          <w:rStyle w:val="normaltextrun"/>
          <w:rFonts w:ascii="Calibri" w:hAnsi="Calibri" w:cs="Calibri"/>
          <w:color w:val="000000"/>
          <w:shd w:val="clear" w:color="auto" w:fill="FFFFFF"/>
        </w:rPr>
        <w:t>s</w:t>
      </w:r>
      <w:r w:rsidR="726BDD90">
        <w:rPr>
          <w:rStyle w:val="normaltextrun"/>
          <w:rFonts w:ascii="Calibri" w:hAnsi="Calibri" w:cs="Calibri"/>
          <w:color w:val="000000"/>
          <w:shd w:val="clear" w:color="auto" w:fill="FFFFFF"/>
        </w:rPr>
        <w:t xml:space="preserve">. </w:t>
      </w:r>
      <w:r>
        <w:rPr>
          <w:rStyle w:val="normaltextrun"/>
          <w:rFonts w:ascii="Calibri" w:hAnsi="Calibri" w:cs="Calibri"/>
          <w:color w:val="000000"/>
          <w:shd w:val="clear" w:color="auto" w:fill="FFFFFF"/>
        </w:rPr>
        <w:t xml:space="preserve">All the credit bearing courses at present are postgraduate awards (PGAs) with one module, although there are plans to introduce a postgraduate certificate which would allow staff to work towards a more substantial qualification. The programmes are open only to Warwick staff, </w:t>
      </w:r>
      <w:r w:rsidR="10EB19ED">
        <w:rPr>
          <w:rStyle w:val="normaltextrun"/>
          <w:rFonts w:ascii="Calibri" w:hAnsi="Calibri" w:cs="Calibri"/>
          <w:color w:val="000000"/>
          <w:shd w:val="clear" w:color="auto" w:fill="FFFFFF"/>
        </w:rPr>
        <w:t>which include both</w:t>
      </w:r>
      <w:r>
        <w:rPr>
          <w:rStyle w:val="normaltextrun"/>
          <w:rFonts w:ascii="Calibri" w:hAnsi="Calibri" w:cs="Calibri"/>
          <w:color w:val="000000"/>
          <w:shd w:val="clear" w:color="auto" w:fill="FFFFFF"/>
        </w:rPr>
        <w:t xml:space="preserve"> academic and professional services colleagues. Some of the participants </w:t>
      </w:r>
      <w:r w:rsidR="00C25D62">
        <w:rPr>
          <w:rStyle w:val="normaltextrun"/>
          <w:rFonts w:ascii="Calibri" w:hAnsi="Calibri" w:cs="Calibri"/>
          <w:color w:val="000000"/>
          <w:shd w:val="clear" w:color="auto" w:fill="FFFFFF"/>
        </w:rPr>
        <w:t xml:space="preserve">will also </w:t>
      </w:r>
      <w:r>
        <w:rPr>
          <w:rStyle w:val="normaltextrun"/>
          <w:rFonts w:ascii="Calibri" w:hAnsi="Calibri" w:cs="Calibri"/>
          <w:color w:val="000000"/>
          <w:shd w:val="clear" w:color="auto" w:fill="FFFFFF"/>
        </w:rPr>
        <w:t>be students (particularly PGRs)</w:t>
      </w:r>
      <w:r w:rsidR="00C25D62">
        <w:rPr>
          <w:rStyle w:val="normaltextrun"/>
          <w:rFonts w:ascii="Calibri" w:hAnsi="Calibri" w:cs="Calibri"/>
          <w:color w:val="000000"/>
          <w:shd w:val="clear" w:color="auto" w:fill="FFFFFF"/>
        </w:rPr>
        <w:t xml:space="preserve"> on courses other than run by ADC. </w:t>
      </w:r>
      <w:r>
        <w:rPr>
          <w:rStyle w:val="normaltextrun"/>
          <w:rFonts w:ascii="Calibri" w:hAnsi="Calibri" w:cs="Calibri"/>
          <w:color w:val="000000"/>
          <w:shd w:val="clear" w:color="auto" w:fill="FFFFFF"/>
        </w:rPr>
        <w:t xml:space="preserve">The number of staff enrolled on the non-credit bearing pathways is higher than those who are on credit bearing programmes </w:t>
      </w:r>
      <w:r w:rsidR="3D3C9C44">
        <w:rPr>
          <w:rStyle w:val="normaltextrun"/>
          <w:rFonts w:ascii="Calibri" w:hAnsi="Calibri" w:cs="Calibri"/>
          <w:color w:val="000000"/>
          <w:shd w:val="clear" w:color="auto" w:fill="FFFFFF"/>
        </w:rPr>
        <w:t>and</w:t>
      </w:r>
      <w:r>
        <w:rPr>
          <w:rStyle w:val="normaltextrun"/>
          <w:rFonts w:ascii="Calibri" w:hAnsi="Calibri" w:cs="Calibri"/>
          <w:color w:val="000000"/>
          <w:shd w:val="clear" w:color="auto" w:fill="FFFFFF"/>
        </w:rPr>
        <w:t xml:space="preserve"> overall credit bearing numbers are small.</w:t>
      </w:r>
      <w:r>
        <w:rPr>
          <w:rStyle w:val="eop"/>
          <w:rFonts w:ascii="Calibri" w:hAnsi="Calibri" w:cs="Calibri"/>
          <w:color w:val="000000"/>
          <w:shd w:val="clear" w:color="auto" w:fill="FFFFFF"/>
        </w:rPr>
        <w:t> </w:t>
      </w:r>
    </w:p>
    <w:p w14:paraId="3C2DA5EE" w14:textId="6D870BF3" w:rsidR="24EDF7A6" w:rsidRDefault="24EDF7A6" w:rsidP="199B2C8F">
      <w:pPr>
        <w:rPr>
          <w:rStyle w:val="eop"/>
          <w:rFonts w:ascii="Calibri" w:hAnsi="Calibri" w:cs="Calibri"/>
          <w:color w:val="000000" w:themeColor="text1"/>
        </w:rPr>
      </w:pPr>
      <w:r w:rsidRPr="199B2C8F">
        <w:rPr>
          <w:rStyle w:val="eop"/>
          <w:rFonts w:ascii="Calibri" w:hAnsi="Calibri" w:cs="Calibri"/>
          <w:color w:val="000000" w:themeColor="text1"/>
        </w:rPr>
        <w:t xml:space="preserve">Representatives from programmes are strongly encouraged to communicate with other participants and sharing information from meetings and requesting agenda items on behalf of the participants cohort. </w:t>
      </w:r>
      <w:r w:rsidR="2963BCDF" w:rsidRPr="199B2C8F">
        <w:rPr>
          <w:rStyle w:val="eop"/>
          <w:rFonts w:ascii="Calibri" w:hAnsi="Calibri" w:cs="Calibri"/>
          <w:color w:val="000000" w:themeColor="text1"/>
        </w:rPr>
        <w:t xml:space="preserve">Given that there </w:t>
      </w:r>
      <w:r w:rsidR="26295520" w:rsidRPr="199B2C8F">
        <w:rPr>
          <w:rStyle w:val="eop"/>
          <w:rFonts w:ascii="Calibri" w:hAnsi="Calibri" w:cs="Calibri"/>
          <w:color w:val="000000" w:themeColor="text1"/>
        </w:rPr>
        <w:t xml:space="preserve">might not be an opportunity for </w:t>
      </w:r>
      <w:r w:rsidR="2963BCDF" w:rsidRPr="199B2C8F">
        <w:rPr>
          <w:rStyle w:val="eop"/>
          <w:rFonts w:ascii="Calibri" w:hAnsi="Calibri" w:cs="Calibri"/>
          <w:color w:val="000000" w:themeColor="text1"/>
        </w:rPr>
        <w:t xml:space="preserve">all participants from a programme </w:t>
      </w:r>
      <w:r w:rsidR="5E07837A" w:rsidRPr="199B2C8F">
        <w:rPr>
          <w:rStyle w:val="eop"/>
          <w:rFonts w:ascii="Calibri" w:hAnsi="Calibri" w:cs="Calibri"/>
          <w:color w:val="000000" w:themeColor="text1"/>
        </w:rPr>
        <w:t>to be p</w:t>
      </w:r>
      <w:r w:rsidR="2963BCDF" w:rsidRPr="199B2C8F">
        <w:rPr>
          <w:rStyle w:val="eop"/>
          <w:rFonts w:ascii="Calibri" w:hAnsi="Calibri" w:cs="Calibri"/>
          <w:color w:val="000000" w:themeColor="text1"/>
        </w:rPr>
        <w:t xml:space="preserve">hysically present in the same place, </w:t>
      </w:r>
      <w:r w:rsidR="6785A364" w:rsidRPr="199B2C8F">
        <w:rPr>
          <w:rStyle w:val="eop"/>
          <w:rFonts w:ascii="Calibri" w:hAnsi="Calibri" w:cs="Calibri"/>
          <w:color w:val="000000" w:themeColor="text1"/>
        </w:rPr>
        <w:t xml:space="preserve">much communication will be done via electronic means and pathway leads are asked to offer a suitable way for reps to communicate with other participants on their programmes. </w:t>
      </w:r>
    </w:p>
    <w:p w14:paraId="28C0F437" w14:textId="36395583" w:rsidR="00D116C8" w:rsidRDefault="00D116C8" w:rsidP="199B2C8F">
      <w:pPr>
        <w:rPr>
          <w:rStyle w:val="eop"/>
          <w:rFonts w:ascii="Calibri" w:hAnsi="Calibri" w:cs="Calibri"/>
          <w:color w:val="000000" w:themeColor="text1"/>
        </w:rPr>
      </w:pPr>
      <w:r>
        <w:rPr>
          <w:rStyle w:val="eop"/>
          <w:rFonts w:ascii="Calibri" w:hAnsi="Calibri" w:cs="Calibri"/>
          <w:color w:val="000000" w:themeColor="text1"/>
        </w:rPr>
        <w:t xml:space="preserve">The aim will be to have three SSLC meetings per year, one per term. These meetings could be online or </w:t>
      </w:r>
      <w:r w:rsidR="00BA5E99">
        <w:rPr>
          <w:rStyle w:val="eop"/>
          <w:rFonts w:ascii="Calibri" w:hAnsi="Calibri" w:cs="Calibri"/>
          <w:color w:val="000000" w:themeColor="text1"/>
        </w:rPr>
        <w:t>in-person. I</w:t>
      </w:r>
      <w:r w:rsidR="00651576">
        <w:rPr>
          <w:rStyle w:val="eop"/>
          <w:rFonts w:ascii="Calibri" w:hAnsi="Calibri" w:cs="Calibri"/>
          <w:color w:val="000000" w:themeColor="text1"/>
        </w:rPr>
        <w:t>f</w:t>
      </w:r>
      <w:r w:rsidR="00BA5E99">
        <w:rPr>
          <w:rStyle w:val="eop"/>
          <w:rFonts w:ascii="Calibri" w:hAnsi="Calibri" w:cs="Calibri"/>
          <w:color w:val="000000" w:themeColor="text1"/>
        </w:rPr>
        <w:t xml:space="preserve"> appropriate </w:t>
      </w:r>
      <w:r w:rsidR="00CB2F81">
        <w:rPr>
          <w:rStyle w:val="eop"/>
          <w:rFonts w:ascii="Calibri" w:hAnsi="Calibri" w:cs="Calibri"/>
          <w:color w:val="000000" w:themeColor="text1"/>
        </w:rPr>
        <w:t>‘</w:t>
      </w:r>
      <w:r w:rsidR="00BA5E99">
        <w:rPr>
          <w:rStyle w:val="eop"/>
          <w:rFonts w:ascii="Calibri" w:hAnsi="Calibri" w:cs="Calibri"/>
          <w:color w:val="000000" w:themeColor="text1"/>
        </w:rPr>
        <w:t>meetings</w:t>
      </w:r>
      <w:r w:rsidR="00CB2F81">
        <w:rPr>
          <w:rStyle w:val="eop"/>
          <w:rFonts w:ascii="Calibri" w:hAnsi="Calibri" w:cs="Calibri"/>
          <w:color w:val="000000" w:themeColor="text1"/>
        </w:rPr>
        <w:t>’</w:t>
      </w:r>
      <w:r w:rsidR="00BA5E99">
        <w:rPr>
          <w:rStyle w:val="eop"/>
          <w:rFonts w:ascii="Calibri" w:hAnsi="Calibri" w:cs="Calibri"/>
          <w:color w:val="000000" w:themeColor="text1"/>
        </w:rPr>
        <w:t xml:space="preserve"> could be ‘asynchronous’ </w:t>
      </w:r>
      <w:r w:rsidR="00651576">
        <w:rPr>
          <w:rStyle w:val="eop"/>
          <w:rFonts w:ascii="Calibri" w:hAnsi="Calibri" w:cs="Calibri"/>
          <w:color w:val="000000" w:themeColor="text1"/>
        </w:rPr>
        <w:t xml:space="preserve">using chat or email. </w:t>
      </w:r>
    </w:p>
    <w:p w14:paraId="142968F9" w14:textId="77777777" w:rsidR="006A25B2" w:rsidRDefault="006A25B2" w:rsidP="006A25B2">
      <w:pPr>
        <w:rPr>
          <w:b/>
          <w:bCs/>
        </w:rPr>
      </w:pPr>
    </w:p>
    <w:p w14:paraId="2585E9F0" w14:textId="3E4FF1BE" w:rsidR="006A25B2" w:rsidRDefault="00C25D62" w:rsidP="006A25B2">
      <w:pPr>
        <w:rPr>
          <w:b/>
          <w:bCs/>
        </w:rPr>
      </w:pPr>
      <w:r>
        <w:rPr>
          <w:b/>
          <w:bCs/>
        </w:rPr>
        <w:t>Scope</w:t>
      </w:r>
      <w:r w:rsidR="006A25B2">
        <w:rPr>
          <w:b/>
          <w:bCs/>
        </w:rPr>
        <w:t xml:space="preserve"> of the SSLC</w:t>
      </w:r>
    </w:p>
    <w:p w14:paraId="601C0F56" w14:textId="584C260A" w:rsidR="006A25B2" w:rsidRPr="006A25B2" w:rsidRDefault="006A25B2" w:rsidP="006A25B2">
      <w:pPr>
        <w:numPr>
          <w:ilvl w:val="0"/>
          <w:numId w:val="1"/>
        </w:numPr>
        <w:spacing w:after="0"/>
      </w:pPr>
      <w:r w:rsidRPr="006A25B2">
        <w:rPr>
          <w:lang w:val="en-US"/>
        </w:rPr>
        <w:t>Course content and delivery (but not individual members of staff), including changes to course structures and proposals for new courses</w:t>
      </w:r>
    </w:p>
    <w:p w14:paraId="2F85413E" w14:textId="7A8AAEC6" w:rsidR="006A25B2" w:rsidRPr="006A25B2" w:rsidRDefault="006A25B2" w:rsidP="006A25B2">
      <w:pPr>
        <w:numPr>
          <w:ilvl w:val="0"/>
          <w:numId w:val="1"/>
        </w:numPr>
        <w:spacing w:after="0"/>
      </w:pPr>
      <w:r w:rsidRPr="006A25B2">
        <w:rPr>
          <w:lang w:val="en-US"/>
        </w:rPr>
        <w:t>Assessment, including feedback on assessment</w:t>
      </w:r>
    </w:p>
    <w:p w14:paraId="2624A9B0" w14:textId="77777777" w:rsidR="006A25B2" w:rsidRPr="006A25B2" w:rsidRDefault="006A25B2" w:rsidP="006A25B2">
      <w:pPr>
        <w:numPr>
          <w:ilvl w:val="0"/>
          <w:numId w:val="1"/>
        </w:numPr>
        <w:spacing w:after="0"/>
      </w:pPr>
      <w:r w:rsidRPr="006A25B2">
        <w:rPr>
          <w:lang w:val="en-US"/>
        </w:rPr>
        <w:t>Skills development</w:t>
      </w:r>
      <w:r w:rsidRPr="006A25B2">
        <w:t> </w:t>
      </w:r>
    </w:p>
    <w:p w14:paraId="678E8752" w14:textId="77777777" w:rsidR="006A25B2" w:rsidRPr="006A25B2" w:rsidRDefault="006A25B2" w:rsidP="006A25B2">
      <w:pPr>
        <w:numPr>
          <w:ilvl w:val="0"/>
          <w:numId w:val="1"/>
        </w:numPr>
        <w:spacing w:after="0"/>
      </w:pPr>
      <w:r w:rsidRPr="006A25B2">
        <w:rPr>
          <w:lang w:val="en-US"/>
        </w:rPr>
        <w:t>Progress monitoring</w:t>
      </w:r>
      <w:r w:rsidRPr="006A25B2">
        <w:t> </w:t>
      </w:r>
    </w:p>
    <w:p w14:paraId="61EA5271" w14:textId="77777777" w:rsidR="006A25B2" w:rsidRPr="006A25B2" w:rsidRDefault="006A25B2" w:rsidP="006A25B2">
      <w:pPr>
        <w:numPr>
          <w:ilvl w:val="0"/>
          <w:numId w:val="2"/>
        </w:numPr>
        <w:spacing w:after="0"/>
      </w:pPr>
      <w:r w:rsidRPr="006A25B2">
        <w:rPr>
          <w:lang w:val="en-US"/>
        </w:rPr>
        <w:t>Timetabling</w:t>
      </w:r>
      <w:r w:rsidRPr="006A25B2">
        <w:t> </w:t>
      </w:r>
    </w:p>
    <w:p w14:paraId="71B8BE05" w14:textId="77777777" w:rsidR="006A25B2" w:rsidRPr="006A25B2" w:rsidRDefault="006A25B2" w:rsidP="006A25B2">
      <w:pPr>
        <w:numPr>
          <w:ilvl w:val="0"/>
          <w:numId w:val="2"/>
        </w:numPr>
        <w:spacing w:after="0"/>
      </w:pPr>
      <w:r w:rsidRPr="006A25B2">
        <w:rPr>
          <w:lang w:val="en-US"/>
        </w:rPr>
        <w:t>Monitoring, progression and supervisory systems (but not individual supervisors)</w:t>
      </w:r>
      <w:r w:rsidRPr="006A25B2">
        <w:t> </w:t>
      </w:r>
    </w:p>
    <w:p w14:paraId="663C2976" w14:textId="0CBB0352" w:rsidR="006A25B2" w:rsidRPr="006A25B2" w:rsidRDefault="2FB89884" w:rsidP="0DB3792B">
      <w:pPr>
        <w:numPr>
          <w:ilvl w:val="0"/>
          <w:numId w:val="2"/>
        </w:numPr>
        <w:spacing w:after="0"/>
        <w:rPr>
          <w:lang w:val="en-US"/>
        </w:rPr>
      </w:pPr>
      <w:r w:rsidRPr="0DB3792B">
        <w:rPr>
          <w:lang w:val="en-US"/>
        </w:rPr>
        <w:t>Professional development in scholarship and research skills and practice</w:t>
      </w:r>
    </w:p>
    <w:p w14:paraId="2D0F9319" w14:textId="0BED1C29" w:rsidR="006A25B2" w:rsidRPr="006A25B2" w:rsidRDefault="006A25B2" w:rsidP="006A25B2">
      <w:pPr>
        <w:numPr>
          <w:ilvl w:val="0"/>
          <w:numId w:val="3"/>
        </w:numPr>
        <w:spacing w:after="0"/>
      </w:pPr>
      <w:r w:rsidRPr="0DB3792B">
        <w:rPr>
          <w:lang w:val="en-US"/>
        </w:rPr>
        <w:t>Student</w:t>
      </w:r>
      <w:r w:rsidR="7302BA12" w:rsidRPr="0DB3792B">
        <w:rPr>
          <w:lang w:val="en-US"/>
        </w:rPr>
        <w:t>/participant</w:t>
      </w:r>
      <w:r w:rsidRPr="0DB3792B">
        <w:rPr>
          <w:lang w:val="en-US"/>
        </w:rPr>
        <w:t xml:space="preserve"> support and guidance</w:t>
      </w:r>
      <w:r>
        <w:t> </w:t>
      </w:r>
    </w:p>
    <w:p w14:paraId="498AE9E4" w14:textId="77777777" w:rsidR="006A25B2" w:rsidRPr="006A25B2" w:rsidRDefault="006A25B2" w:rsidP="006A25B2">
      <w:pPr>
        <w:numPr>
          <w:ilvl w:val="0"/>
          <w:numId w:val="3"/>
        </w:numPr>
        <w:spacing w:after="0"/>
      </w:pPr>
      <w:r w:rsidRPr="006A25B2">
        <w:rPr>
          <w:lang w:val="en-US"/>
        </w:rPr>
        <w:t>Library provision</w:t>
      </w:r>
      <w:r w:rsidRPr="006A25B2">
        <w:t> </w:t>
      </w:r>
    </w:p>
    <w:p w14:paraId="713BB86D" w14:textId="68EDB48E" w:rsidR="006A25B2" w:rsidRPr="006A25B2" w:rsidRDefault="006A25B2" w:rsidP="006A25B2">
      <w:pPr>
        <w:numPr>
          <w:ilvl w:val="0"/>
          <w:numId w:val="3"/>
        </w:numPr>
        <w:spacing w:after="0"/>
      </w:pPr>
      <w:r w:rsidRPr="199B2C8F">
        <w:rPr>
          <w:lang w:val="en-US"/>
        </w:rPr>
        <w:t>IT issues and availability of e-learning resources (e</w:t>
      </w:r>
      <w:r w:rsidR="39232FF3" w:rsidRPr="199B2C8F">
        <w:rPr>
          <w:lang w:val="en-US"/>
        </w:rPr>
        <w:t>.</w:t>
      </w:r>
      <w:r w:rsidRPr="199B2C8F">
        <w:rPr>
          <w:lang w:val="en-US"/>
        </w:rPr>
        <w:t>g</w:t>
      </w:r>
      <w:r w:rsidR="39232FF3" w:rsidRPr="199B2C8F">
        <w:rPr>
          <w:lang w:val="en-US"/>
        </w:rPr>
        <w:t>.</w:t>
      </w:r>
      <w:r w:rsidRPr="199B2C8F">
        <w:rPr>
          <w:lang w:val="en-US"/>
        </w:rPr>
        <w:t xml:space="preserve"> digital resources)</w:t>
      </w:r>
      <w:r>
        <w:t> </w:t>
      </w:r>
    </w:p>
    <w:p w14:paraId="1B1F1D51" w14:textId="77777777" w:rsidR="006A25B2" w:rsidRPr="006A25B2" w:rsidRDefault="006A25B2" w:rsidP="006A25B2">
      <w:pPr>
        <w:numPr>
          <w:ilvl w:val="0"/>
          <w:numId w:val="3"/>
        </w:numPr>
        <w:spacing w:after="0"/>
      </w:pPr>
      <w:r w:rsidRPr="006A25B2">
        <w:rPr>
          <w:lang w:val="en-US"/>
        </w:rPr>
        <w:t>Careers advice</w:t>
      </w:r>
      <w:r w:rsidRPr="006A25B2">
        <w:t> </w:t>
      </w:r>
    </w:p>
    <w:p w14:paraId="13B47FAD" w14:textId="77777777" w:rsidR="006A25B2" w:rsidRPr="006A25B2" w:rsidRDefault="006A25B2" w:rsidP="006A25B2">
      <w:pPr>
        <w:numPr>
          <w:ilvl w:val="0"/>
          <w:numId w:val="3"/>
        </w:numPr>
        <w:spacing w:after="0"/>
      </w:pPr>
      <w:r w:rsidRPr="006A25B2">
        <w:rPr>
          <w:lang w:val="en-US"/>
        </w:rPr>
        <w:t>Departmental liaison with the Library, IT and Careers, and induction and training arrangements</w:t>
      </w:r>
      <w:r w:rsidRPr="006A25B2">
        <w:t> </w:t>
      </w:r>
    </w:p>
    <w:p w14:paraId="0E92BBC2" w14:textId="77883A04" w:rsidR="006A25B2" w:rsidRDefault="006A25B2" w:rsidP="006A25B2">
      <w:pPr>
        <w:numPr>
          <w:ilvl w:val="0"/>
          <w:numId w:val="4"/>
        </w:numPr>
        <w:spacing w:after="0"/>
      </w:pPr>
      <w:r w:rsidRPr="006A25B2">
        <w:rPr>
          <w:lang w:val="en-US"/>
        </w:rPr>
        <w:t xml:space="preserve">Other academic resources, including </w:t>
      </w:r>
      <w:r>
        <w:rPr>
          <w:lang w:val="en-US"/>
        </w:rPr>
        <w:t>group</w:t>
      </w:r>
      <w:r w:rsidRPr="006A25B2">
        <w:rPr>
          <w:lang w:val="en-US"/>
        </w:rPr>
        <w:t xml:space="preserve"> size</w:t>
      </w:r>
      <w:r>
        <w:rPr>
          <w:lang w:val="en-US"/>
        </w:rPr>
        <w:t xml:space="preserve"> and</w:t>
      </w:r>
      <w:r w:rsidRPr="006A25B2">
        <w:rPr>
          <w:lang w:val="en-US"/>
        </w:rPr>
        <w:t xml:space="preserve"> timetable.</w:t>
      </w:r>
      <w:r w:rsidRPr="006A25B2">
        <w:t> </w:t>
      </w:r>
    </w:p>
    <w:p w14:paraId="406A5E0D" w14:textId="77777777" w:rsidR="006A25B2" w:rsidRDefault="006A25B2" w:rsidP="006A25B2">
      <w:pPr>
        <w:spacing w:after="0"/>
      </w:pPr>
    </w:p>
    <w:p w14:paraId="65533E66" w14:textId="77777777" w:rsidR="00C92277" w:rsidRDefault="00C92277" w:rsidP="006A25B2">
      <w:pPr>
        <w:spacing w:after="0"/>
        <w:rPr>
          <w:b/>
          <w:bCs/>
          <w:u w:val="single"/>
        </w:rPr>
      </w:pPr>
    </w:p>
    <w:p w14:paraId="35625FEB" w14:textId="77777777" w:rsidR="006A7877" w:rsidRDefault="006A7877">
      <w:pPr>
        <w:rPr>
          <w:b/>
          <w:bCs/>
          <w:u w:val="single"/>
        </w:rPr>
      </w:pPr>
      <w:r>
        <w:rPr>
          <w:b/>
          <w:bCs/>
          <w:u w:val="single"/>
        </w:rPr>
        <w:br w:type="page"/>
      </w:r>
    </w:p>
    <w:p w14:paraId="5E5E13DD" w14:textId="0BE6EEC3" w:rsidR="006A25B2" w:rsidRPr="00C92277" w:rsidRDefault="006A25B2" w:rsidP="006A25B2">
      <w:pPr>
        <w:spacing w:after="0"/>
        <w:rPr>
          <w:b/>
          <w:bCs/>
          <w:u w:val="single"/>
        </w:rPr>
      </w:pPr>
      <w:r w:rsidRPr="00C92277">
        <w:rPr>
          <w:b/>
          <w:bCs/>
          <w:u w:val="single"/>
        </w:rPr>
        <w:lastRenderedPageBreak/>
        <w:t xml:space="preserve">Membership </w:t>
      </w:r>
    </w:p>
    <w:p w14:paraId="3E4E7CF8" w14:textId="77777777" w:rsidR="006A3267" w:rsidRDefault="006A3267" w:rsidP="006A25B2">
      <w:pPr>
        <w:spacing w:after="0"/>
      </w:pPr>
    </w:p>
    <w:p w14:paraId="7A330E7A" w14:textId="6C2B28BC" w:rsidR="006A3267" w:rsidRPr="006A3267" w:rsidRDefault="006A3267" w:rsidP="006A25B2">
      <w:pPr>
        <w:spacing w:after="0"/>
        <w:rPr>
          <w:b/>
          <w:bCs/>
        </w:rPr>
      </w:pPr>
      <w:r w:rsidRPr="006A3267">
        <w:rPr>
          <w:b/>
          <w:bCs/>
        </w:rPr>
        <w:t>Office</w:t>
      </w:r>
      <w:r w:rsidR="00C92277">
        <w:rPr>
          <w:b/>
          <w:bCs/>
        </w:rPr>
        <w:t>r</w:t>
      </w:r>
      <w:r w:rsidRPr="006A3267">
        <w:rPr>
          <w:b/>
          <w:bCs/>
        </w:rPr>
        <w:t>s</w:t>
      </w:r>
    </w:p>
    <w:p w14:paraId="4A74AFEF" w14:textId="66250D7D" w:rsidR="006A3267" w:rsidRDefault="006A3267" w:rsidP="006A25B2">
      <w:pPr>
        <w:spacing w:after="0"/>
      </w:pPr>
      <w:r>
        <w:t>Chair</w:t>
      </w:r>
      <w:r w:rsidR="00E152C5">
        <w:t>:</w:t>
      </w:r>
    </w:p>
    <w:p w14:paraId="76D87477" w14:textId="54C35F1F" w:rsidR="006A3267" w:rsidRDefault="006A3267" w:rsidP="006A25B2">
      <w:pPr>
        <w:spacing w:after="0"/>
      </w:pPr>
      <w:r>
        <w:t>Secretary</w:t>
      </w:r>
      <w:r w:rsidR="00E152C5">
        <w:t>:</w:t>
      </w:r>
    </w:p>
    <w:p w14:paraId="29CA07D2" w14:textId="491CA246" w:rsidR="006A3267" w:rsidRDefault="006A3267" w:rsidP="006A25B2">
      <w:pPr>
        <w:spacing w:after="0"/>
      </w:pPr>
      <w:r>
        <w:t>Academic Convenor</w:t>
      </w:r>
      <w:r w:rsidR="00E152C5">
        <w:t>: Dr John Kirkman SFHEA</w:t>
      </w:r>
    </w:p>
    <w:p w14:paraId="7B2733CA" w14:textId="7F9D689E" w:rsidR="006A3267" w:rsidRDefault="006A3267" w:rsidP="006A25B2">
      <w:pPr>
        <w:spacing w:after="0"/>
      </w:pPr>
      <w:r>
        <w:t>Academic member of staff</w:t>
      </w:r>
      <w:r w:rsidR="00E152C5">
        <w:t>: Will Haywood SFHEA</w:t>
      </w:r>
    </w:p>
    <w:p w14:paraId="72FFC4A8" w14:textId="08262B9E" w:rsidR="00C25D62" w:rsidRDefault="006A7877">
      <w:r>
        <w:t xml:space="preserve"> </w:t>
      </w:r>
    </w:p>
    <w:p w14:paraId="497139CA" w14:textId="2A954DC6" w:rsidR="00C92277" w:rsidRPr="00C92277" w:rsidRDefault="00C92277" w:rsidP="006A25B2">
      <w:pPr>
        <w:spacing w:after="0"/>
        <w:rPr>
          <w:b/>
          <w:bCs/>
        </w:rPr>
      </w:pPr>
      <w:r w:rsidRPr="00C92277">
        <w:rPr>
          <w:b/>
          <w:bCs/>
        </w:rPr>
        <w:t xml:space="preserve">SSLC Representation </w:t>
      </w:r>
    </w:p>
    <w:p w14:paraId="2A990642" w14:textId="77777777" w:rsidR="00C92277" w:rsidRDefault="00C92277" w:rsidP="006A25B2">
      <w:pPr>
        <w:spacing w:after="0"/>
      </w:pPr>
    </w:p>
    <w:p w14:paraId="711996F9" w14:textId="485F79E9" w:rsidR="006A3267" w:rsidRDefault="00C92277" w:rsidP="006A25B2">
      <w:pPr>
        <w:spacing w:after="0"/>
      </w:pPr>
      <w:r>
        <w:t>The table below sets out the different programmes lead by ADC and eligibility for each programme. The SSLC seeks to represent all those who are following ADC pathways and who have primary roles as staff (academic or professional services) or students. Ideally the SSLC would be comprised of representative in each of the 9 cells below, however this may not be possible and therefore aiming for at least on representative from each role and each column</w:t>
      </w:r>
      <w:r w:rsidR="000A73A2">
        <w:t xml:space="preserve"> seems reasonable</w:t>
      </w:r>
      <w:r>
        <w:t xml:space="preserve">. </w:t>
      </w:r>
    </w:p>
    <w:p w14:paraId="31E0216D" w14:textId="77777777" w:rsidR="00C25D62" w:rsidRDefault="00C25D62" w:rsidP="006A25B2">
      <w:pPr>
        <w:spacing w:after="0"/>
      </w:pPr>
    </w:p>
    <w:tbl>
      <w:tblPr>
        <w:tblStyle w:val="TableGrid"/>
        <w:tblW w:w="9209" w:type="dxa"/>
        <w:tblLook w:val="04A0" w:firstRow="1" w:lastRow="0" w:firstColumn="1" w:lastColumn="0" w:noHBand="0" w:noVBand="1"/>
      </w:tblPr>
      <w:tblGrid>
        <w:gridCol w:w="1697"/>
        <w:gridCol w:w="1502"/>
        <w:gridCol w:w="1502"/>
        <w:gridCol w:w="1503"/>
        <w:gridCol w:w="1502"/>
        <w:gridCol w:w="1503"/>
      </w:tblGrid>
      <w:tr w:rsidR="006452DC" w14:paraId="56E489A0" w14:textId="77777777" w:rsidTr="006452DC">
        <w:trPr>
          <w:trHeight w:val="821"/>
        </w:trPr>
        <w:tc>
          <w:tcPr>
            <w:tcW w:w="1697" w:type="dxa"/>
            <w:vAlign w:val="center"/>
          </w:tcPr>
          <w:p w14:paraId="77EE35AC" w14:textId="77777777" w:rsidR="006452DC" w:rsidRPr="00C25D62" w:rsidRDefault="006452DC" w:rsidP="006452DC">
            <w:pPr>
              <w:jc w:val="center"/>
              <w:rPr>
                <w:b/>
                <w:bCs/>
              </w:rPr>
            </w:pPr>
          </w:p>
        </w:tc>
        <w:tc>
          <w:tcPr>
            <w:tcW w:w="4507" w:type="dxa"/>
            <w:gridSpan w:val="3"/>
            <w:vAlign w:val="center"/>
          </w:tcPr>
          <w:p w14:paraId="088DF0B0" w14:textId="3773DD52" w:rsidR="006452DC" w:rsidRPr="00C25D62" w:rsidRDefault="006452DC" w:rsidP="006452DC">
            <w:pPr>
              <w:jc w:val="center"/>
              <w:rPr>
                <w:b/>
                <w:bCs/>
              </w:rPr>
            </w:pPr>
            <w:r>
              <w:rPr>
                <w:b/>
                <w:bCs/>
              </w:rPr>
              <w:t>Not under the remit of the Student Union</w:t>
            </w:r>
          </w:p>
        </w:tc>
        <w:tc>
          <w:tcPr>
            <w:tcW w:w="3005" w:type="dxa"/>
            <w:gridSpan w:val="2"/>
            <w:vAlign w:val="center"/>
          </w:tcPr>
          <w:p w14:paraId="48574450" w14:textId="6C578E77" w:rsidR="006452DC" w:rsidRPr="00C25D62" w:rsidRDefault="006452DC" w:rsidP="006452DC">
            <w:pPr>
              <w:jc w:val="center"/>
              <w:rPr>
                <w:b/>
                <w:bCs/>
              </w:rPr>
            </w:pPr>
            <w:r>
              <w:rPr>
                <w:b/>
                <w:bCs/>
              </w:rPr>
              <w:t>Under the remit of the Student Union</w:t>
            </w:r>
          </w:p>
        </w:tc>
      </w:tr>
      <w:tr w:rsidR="00C25D62" w14:paraId="749BC605" w14:textId="77777777" w:rsidTr="006452DC">
        <w:trPr>
          <w:trHeight w:val="821"/>
        </w:trPr>
        <w:tc>
          <w:tcPr>
            <w:tcW w:w="1697" w:type="dxa"/>
            <w:vAlign w:val="center"/>
          </w:tcPr>
          <w:p w14:paraId="0413AB9E" w14:textId="1E4D3398" w:rsidR="00C25D62" w:rsidRPr="00C25D62" w:rsidRDefault="00C25D62" w:rsidP="006452DC">
            <w:pPr>
              <w:jc w:val="center"/>
              <w:rPr>
                <w:b/>
                <w:bCs/>
              </w:rPr>
            </w:pPr>
            <w:r w:rsidRPr="00C25D62">
              <w:rPr>
                <w:b/>
                <w:bCs/>
              </w:rPr>
              <w:t>Primary Role of Participants</w:t>
            </w:r>
          </w:p>
        </w:tc>
        <w:tc>
          <w:tcPr>
            <w:tcW w:w="4507" w:type="dxa"/>
            <w:gridSpan w:val="3"/>
            <w:vAlign w:val="center"/>
          </w:tcPr>
          <w:p w14:paraId="01AB717E" w14:textId="194C6DA9" w:rsidR="00C25D62" w:rsidRPr="00C25D62" w:rsidRDefault="00C25D62" w:rsidP="006452DC">
            <w:pPr>
              <w:jc w:val="center"/>
              <w:rPr>
                <w:b/>
                <w:bCs/>
              </w:rPr>
            </w:pPr>
            <w:r w:rsidRPr="00C25D62">
              <w:rPr>
                <w:b/>
                <w:bCs/>
              </w:rPr>
              <w:t>ADC Non-credit bearing pathways leading to HEA fellowship</w:t>
            </w:r>
          </w:p>
        </w:tc>
        <w:tc>
          <w:tcPr>
            <w:tcW w:w="3005" w:type="dxa"/>
            <w:gridSpan w:val="2"/>
            <w:vAlign w:val="center"/>
          </w:tcPr>
          <w:p w14:paraId="292D9EE1" w14:textId="2417ABDC" w:rsidR="00C25D62" w:rsidRPr="00C25D62" w:rsidRDefault="00C25D62" w:rsidP="006452DC">
            <w:pPr>
              <w:jc w:val="center"/>
              <w:rPr>
                <w:b/>
                <w:bCs/>
              </w:rPr>
            </w:pPr>
            <w:r w:rsidRPr="00C25D62">
              <w:rPr>
                <w:b/>
                <w:bCs/>
              </w:rPr>
              <w:t>ADC Credit bearing Post-graduate Awards</w:t>
            </w:r>
          </w:p>
        </w:tc>
      </w:tr>
      <w:tr w:rsidR="00C25D62" w14:paraId="309A81CA" w14:textId="77777777" w:rsidTr="006452DC">
        <w:trPr>
          <w:trHeight w:val="806"/>
        </w:trPr>
        <w:tc>
          <w:tcPr>
            <w:tcW w:w="1697" w:type="dxa"/>
            <w:vAlign w:val="center"/>
          </w:tcPr>
          <w:p w14:paraId="5905811E" w14:textId="17B423AB" w:rsidR="00C25D62" w:rsidRPr="00C25D62" w:rsidRDefault="00C25D62" w:rsidP="006452DC">
            <w:pPr>
              <w:jc w:val="center"/>
              <w:rPr>
                <w:b/>
                <w:bCs/>
              </w:rPr>
            </w:pPr>
            <w:r w:rsidRPr="00C25D62">
              <w:rPr>
                <w:b/>
                <w:bCs/>
              </w:rPr>
              <w:t>Programme</w:t>
            </w:r>
          </w:p>
        </w:tc>
        <w:tc>
          <w:tcPr>
            <w:tcW w:w="1502" w:type="dxa"/>
            <w:vAlign w:val="center"/>
          </w:tcPr>
          <w:p w14:paraId="095884F7" w14:textId="371C42AA" w:rsidR="00C25D62" w:rsidRDefault="00C25D62" w:rsidP="006452DC">
            <w:pPr>
              <w:jc w:val="center"/>
            </w:pPr>
            <w:r>
              <w:t>APP EXP</w:t>
            </w:r>
          </w:p>
        </w:tc>
        <w:tc>
          <w:tcPr>
            <w:tcW w:w="1502" w:type="dxa"/>
            <w:vAlign w:val="center"/>
          </w:tcPr>
          <w:p w14:paraId="23F1B4E0" w14:textId="6BEFEA5F" w:rsidR="00C25D62" w:rsidRDefault="00C25D62" w:rsidP="006452DC">
            <w:pPr>
              <w:jc w:val="center"/>
            </w:pPr>
            <w:r>
              <w:t>APP PGR</w:t>
            </w:r>
          </w:p>
        </w:tc>
        <w:tc>
          <w:tcPr>
            <w:tcW w:w="1503" w:type="dxa"/>
            <w:vAlign w:val="center"/>
          </w:tcPr>
          <w:p w14:paraId="43372EFE" w14:textId="641B0E3B" w:rsidR="00C25D62" w:rsidRDefault="00C25D62" w:rsidP="006452DC">
            <w:pPr>
              <w:jc w:val="center"/>
            </w:pPr>
            <w:r>
              <w:t>APP TE</w:t>
            </w:r>
          </w:p>
        </w:tc>
        <w:tc>
          <w:tcPr>
            <w:tcW w:w="1502" w:type="dxa"/>
            <w:vAlign w:val="center"/>
          </w:tcPr>
          <w:p w14:paraId="4A1AEB55" w14:textId="0F3FC19F" w:rsidR="00C25D62" w:rsidRDefault="00C25D62" w:rsidP="006452DC">
            <w:pPr>
              <w:jc w:val="center"/>
            </w:pPr>
            <w:r>
              <w:t>PGA Curriculum Development</w:t>
            </w:r>
          </w:p>
        </w:tc>
        <w:tc>
          <w:tcPr>
            <w:tcW w:w="1503" w:type="dxa"/>
            <w:vAlign w:val="center"/>
          </w:tcPr>
          <w:p w14:paraId="3712B0F9" w14:textId="20C37238" w:rsidR="00C25D62" w:rsidRDefault="00C25D62" w:rsidP="006452DC">
            <w:pPr>
              <w:jc w:val="center"/>
            </w:pPr>
            <w:r>
              <w:t>PGA Technology Enhanced Learning</w:t>
            </w:r>
            <w:r w:rsidR="00F8372F">
              <w:t xml:space="preserve"> (being taught out)</w:t>
            </w:r>
          </w:p>
        </w:tc>
      </w:tr>
      <w:tr w:rsidR="00C25D62" w14:paraId="0746D34C" w14:textId="77777777" w:rsidTr="00346A13">
        <w:trPr>
          <w:trHeight w:val="806"/>
        </w:trPr>
        <w:tc>
          <w:tcPr>
            <w:tcW w:w="1697" w:type="dxa"/>
            <w:vAlign w:val="center"/>
          </w:tcPr>
          <w:p w14:paraId="1708A5C8" w14:textId="7CFDCC24" w:rsidR="00C25D62" w:rsidRPr="00C25D62" w:rsidRDefault="00C25D62" w:rsidP="006452DC">
            <w:pPr>
              <w:jc w:val="center"/>
              <w:rPr>
                <w:b/>
                <w:bCs/>
              </w:rPr>
            </w:pPr>
            <w:r w:rsidRPr="00C25D62">
              <w:rPr>
                <w:b/>
                <w:bCs/>
              </w:rPr>
              <w:t>Members of Academic Staff</w:t>
            </w:r>
          </w:p>
        </w:tc>
        <w:tc>
          <w:tcPr>
            <w:tcW w:w="1502" w:type="dxa"/>
          </w:tcPr>
          <w:p w14:paraId="3E0EE705" w14:textId="77777777" w:rsidR="00C25D62" w:rsidRDefault="00C25D62" w:rsidP="006A25B2"/>
        </w:tc>
        <w:tc>
          <w:tcPr>
            <w:tcW w:w="1502" w:type="dxa"/>
            <w:shd w:val="clear" w:color="auto" w:fill="000000" w:themeFill="text1"/>
          </w:tcPr>
          <w:p w14:paraId="5CC17991" w14:textId="77777777" w:rsidR="00C25D62" w:rsidRDefault="00C25D62" w:rsidP="006A25B2"/>
        </w:tc>
        <w:tc>
          <w:tcPr>
            <w:tcW w:w="1503" w:type="dxa"/>
          </w:tcPr>
          <w:p w14:paraId="41CC95CA" w14:textId="6A619E9D" w:rsidR="00C25D62" w:rsidRDefault="00C25D62" w:rsidP="006A25B2"/>
        </w:tc>
        <w:tc>
          <w:tcPr>
            <w:tcW w:w="1502" w:type="dxa"/>
          </w:tcPr>
          <w:p w14:paraId="02B8E7F4" w14:textId="77777777" w:rsidR="00C25D62" w:rsidRDefault="00C25D62" w:rsidP="006A25B2"/>
        </w:tc>
        <w:tc>
          <w:tcPr>
            <w:tcW w:w="1503" w:type="dxa"/>
          </w:tcPr>
          <w:p w14:paraId="609B3FB2" w14:textId="757ACA89" w:rsidR="00C25D62" w:rsidRDefault="00C25D62" w:rsidP="006A25B2"/>
        </w:tc>
      </w:tr>
      <w:tr w:rsidR="00C25D62" w14:paraId="07CBC4F7" w14:textId="77777777" w:rsidTr="00346A13">
        <w:trPr>
          <w:trHeight w:val="806"/>
        </w:trPr>
        <w:tc>
          <w:tcPr>
            <w:tcW w:w="1697" w:type="dxa"/>
            <w:vAlign w:val="center"/>
          </w:tcPr>
          <w:p w14:paraId="4324C8A6" w14:textId="2F8D71B2" w:rsidR="00C25D62" w:rsidRPr="00C25D62" w:rsidRDefault="00C25D62" w:rsidP="006452DC">
            <w:pPr>
              <w:jc w:val="center"/>
              <w:rPr>
                <w:b/>
                <w:bCs/>
              </w:rPr>
            </w:pPr>
            <w:r w:rsidRPr="00C25D62">
              <w:rPr>
                <w:b/>
                <w:bCs/>
              </w:rPr>
              <w:t>Members of Professional Services Staff</w:t>
            </w:r>
          </w:p>
        </w:tc>
        <w:tc>
          <w:tcPr>
            <w:tcW w:w="1502" w:type="dxa"/>
          </w:tcPr>
          <w:p w14:paraId="1E54540F" w14:textId="77777777" w:rsidR="00C25D62" w:rsidRDefault="00C25D62" w:rsidP="006A25B2"/>
        </w:tc>
        <w:tc>
          <w:tcPr>
            <w:tcW w:w="1502" w:type="dxa"/>
            <w:shd w:val="clear" w:color="auto" w:fill="000000" w:themeFill="text1"/>
          </w:tcPr>
          <w:p w14:paraId="242995B9" w14:textId="77777777" w:rsidR="00C25D62" w:rsidRDefault="00C25D62" w:rsidP="006A25B2"/>
        </w:tc>
        <w:tc>
          <w:tcPr>
            <w:tcW w:w="1503" w:type="dxa"/>
            <w:shd w:val="clear" w:color="auto" w:fill="000000" w:themeFill="text1"/>
          </w:tcPr>
          <w:p w14:paraId="7532716D" w14:textId="0471D711" w:rsidR="00C25D62" w:rsidRDefault="00C25D62" w:rsidP="006A25B2"/>
        </w:tc>
        <w:tc>
          <w:tcPr>
            <w:tcW w:w="1502" w:type="dxa"/>
          </w:tcPr>
          <w:p w14:paraId="5F590752" w14:textId="77777777" w:rsidR="00C25D62" w:rsidRDefault="00C25D62" w:rsidP="006A25B2"/>
        </w:tc>
        <w:tc>
          <w:tcPr>
            <w:tcW w:w="1503" w:type="dxa"/>
          </w:tcPr>
          <w:p w14:paraId="2B365CBB" w14:textId="1DA85F34" w:rsidR="00C25D62" w:rsidRDefault="00C25D62" w:rsidP="006A25B2"/>
        </w:tc>
      </w:tr>
      <w:tr w:rsidR="00C25D62" w14:paraId="681363DC" w14:textId="77777777" w:rsidTr="00346A13">
        <w:trPr>
          <w:trHeight w:val="806"/>
        </w:trPr>
        <w:tc>
          <w:tcPr>
            <w:tcW w:w="1697" w:type="dxa"/>
            <w:vAlign w:val="center"/>
          </w:tcPr>
          <w:p w14:paraId="2F4FEE94" w14:textId="38F6A911" w:rsidR="00C25D62" w:rsidRPr="00C25D62" w:rsidRDefault="00C25D62" w:rsidP="006452DC">
            <w:pPr>
              <w:jc w:val="center"/>
              <w:rPr>
                <w:b/>
                <w:bCs/>
              </w:rPr>
            </w:pPr>
            <w:r w:rsidRPr="00C25D62">
              <w:rPr>
                <w:b/>
                <w:bCs/>
              </w:rPr>
              <w:t>Students (</w:t>
            </w:r>
            <w:r w:rsidR="00346A13">
              <w:rPr>
                <w:b/>
                <w:bCs/>
              </w:rPr>
              <w:t xml:space="preserve">typically </w:t>
            </w:r>
            <w:r w:rsidRPr="00C25D62">
              <w:rPr>
                <w:b/>
                <w:bCs/>
              </w:rPr>
              <w:t>PGR)</w:t>
            </w:r>
          </w:p>
        </w:tc>
        <w:tc>
          <w:tcPr>
            <w:tcW w:w="1502" w:type="dxa"/>
          </w:tcPr>
          <w:p w14:paraId="43AA56A2" w14:textId="77777777" w:rsidR="00C25D62" w:rsidRDefault="00C25D62" w:rsidP="006A25B2"/>
        </w:tc>
        <w:tc>
          <w:tcPr>
            <w:tcW w:w="1502" w:type="dxa"/>
          </w:tcPr>
          <w:p w14:paraId="78CA5027" w14:textId="77777777" w:rsidR="00C25D62" w:rsidRDefault="00C25D62" w:rsidP="006A25B2"/>
        </w:tc>
        <w:tc>
          <w:tcPr>
            <w:tcW w:w="1503" w:type="dxa"/>
            <w:shd w:val="clear" w:color="auto" w:fill="000000" w:themeFill="text1"/>
          </w:tcPr>
          <w:p w14:paraId="28807C1C" w14:textId="25F1ADEE" w:rsidR="00C25D62" w:rsidRDefault="00C25D62" w:rsidP="006A25B2"/>
        </w:tc>
        <w:tc>
          <w:tcPr>
            <w:tcW w:w="1502" w:type="dxa"/>
            <w:shd w:val="clear" w:color="auto" w:fill="000000" w:themeFill="text1"/>
          </w:tcPr>
          <w:p w14:paraId="2F34F504" w14:textId="77777777" w:rsidR="00C25D62" w:rsidRDefault="00C25D62" w:rsidP="006A25B2"/>
        </w:tc>
        <w:tc>
          <w:tcPr>
            <w:tcW w:w="1503" w:type="dxa"/>
            <w:shd w:val="clear" w:color="auto" w:fill="000000" w:themeFill="text1"/>
          </w:tcPr>
          <w:p w14:paraId="6425F791" w14:textId="1BFC0ABF" w:rsidR="00C25D62" w:rsidRDefault="00C25D62" w:rsidP="006A25B2"/>
        </w:tc>
      </w:tr>
    </w:tbl>
    <w:p w14:paraId="05AD488B" w14:textId="77777777" w:rsidR="00C25D62" w:rsidRDefault="00C25D62" w:rsidP="006A25B2">
      <w:pPr>
        <w:spacing w:after="0"/>
      </w:pPr>
    </w:p>
    <w:p w14:paraId="53376B74" w14:textId="77777777" w:rsidR="005C2472" w:rsidRDefault="005C2472"/>
    <w:p w14:paraId="1E435587" w14:textId="77777777" w:rsidR="005E6FB1" w:rsidRDefault="005E6FB1">
      <w:pPr>
        <w:rPr>
          <w:b/>
          <w:bCs/>
        </w:rPr>
      </w:pPr>
      <w:r>
        <w:rPr>
          <w:b/>
          <w:bCs/>
        </w:rPr>
        <w:br w:type="page"/>
      </w:r>
    </w:p>
    <w:p w14:paraId="2D430A1E" w14:textId="1BA4D9C7" w:rsidR="005C2472" w:rsidRDefault="005C2472">
      <w:pPr>
        <w:rPr>
          <w:b/>
          <w:bCs/>
        </w:rPr>
      </w:pPr>
      <w:r w:rsidRPr="005C2472">
        <w:rPr>
          <w:b/>
          <w:bCs/>
        </w:rPr>
        <w:lastRenderedPageBreak/>
        <w:t>Other points</w:t>
      </w:r>
    </w:p>
    <w:p w14:paraId="5241274D" w14:textId="15B4F3AA" w:rsidR="005C2472" w:rsidRDefault="005C2472" w:rsidP="005C2472">
      <w:pPr>
        <w:pStyle w:val="ListParagraph"/>
        <w:numPr>
          <w:ilvl w:val="0"/>
          <w:numId w:val="6"/>
        </w:numPr>
      </w:pPr>
      <w:r w:rsidRPr="005C2472">
        <w:t xml:space="preserve">Representatives </w:t>
      </w:r>
      <w:r>
        <w:t xml:space="preserve">are invited to </w:t>
      </w:r>
      <w:r w:rsidRPr="005C2472">
        <w:t xml:space="preserve">stay on </w:t>
      </w:r>
      <w:r>
        <w:t>the SSLC once they have completed their programme as their experiences while on the programme may be useful for the committee and for current and future participants</w:t>
      </w:r>
      <w:r w:rsidR="005E2E5E">
        <w:t>, as well as being a valuable experience in itself</w:t>
      </w:r>
      <w:r>
        <w:t xml:space="preserve">. </w:t>
      </w:r>
      <w:r w:rsidR="00E305A7">
        <w:t xml:space="preserve">It might be expected that after 6 months </w:t>
      </w:r>
      <w:r w:rsidR="005E2E5E">
        <w:t xml:space="preserve">and once a </w:t>
      </w:r>
      <w:r w:rsidR="00E305A7">
        <w:t xml:space="preserve">new representative from their completed programmes </w:t>
      </w:r>
      <w:r w:rsidR="000A73A2">
        <w:t>joins</w:t>
      </w:r>
      <w:r w:rsidR="005E2E5E">
        <w:t xml:space="preserve"> a representative who has completed their programme may </w:t>
      </w:r>
      <w:r w:rsidR="000A73A2">
        <w:t xml:space="preserve">decide to </w:t>
      </w:r>
      <w:r w:rsidR="005E2E5E">
        <w:t>end their tenure on the SSLC.</w:t>
      </w:r>
    </w:p>
    <w:p w14:paraId="68C943E9" w14:textId="3092543C" w:rsidR="005C2472" w:rsidRDefault="005C2472" w:rsidP="005C2472">
      <w:pPr>
        <w:pStyle w:val="ListParagraph"/>
        <w:numPr>
          <w:ilvl w:val="0"/>
          <w:numId w:val="6"/>
        </w:numPr>
      </w:pPr>
      <w:r>
        <w:t xml:space="preserve">The SSLC encourages representatives from different cohorts </w:t>
      </w:r>
      <w:r w:rsidR="000A73A2">
        <w:t>of</w:t>
      </w:r>
      <w:r w:rsidR="00E305A7">
        <w:t xml:space="preserve"> the same</w:t>
      </w:r>
      <w:r>
        <w:t xml:space="preserve"> programme to join. They may join at different times of year</w:t>
      </w:r>
      <w:r w:rsidR="00E305A7">
        <w:t xml:space="preserve"> depending on when the cohort starts.</w:t>
      </w:r>
    </w:p>
    <w:p w14:paraId="282D439C" w14:textId="60756997" w:rsidR="000A73A2" w:rsidRPr="005C2472" w:rsidRDefault="000A73A2" w:rsidP="005C2472">
      <w:pPr>
        <w:pStyle w:val="ListParagraph"/>
        <w:numPr>
          <w:ilvl w:val="0"/>
          <w:numId w:val="6"/>
        </w:numPr>
      </w:pPr>
      <w:r>
        <w:t xml:space="preserve">SSLC representatives are invited to periodically attend ADC meetings. </w:t>
      </w:r>
    </w:p>
    <w:p w14:paraId="262427F4" w14:textId="01A0C452" w:rsidR="00C92277" w:rsidRPr="005C2472" w:rsidRDefault="6F89CAC1" w:rsidP="199B2C8F">
      <w:pPr>
        <w:pStyle w:val="ListParagraph"/>
        <w:numPr>
          <w:ilvl w:val="0"/>
          <w:numId w:val="6"/>
        </w:numPr>
      </w:pPr>
      <w:r>
        <w:t>The SSLC provides a mechanism for consultation about changes to practice and other developments</w:t>
      </w:r>
      <w:r w:rsidR="66D440F5">
        <w:t xml:space="preserve">. SSLC reps may be asked to consider such developments from the perspective of participants. </w:t>
      </w:r>
    </w:p>
    <w:p w14:paraId="686920F5" w14:textId="77777777" w:rsidR="006452DC" w:rsidRDefault="006452DC" w:rsidP="006A25B2">
      <w:pPr>
        <w:spacing w:after="0"/>
      </w:pPr>
    </w:p>
    <w:p w14:paraId="0D0AEC39" w14:textId="6A88FBCF" w:rsidR="006452DC" w:rsidRDefault="00C92277" w:rsidP="006A25B2">
      <w:pPr>
        <w:spacing w:after="0"/>
        <w:rPr>
          <w:b/>
          <w:bCs/>
        </w:rPr>
      </w:pPr>
      <w:r w:rsidRPr="00C92277">
        <w:rPr>
          <w:b/>
          <w:bCs/>
        </w:rPr>
        <w:t>Summary of ADC Non-credit bearing pathways</w:t>
      </w:r>
    </w:p>
    <w:p w14:paraId="4FBE345F" w14:textId="0B133C79" w:rsidR="00C92277" w:rsidRDefault="005E6FB1" w:rsidP="006A25B2">
      <w:pPr>
        <w:spacing w:after="0"/>
        <w:rPr>
          <w:b/>
          <w:bCs/>
        </w:rPr>
      </w:pPr>
      <w:r>
        <w:rPr>
          <w:noProof/>
        </w:rPr>
        <w:drawing>
          <wp:anchor distT="0" distB="0" distL="114300" distR="114300" simplePos="0" relativeHeight="251658240" behindDoc="0" locked="0" layoutInCell="1" allowOverlap="1" wp14:anchorId="51E9BCF8" wp14:editId="520E412F">
            <wp:simplePos x="0" y="0"/>
            <wp:positionH relativeFrom="margin">
              <wp:align>left</wp:align>
            </wp:positionH>
            <wp:positionV relativeFrom="paragraph">
              <wp:posOffset>635</wp:posOffset>
            </wp:positionV>
            <wp:extent cx="4114800" cy="3371850"/>
            <wp:effectExtent l="0" t="0" r="0" b="0"/>
            <wp:wrapSquare wrapText="bothSides"/>
            <wp:docPr id="2050" name="Picture 2" descr="A picture containing diagram&#10;&#10;Description automatically generated">
              <a:extLst xmlns:a="http://schemas.openxmlformats.org/drawingml/2006/main">
                <a:ext uri="{FF2B5EF4-FFF2-40B4-BE49-F238E27FC236}">
                  <a16:creationId xmlns:a16="http://schemas.microsoft.com/office/drawing/2014/main" id="{B4028378-319B-76F2-9DAF-C88518E26A9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A picture containing diagram&#10;&#10;Description automatically generated">
                      <a:extLst>
                        <a:ext uri="{FF2B5EF4-FFF2-40B4-BE49-F238E27FC236}">
                          <a16:creationId xmlns:a16="http://schemas.microsoft.com/office/drawing/2014/main" id="{B4028378-319B-76F2-9DAF-C88518E26A9F}"/>
                        </a:ext>
                      </a:extLst>
                    </pic:cNvPr>
                    <pic:cNvPicPr>
                      <a:picLocks noChangeAspect="1" noChangeArrowheads="1"/>
                    </pic:cNvPicPr>
                  </pic:nvPicPr>
                  <pic:blipFill rotWithShape="1">
                    <a:blip r:embed="rId10">
                      <a:extLst>
                        <a:ext uri="{28A0092B-C50C-407E-A947-70E740481C1C}">
                          <a14:useLocalDpi xmlns:a14="http://schemas.microsoft.com/office/drawing/2010/main" val="0"/>
                        </a:ext>
                      </a:extLst>
                    </a:blip>
                    <a:srcRect l="1330" t="-2" r="26878" b="1939"/>
                    <a:stretch/>
                  </pic:blipFill>
                  <pic:spPr bwMode="auto">
                    <a:xfrm>
                      <a:off x="0" y="0"/>
                      <a:ext cx="4114800" cy="3371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53D7C3A" w14:textId="07B021F4" w:rsidR="006A25B2" w:rsidRPr="006A25B2" w:rsidRDefault="006A25B2" w:rsidP="006A25B2">
      <w:pPr>
        <w:rPr>
          <w:b/>
          <w:bCs/>
        </w:rPr>
      </w:pPr>
    </w:p>
    <w:sectPr w:rsidR="006A25B2" w:rsidRPr="006A25B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2A4D6D" w14:textId="77777777" w:rsidR="00CB2F81" w:rsidRDefault="00CB2F81">
      <w:pPr>
        <w:spacing w:after="0" w:line="240" w:lineRule="auto"/>
      </w:pPr>
      <w:r>
        <w:separator/>
      </w:r>
    </w:p>
  </w:endnote>
  <w:endnote w:type="continuationSeparator" w:id="0">
    <w:p w14:paraId="4B181CCB" w14:textId="77777777" w:rsidR="00CB2F81" w:rsidRDefault="00CB2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0717313"/>
      <w:docPartObj>
        <w:docPartGallery w:val="Page Numbers (Bottom of Page)"/>
        <w:docPartUnique/>
      </w:docPartObj>
    </w:sdtPr>
    <w:sdtEndPr>
      <w:rPr>
        <w:noProof/>
      </w:rPr>
    </w:sdtEndPr>
    <w:sdtContent>
      <w:p w14:paraId="0CAF4EF4" w14:textId="5247F16F" w:rsidR="006A7877" w:rsidRDefault="006A787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5322579" w14:textId="5F4916E5" w:rsidR="199B2C8F" w:rsidRDefault="199B2C8F" w:rsidP="199B2C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C54267" w14:textId="77777777" w:rsidR="00CB2F81" w:rsidRDefault="00CB2F81">
      <w:pPr>
        <w:spacing w:after="0" w:line="240" w:lineRule="auto"/>
      </w:pPr>
      <w:r>
        <w:separator/>
      </w:r>
    </w:p>
  </w:footnote>
  <w:footnote w:type="continuationSeparator" w:id="0">
    <w:p w14:paraId="0177ACB7" w14:textId="77777777" w:rsidR="00CB2F81" w:rsidRDefault="00CB2F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199B2C8F" w14:paraId="316233B0" w14:textId="77777777" w:rsidTr="199B2C8F">
      <w:trPr>
        <w:trHeight w:val="300"/>
      </w:trPr>
      <w:tc>
        <w:tcPr>
          <w:tcW w:w="3005" w:type="dxa"/>
        </w:tcPr>
        <w:p w14:paraId="250E4B0C" w14:textId="08586039" w:rsidR="199B2C8F" w:rsidRDefault="199B2C8F" w:rsidP="199B2C8F">
          <w:pPr>
            <w:pStyle w:val="Header"/>
            <w:ind w:left="-115"/>
          </w:pPr>
        </w:p>
      </w:tc>
      <w:tc>
        <w:tcPr>
          <w:tcW w:w="3005" w:type="dxa"/>
        </w:tcPr>
        <w:p w14:paraId="7085D282" w14:textId="4C0FE30A" w:rsidR="199B2C8F" w:rsidRDefault="199B2C8F" w:rsidP="199B2C8F">
          <w:pPr>
            <w:pStyle w:val="Header"/>
            <w:jc w:val="center"/>
          </w:pPr>
        </w:p>
      </w:tc>
      <w:tc>
        <w:tcPr>
          <w:tcW w:w="3005" w:type="dxa"/>
        </w:tcPr>
        <w:p w14:paraId="193F798D" w14:textId="4B52EB82" w:rsidR="199B2C8F" w:rsidRDefault="199B2C8F" w:rsidP="199B2C8F">
          <w:pPr>
            <w:pStyle w:val="Header"/>
            <w:ind w:right="-115"/>
            <w:jc w:val="right"/>
          </w:pPr>
        </w:p>
      </w:tc>
    </w:tr>
  </w:tbl>
  <w:p w14:paraId="2C58B28E" w14:textId="153D8B33" w:rsidR="199B2C8F" w:rsidRDefault="199B2C8F" w:rsidP="199B2C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85BBF"/>
    <w:multiLevelType w:val="multilevel"/>
    <w:tmpl w:val="165AE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88561A4"/>
    <w:multiLevelType w:val="multilevel"/>
    <w:tmpl w:val="512A1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082479B"/>
    <w:multiLevelType w:val="hybridMultilevel"/>
    <w:tmpl w:val="B6D23A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8B6612C"/>
    <w:multiLevelType w:val="multilevel"/>
    <w:tmpl w:val="54DAA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A2C263F"/>
    <w:multiLevelType w:val="multilevel"/>
    <w:tmpl w:val="E6002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FB7553D"/>
    <w:multiLevelType w:val="hybridMultilevel"/>
    <w:tmpl w:val="6C8E1F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37311380">
    <w:abstractNumId w:val="0"/>
  </w:num>
  <w:num w:numId="2" w16cid:durableId="579484974">
    <w:abstractNumId w:val="4"/>
  </w:num>
  <w:num w:numId="3" w16cid:durableId="1577857128">
    <w:abstractNumId w:val="1"/>
  </w:num>
  <w:num w:numId="4" w16cid:durableId="231430650">
    <w:abstractNumId w:val="3"/>
  </w:num>
  <w:num w:numId="5" w16cid:durableId="1771925785">
    <w:abstractNumId w:val="2"/>
  </w:num>
  <w:num w:numId="6" w16cid:durableId="128484954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07C"/>
    <w:rsid w:val="00056DA8"/>
    <w:rsid w:val="000A73A2"/>
    <w:rsid w:val="0018656B"/>
    <w:rsid w:val="001F2BD9"/>
    <w:rsid w:val="00224D0B"/>
    <w:rsid w:val="002F23C1"/>
    <w:rsid w:val="00346A13"/>
    <w:rsid w:val="0052507C"/>
    <w:rsid w:val="005C2472"/>
    <w:rsid w:val="005E2E5E"/>
    <w:rsid w:val="005E6FB1"/>
    <w:rsid w:val="006452DC"/>
    <w:rsid w:val="00651576"/>
    <w:rsid w:val="006A25B2"/>
    <w:rsid w:val="006A3267"/>
    <w:rsid w:val="006A7877"/>
    <w:rsid w:val="00BA5E99"/>
    <w:rsid w:val="00C25D62"/>
    <w:rsid w:val="00C92277"/>
    <w:rsid w:val="00CB2F81"/>
    <w:rsid w:val="00D0316C"/>
    <w:rsid w:val="00D04C9F"/>
    <w:rsid w:val="00D116C8"/>
    <w:rsid w:val="00DA026B"/>
    <w:rsid w:val="00DE11FD"/>
    <w:rsid w:val="00E152C5"/>
    <w:rsid w:val="00E305A7"/>
    <w:rsid w:val="00EC6210"/>
    <w:rsid w:val="00F7093C"/>
    <w:rsid w:val="00F8372F"/>
    <w:rsid w:val="00FF31F6"/>
    <w:rsid w:val="0277E35E"/>
    <w:rsid w:val="0DB3792B"/>
    <w:rsid w:val="10EB19ED"/>
    <w:rsid w:val="17050E71"/>
    <w:rsid w:val="199B2C8F"/>
    <w:rsid w:val="24EDF7A6"/>
    <w:rsid w:val="26295520"/>
    <w:rsid w:val="2963BCDF"/>
    <w:rsid w:val="2B4108E0"/>
    <w:rsid w:val="2B550E40"/>
    <w:rsid w:val="2FB89884"/>
    <w:rsid w:val="31A79F44"/>
    <w:rsid w:val="3346F7C8"/>
    <w:rsid w:val="39232FF3"/>
    <w:rsid w:val="39BFF52B"/>
    <w:rsid w:val="3D3C9C44"/>
    <w:rsid w:val="46AFD1F0"/>
    <w:rsid w:val="490B274B"/>
    <w:rsid w:val="4AA6F7AC"/>
    <w:rsid w:val="51163930"/>
    <w:rsid w:val="538DD317"/>
    <w:rsid w:val="5BB0DE69"/>
    <w:rsid w:val="5E07837A"/>
    <w:rsid w:val="5F68D7D3"/>
    <w:rsid w:val="66D440F5"/>
    <w:rsid w:val="66E38529"/>
    <w:rsid w:val="6785A364"/>
    <w:rsid w:val="6F89CAC1"/>
    <w:rsid w:val="726BDD90"/>
    <w:rsid w:val="7302BA12"/>
    <w:rsid w:val="7707D25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65015"/>
  <w15:chartTrackingRefBased/>
  <w15:docId w15:val="{83B83971-C1D4-4281-877E-BC6E9E30D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6A25B2"/>
  </w:style>
  <w:style w:type="character" w:customStyle="1" w:styleId="eop">
    <w:name w:val="eop"/>
    <w:basedOn w:val="DefaultParagraphFont"/>
    <w:rsid w:val="006A25B2"/>
  </w:style>
  <w:style w:type="table" w:styleId="TableGrid">
    <w:name w:val="Table Grid"/>
    <w:basedOn w:val="TableNormal"/>
    <w:uiPriority w:val="39"/>
    <w:rsid w:val="00C25D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C2472"/>
    <w:pPr>
      <w:ind w:left="720"/>
      <w:contextualSpacing/>
    </w:p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2641353">
      <w:bodyDiv w:val="1"/>
      <w:marLeft w:val="0"/>
      <w:marRight w:val="0"/>
      <w:marTop w:val="0"/>
      <w:marBottom w:val="0"/>
      <w:divBdr>
        <w:top w:val="none" w:sz="0" w:space="0" w:color="auto"/>
        <w:left w:val="none" w:sz="0" w:space="0" w:color="auto"/>
        <w:bottom w:val="none" w:sz="0" w:space="0" w:color="auto"/>
        <w:right w:val="none" w:sz="0" w:space="0" w:color="auto"/>
      </w:divBdr>
      <w:divsChild>
        <w:div w:id="176847666">
          <w:marLeft w:val="0"/>
          <w:marRight w:val="0"/>
          <w:marTop w:val="0"/>
          <w:marBottom w:val="0"/>
          <w:divBdr>
            <w:top w:val="none" w:sz="0" w:space="0" w:color="auto"/>
            <w:left w:val="none" w:sz="0" w:space="0" w:color="auto"/>
            <w:bottom w:val="none" w:sz="0" w:space="0" w:color="auto"/>
            <w:right w:val="none" w:sz="0" w:space="0" w:color="auto"/>
          </w:divBdr>
        </w:div>
        <w:div w:id="1530101085">
          <w:marLeft w:val="0"/>
          <w:marRight w:val="0"/>
          <w:marTop w:val="0"/>
          <w:marBottom w:val="0"/>
          <w:divBdr>
            <w:top w:val="none" w:sz="0" w:space="0" w:color="auto"/>
            <w:left w:val="none" w:sz="0" w:space="0" w:color="auto"/>
            <w:bottom w:val="none" w:sz="0" w:space="0" w:color="auto"/>
            <w:right w:val="none" w:sz="0" w:space="0" w:color="auto"/>
          </w:divBdr>
        </w:div>
        <w:div w:id="1026642267">
          <w:marLeft w:val="0"/>
          <w:marRight w:val="0"/>
          <w:marTop w:val="0"/>
          <w:marBottom w:val="0"/>
          <w:divBdr>
            <w:top w:val="none" w:sz="0" w:space="0" w:color="auto"/>
            <w:left w:val="none" w:sz="0" w:space="0" w:color="auto"/>
            <w:bottom w:val="none" w:sz="0" w:space="0" w:color="auto"/>
            <w:right w:val="none" w:sz="0" w:space="0" w:color="auto"/>
          </w:divBdr>
        </w:div>
        <w:div w:id="231160118">
          <w:marLeft w:val="0"/>
          <w:marRight w:val="0"/>
          <w:marTop w:val="0"/>
          <w:marBottom w:val="0"/>
          <w:divBdr>
            <w:top w:val="none" w:sz="0" w:space="0" w:color="auto"/>
            <w:left w:val="none" w:sz="0" w:space="0" w:color="auto"/>
            <w:bottom w:val="none" w:sz="0" w:space="0" w:color="auto"/>
            <w:right w:val="none" w:sz="0" w:space="0" w:color="auto"/>
          </w:divBdr>
        </w:div>
      </w:divsChild>
    </w:div>
    <w:div w:id="1699773098">
      <w:bodyDiv w:val="1"/>
      <w:marLeft w:val="0"/>
      <w:marRight w:val="0"/>
      <w:marTop w:val="0"/>
      <w:marBottom w:val="0"/>
      <w:divBdr>
        <w:top w:val="none" w:sz="0" w:space="0" w:color="auto"/>
        <w:left w:val="none" w:sz="0" w:space="0" w:color="auto"/>
        <w:bottom w:val="none" w:sz="0" w:space="0" w:color="auto"/>
        <w:right w:val="none" w:sz="0" w:space="0" w:color="auto"/>
      </w:divBdr>
      <w:divsChild>
        <w:div w:id="1116290919">
          <w:marLeft w:val="0"/>
          <w:marRight w:val="0"/>
          <w:marTop w:val="0"/>
          <w:marBottom w:val="0"/>
          <w:divBdr>
            <w:top w:val="none" w:sz="0" w:space="0" w:color="auto"/>
            <w:left w:val="none" w:sz="0" w:space="0" w:color="auto"/>
            <w:bottom w:val="none" w:sz="0" w:space="0" w:color="auto"/>
            <w:right w:val="none" w:sz="0" w:space="0" w:color="auto"/>
          </w:divBdr>
        </w:div>
        <w:div w:id="897546202">
          <w:marLeft w:val="0"/>
          <w:marRight w:val="0"/>
          <w:marTop w:val="0"/>
          <w:marBottom w:val="0"/>
          <w:divBdr>
            <w:top w:val="none" w:sz="0" w:space="0" w:color="auto"/>
            <w:left w:val="none" w:sz="0" w:space="0" w:color="auto"/>
            <w:bottom w:val="none" w:sz="0" w:space="0" w:color="auto"/>
            <w:right w:val="none" w:sz="0" w:space="0" w:color="auto"/>
          </w:divBdr>
        </w:div>
        <w:div w:id="781344764">
          <w:marLeft w:val="0"/>
          <w:marRight w:val="0"/>
          <w:marTop w:val="0"/>
          <w:marBottom w:val="0"/>
          <w:divBdr>
            <w:top w:val="none" w:sz="0" w:space="0" w:color="auto"/>
            <w:left w:val="none" w:sz="0" w:space="0" w:color="auto"/>
            <w:bottom w:val="none" w:sz="0" w:space="0" w:color="auto"/>
            <w:right w:val="none" w:sz="0" w:space="0" w:color="auto"/>
          </w:divBdr>
        </w:div>
        <w:div w:id="845048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5695DAE1D4B74DB5A7D0CB0A46F8D4" ma:contentTypeVersion="4" ma:contentTypeDescription="Create a new document." ma:contentTypeScope="" ma:versionID="f99d4e38a571f362ecfdd7792edee088">
  <xsd:schema xmlns:xsd="http://www.w3.org/2001/XMLSchema" xmlns:xs="http://www.w3.org/2001/XMLSchema" xmlns:p="http://schemas.microsoft.com/office/2006/metadata/properties" xmlns:ns2="3e8212e5-9a13-4629-90d9-cf81a11371c7" targetNamespace="http://schemas.microsoft.com/office/2006/metadata/properties" ma:root="true" ma:fieldsID="dec12ec2ba89be866009d8d8c92fa37d" ns2:_="">
    <xsd:import namespace="3e8212e5-9a13-4629-90d9-cf81a11371c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8212e5-9a13-4629-90d9-cf81a11371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D99792-6D57-47B1-99C3-F903AD323F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8212e5-9a13-4629-90d9-cf81a11371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339032-B5A2-44D6-BBB7-C10170B87847}">
  <ds:schemaRefs>
    <ds:schemaRef ds:uri="http://schemas.microsoft.com/office/2006/documentManagement/types"/>
    <ds:schemaRef ds:uri="http://schemas.microsoft.com/office/2006/metadata/properties"/>
    <ds:schemaRef ds:uri="http://purl.org/dc/elements/1.1/"/>
    <ds:schemaRef ds:uri="http://purl.org/dc/dcmitype/"/>
    <ds:schemaRef ds:uri="3e8212e5-9a13-4629-90d9-cf81a11371c7"/>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3.xml><?xml version="1.0" encoding="utf-8"?>
<ds:datastoreItem xmlns:ds="http://schemas.openxmlformats.org/officeDocument/2006/customXml" ds:itemID="{4DFBEB45-CBF0-4475-BA2A-298DEDCD63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657</Words>
  <Characters>3751</Characters>
  <Application>Microsoft Office Word</Application>
  <DocSecurity>0</DocSecurity>
  <Lines>31</Lines>
  <Paragraphs>8</Paragraphs>
  <ScaleCrop>false</ScaleCrop>
  <Company>University of Warwick</Company>
  <LinksUpToDate>false</LinksUpToDate>
  <CharactersWithSpaces>4400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Kirkman, John</dc:creator>
  <cp:keywords/>
  <dc:description/>
  <cp:lastModifiedBy>Kirkman, John</cp:lastModifiedBy>
  <cp:revision>16</cp:revision>
  <dcterms:created xsi:type="dcterms:W3CDTF">2024-01-25T08:47:00Z</dcterms:created>
  <dcterms:modified xsi:type="dcterms:W3CDTF">2024-01-25T09:08:00Z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0x010100CF5695DAE1D4B74DB5A7D0CB0A46F8D4</vt:lpwstr>
  </property>
</Properties>
</file>