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Nano Presentation - Recording-20260428_103736-Meeting Recording</w:t>
      </w:r>
    </w:p>
    <w:p>
      <w:pPr>
        <w:spacing w:after="100"/>
      </w:pPr>
      <w:r>
        <w:rPr>
          <w:color w:val="5A5A71"/>
          <w:sz w:val="3mm"/>
          <w:szCs w:val="3mm"/>
          <w:rFonts w:ascii="Segoe UI" w:cs="Segoe UI" w:eastAsia="Segoe UI" w:hAnsi="Segoe UI"/>
        </w:rPr>
        <w:t xml:space="preserve">April 28, 2026, 9:37AM</w:t>
      </w:r>
    </w:p>
    <w:p>
      <w:pPr>
        <w:spacing w:after="100"/>
      </w:pPr>
      <w:r>
        <w:rPr>
          <w:color w:val="5A5A71"/>
          <w:sz w:val="3mm"/>
          <w:szCs w:val="3mm"/>
          <w:rFonts w:ascii="Segoe UI" w:cs="Segoe UI" w:eastAsia="Segoe UI" w:hAnsi="Segoe UI"/>
        </w:rPr>
        <w:t xml:space="preserve">7m 36s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Hide-Wright, Inca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0:04</w:t>
      </w:r>
      <w:r>
        <w:rPr>
          <w:color w:val="232330"/>
          <w:sz w:val="4.3mm"/>
          <w:szCs w:val="4.3mm"/>
          <w:rFonts w:ascii="Segoe UI" w:cs="Segoe UI" w:eastAsia="Segoe UI" w:hAnsi="Segoe UI"/>
        </w:rPr>
        <w:br/>
        <w:t xml:space="preserve">Welcome to this Nano presentation brought to you by the Building Belonging Learning Circle. My name is Charlotte Stevens and I'm from the Academic Development Centre and this academic year I've been leading a strand of work focused on evaluating the Building Belonging Framework.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Hide-Wright, Inca   </w:t>
      </w:r>
      <w:r>
        <w:rPr>
          <w:color w:val="a19f9d"/>
          <w:sz w:val="4.3mm"/>
          <w:szCs w:val="4.3mm"/>
          <w:rFonts w:ascii="Segoe UI" w:cs="Segoe UI" w:eastAsia="Segoe UI" w:hAnsi="Segoe UI"/>
        </w:rPr>
        <w:t xml:space="preserve">0:21</w:t>
      </w:r>
      <w:r>
        <w:rPr>
          <w:color w:val="232330"/>
          <w:sz w:val="4.3mm"/>
          <w:szCs w:val="4.3mm"/>
          <w:rFonts w:ascii="Segoe UI" w:cs="Segoe UI" w:eastAsia="Segoe UI" w:hAnsi="Segoe UI"/>
        </w:rPr>
        <w:br/>
        <w:t xml:space="preserve">Hello, I'm Inca. I'm a Warwick Graduate Management trainee and co-leader of the WIHEA Building Belonging Learning Circle, as well as co-founder of the Building Belonging Framework.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Pilling, Georgina   </w:t>
      </w:r>
      <w:r>
        <w:rPr>
          <w:color w:val="a19f9d"/>
          <w:sz w:val="4.3mm"/>
          <w:szCs w:val="4.3mm"/>
          <w:rFonts w:ascii="Segoe UI" w:cs="Segoe UI" w:eastAsia="Segoe UI" w:hAnsi="Segoe UI"/>
        </w:rPr>
        <w:t xml:space="preserve">0:31</w:t>
      </w:r>
      <w:r>
        <w:rPr>
          <w:color w:val="232330"/>
          <w:sz w:val="4.3mm"/>
          <w:szCs w:val="4.3mm"/>
          <w:rFonts w:ascii="Segoe UI" w:cs="Segoe UI" w:eastAsia="Segoe UI" w:hAnsi="Segoe UI"/>
        </w:rPr>
        <w:br/>
        <w:t xml:space="preserve">Hi, I'm Georgie. I'm a Student User Experience Officer and work as part of the Student Experience and Engagement Division and I support the strand on evaluating the Building Belonging Framework.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0:43</w:t>
      </w:r>
      <w:r>
        <w:rPr>
          <w:color w:val="232330"/>
          <w:sz w:val="4.3mm"/>
          <w:szCs w:val="4.3mm"/>
          <w:rFonts w:ascii="Segoe UI" w:cs="Segoe UI" w:eastAsia="Segoe UI" w:hAnsi="Segoe UI"/>
        </w:rPr>
        <w:br/>
        <w:t xml:space="preserve">So why are we here? It's fair to say that all of us have at some point felt that we didn't belong and maybe that's one of the reasons why we joined the Building Belonging Learning Circle. All of us care deeply about belonging and know how closely it is tied to wellbeing, engagement, retention and success.</w:t>
      </w:r>
      <w:r>
        <w:rPr>
          <w:color w:val="232330"/>
          <w:sz w:val="4.3mm"/>
          <w:szCs w:val="4.3mm"/>
          <w:rFonts w:ascii="Segoe UI" w:cs="Segoe UI" w:eastAsia="Segoe UI" w:hAnsi="Segoe UI"/>
        </w:rPr>
        <w:br/>
        <w:t xml:space="preserve">Since belonging is at the heart of what we value, then we need to be able to evaluate it. We need to be confident that the Building Belonging framework is making a difference to students and staff and be in a position to take action if it isn't. In this short presentation, we are going to talk through our approach to evaluating belonging.</w:t>
      </w:r>
      <w:r>
        <w:rPr>
          <w:color w:val="232330"/>
          <w:sz w:val="4.3mm"/>
          <w:szCs w:val="4.3mm"/>
          <w:rFonts w:ascii="Segoe UI" w:cs="Segoe UI" w:eastAsia="Segoe UI" w:hAnsi="Segoe UI"/>
        </w:rPr>
        <w:br/>
        <w:t xml:space="preserve">As we work through the presentation, you'll note that we've been quilt making, albeit in a conceptual way. We chose this creative method to illustrate how we've stitched together our thoughts and ideas, and also because the quilt itself symbolises community, collaboration and a sense of belonging.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Hide-Wright, Inca   </w:t>
      </w:r>
      <w:r>
        <w:rPr>
          <w:color w:val="a19f9d"/>
          <w:sz w:val="4.3mm"/>
          <w:szCs w:val="4.3mm"/>
          <w:rFonts w:ascii="Segoe UI" w:cs="Segoe UI" w:eastAsia="Segoe UI" w:hAnsi="Segoe UI"/>
        </w:rPr>
        <w:t xml:space="preserve">1:43</w:t>
      </w:r>
      <w:r>
        <w:rPr>
          <w:color w:val="232330"/>
          <w:sz w:val="4.3mm"/>
          <w:szCs w:val="4.3mm"/>
          <w:rFonts w:ascii="Segoe UI" w:cs="Segoe UI" w:eastAsia="Segoe UI" w:hAnsi="Segoe UI"/>
        </w:rPr>
        <w:br/>
        <w:t xml:space="preserve">So where are we coming from with this? The Building Belonging Framework, was never actually necessarily intended to develop a framework, but it came from working with students and staff. When actually I was doing my masters in community engagement and belonging, and I really wanted to understand what the enablers and hindrances of belonging were for students and staff. And so these key themes emerged, which created the Building Belonging framework.</w:t>
      </w:r>
      <w:r>
        <w:rPr>
          <w:color w:val="232330"/>
          <w:sz w:val="4.3mm"/>
          <w:szCs w:val="4.3mm"/>
          <w:rFonts w:ascii="Segoe UI" w:cs="Segoe UI" w:eastAsia="Segoe UI" w:hAnsi="Segoe UI"/>
        </w:rPr>
        <w:br/>
        <w:t xml:space="preserve">and the reason the framework itself was developed was because when discussing what are the enablers and hindrances of building belonging for students and staff, it was how abstract and intangible it can feel. And so we set about creating this framework to make it a more tangible and less abstract thing that could be more intentionally built. However, we didn't want to just assume that the framework worked.</w:t>
      </w:r>
      <w:r>
        <w:rPr>
          <w:color w:val="232330"/>
          <w:sz w:val="4.3mm"/>
          <w:szCs w:val="4.3mm"/>
          <w:rFonts w:ascii="Segoe UI" w:cs="Segoe UI" w:eastAsia="Segoe UI" w:hAnsi="Segoe UI"/>
        </w:rPr>
        <w:br/>
        <w:t xml:space="preserve">It was really, really important to not assume that, oh yeah, okay, we developed this with your feedback, therefore it must work. And so that's when the Building Belonging Learning Circle was developed and it was incepted in 2024 to test the framework in different contexts, to think about pedagogies of empowerment, to think about equity and inclusion in higher education,</w:t>
      </w:r>
      <w:r>
        <w:rPr>
          <w:color w:val="232330"/>
          <w:sz w:val="4.3mm"/>
          <w:szCs w:val="4.3mm"/>
          <w:rFonts w:ascii="Segoe UI" w:cs="Segoe UI" w:eastAsia="Segoe UI" w:hAnsi="Segoe UI"/>
        </w:rPr>
        <w:br/>
        <w:t xml:space="preserve">hope, compassion and purpose in learning. So how have people been using it? We've had people using it in staff context, student context, individual, collective. There's a whole array of how people have been using it and different case studies that we've managed to capture. But does it work and does it have impact?</w:t>
      </w:r>
      <w:r>
        <w:rPr>
          <w:color w:val="232330"/>
          <w:sz w:val="4.3mm"/>
          <w:szCs w:val="4.3mm"/>
          <w:rFonts w:ascii="Segoe UI" w:cs="Segoe UI" w:eastAsia="Segoe UI" w:hAnsi="Segoe UI"/>
        </w:rPr>
        <w:br/>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3:16</w:t>
      </w:r>
      <w:r>
        <w:rPr>
          <w:color w:val="232330"/>
          <w:sz w:val="4.3mm"/>
          <w:szCs w:val="4.3mm"/>
          <w:rFonts w:ascii="Segoe UI" w:cs="Segoe UI" w:eastAsia="Segoe UI" w:hAnsi="Segoe UI"/>
        </w:rPr>
        <w:br/>
        <w:t xml:space="preserve">So significant time and energy has gone into developing the Building Belonging framework. An evaluation allows us to move beyond those good intentions and understand whether the framework is bringing about meaningful lived change. Evaluation helps us harness the impact of the framework and assess whether it's achieving its intended outcomes.</w:t>
      </w:r>
      <w:r>
        <w:rPr>
          <w:color w:val="232330"/>
          <w:sz w:val="4.3mm"/>
          <w:szCs w:val="4.3mm"/>
          <w:rFonts w:ascii="Segoe UI" w:cs="Segoe UI" w:eastAsia="Segoe UI" w:hAnsi="Segoe UI"/>
        </w:rPr>
        <w:br/>
        <w:t xml:space="preserve">We want to know whether the framework does what it's designed to do. Does it increase a sense of belonging and does it help us to identify unbelonging? And if it doesn't increase a sense of belonging, what can we do?</w:t>
      </w:r>
      <w:r>
        <w:rPr>
          <w:color w:val="232330"/>
          <w:sz w:val="4.3mm"/>
          <w:szCs w:val="4.3mm"/>
          <w:rFonts w:ascii="Segoe UI" w:cs="Segoe UI" w:eastAsia="Segoe UI" w:hAnsi="Segoe UI"/>
        </w:rPr>
        <w:br/>
        <w:t xml:space="preserve">Evaluation helps us to remain responsive to changing context and changing staff and student needs. It helps us ensure that the framework remains relevant, inclusive and adaptable. The feedback we receive can help us make meaningful, evidence-based improvements. So by adopting a structured approach to evaluation,</w:t>
      </w:r>
      <w:r>
        <w:rPr>
          <w:color w:val="232330"/>
          <w:sz w:val="4.3mm"/>
          <w:szCs w:val="4.3mm"/>
          <w:rFonts w:ascii="Segoe UI" w:cs="Segoe UI" w:eastAsia="Segoe UI" w:hAnsi="Segoe UI"/>
        </w:rPr>
        <w:br/>
        <w:t xml:space="preserve">we can continue progressing with intention and a clear sense of direction, and this is what Georgie is going to take us through now.</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Pilling, Georgina   </w:t>
      </w:r>
      <w:r>
        <w:rPr>
          <w:color w:val="a19f9d"/>
          <w:sz w:val="4.3mm"/>
          <w:szCs w:val="4.3mm"/>
          <w:rFonts w:ascii="Segoe UI" w:cs="Segoe UI" w:eastAsia="Segoe UI" w:hAnsi="Segoe UI"/>
        </w:rPr>
        <w:t xml:space="preserve">4:21</w:t>
      </w:r>
      <w:r>
        <w:rPr>
          <w:color w:val="232330"/>
          <w:sz w:val="4.3mm"/>
          <w:szCs w:val="4.3mm"/>
          <w:rFonts w:ascii="Segoe UI" w:cs="Segoe UI" w:eastAsia="Segoe UI" w:hAnsi="Segoe UI"/>
        </w:rPr>
        <w:br/>
        <w:t xml:space="preserve">Thank you. So we designed a two-stage evaluation framework using Microsoft Form surveys and applying a Likert scale. Our approach was developed using a theory of change and we started with the outcomes we wanted to achieve, so improved experiences, stronger practices and a deeper sense of belonging.</w:t>
      </w:r>
      <w:r>
        <w:rPr>
          <w:color w:val="232330"/>
          <w:sz w:val="4.3mm"/>
          <w:szCs w:val="4.3mm"/>
          <w:rFonts w:ascii="Segoe UI" w:cs="Segoe UI" w:eastAsia="Segoe UI" w:hAnsi="Segoe UI"/>
        </w:rPr>
        <w:br/>
        <w:t xml:space="preserve">So our surveys allow us to track whether the framework is contributing to those outcomes over time.</w:t>
      </w:r>
      <w:r>
        <w:rPr>
          <w:color w:val="232330"/>
          <w:sz w:val="4.3mm"/>
          <w:szCs w:val="4.3mm"/>
          <w:rFonts w:ascii="Segoe UI" w:cs="Segoe UI" w:eastAsia="Segoe UI" w:hAnsi="Segoe UI"/>
        </w:rPr>
        <w:br/>
        <w:t xml:space="preserve">We decided on 2 mechanisms to gain insight, a short term and a long term survey. So the short term survey questions are designed to understand whether the framework has equipped users with the knowledge and practical tools to support staff and students sense of belonging. We also explored whether the framework supports day-to-day practice.</w:t>
      </w:r>
      <w:r>
        <w:rPr>
          <w:color w:val="232330"/>
          <w:sz w:val="4.3mm"/>
          <w:szCs w:val="4.3mm"/>
          <w:rFonts w:ascii="Segoe UI" w:cs="Segoe UI" w:eastAsia="Segoe UI" w:hAnsi="Segoe UI"/>
        </w:rPr>
        <w:br/>
        <w:t xml:space="preserve">and whether users intend to continue using the framework in their work. The short-term survey allows us to capture immediate experiences, helping us identify early signals and areas that may need adjustments. The long-term survey explores whether users have continued to apply the framework over time</w:t>
      </w:r>
      <w:r>
        <w:rPr>
          <w:color w:val="232330"/>
          <w:sz w:val="4.3mm"/>
          <w:szCs w:val="4.3mm"/>
          <w:rFonts w:ascii="Segoe UI" w:cs="Segoe UI" w:eastAsia="Segoe UI" w:hAnsi="Segoe UI"/>
        </w:rPr>
        <w:br/>
        <w:t xml:space="preserve">and whether this has led to meaningful improvements in student and staff experiences. We also look at whether the framework has influenced student outcomes or led to lasting changes in practices. And this dual approach has helped us balance responsiveness with depth, ensuring our evaluation is timely and ultimately supports more informed decision making within the Building Belonging framework.</w:t>
      </w:r>
      <w:r>
        <w:rPr>
          <w:color w:val="232330"/>
          <w:sz w:val="4.3mm"/>
          <w:szCs w:val="4.3mm"/>
          <w:rFonts w:ascii="Segoe UI" w:cs="Segoe UI" w:eastAsia="Segoe UI" w:hAnsi="Segoe UI"/>
        </w:rPr>
        <w:br/>
        <w:t xml:space="preserve">Together, the structured, theory-led approach enables effective data review and using these surveys, we engage with participants who had previously completed a case study applying the Building Belonging Framework in order to test the survey questions and also to evaluate our current position. So what are we hoping to gain?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4"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Hide-Wright, Inca   </w:t>
      </w:r>
      <w:r>
        <w:rPr>
          <w:color w:val="a19f9d"/>
          <w:sz w:val="4.3mm"/>
          <w:szCs w:val="4.3mm"/>
          <w:rFonts w:ascii="Segoe UI" w:cs="Segoe UI" w:eastAsia="Segoe UI" w:hAnsi="Segoe UI"/>
        </w:rPr>
        <w:t xml:space="preserve">6:11</w:t>
      </w:r>
      <w:r>
        <w:rPr>
          <w:color w:val="232330"/>
          <w:sz w:val="4.3mm"/>
          <w:szCs w:val="4.3mm"/>
          <w:rFonts w:ascii="Segoe UI" w:cs="Segoe UI" w:eastAsia="Segoe UI" w:hAnsi="Segoe UI"/>
        </w:rPr>
        <w:br/>
        <w:t xml:space="preserve">At its heart, this evaluation is about building the foundation to objectively capture and understand whether the Building Belonging Framework is making the difference it was designed to make. Developing the evaluation tools has given a space to pause and reflect, which is critical with work like this because building belonging doesn't happen in an instant. It happens over time and so does the evaluation.</w:t>
      </w:r>
      <w:r>
        <w:rPr>
          <w:color w:val="232330"/>
          <w:sz w:val="4.3mm"/>
          <w:szCs w:val="4.3mm"/>
          <w:rFonts w:ascii="Segoe UI" w:cs="Segoe UI" w:eastAsia="Segoe UI" w:hAnsi="Segoe UI"/>
        </w:rPr>
        <w:br/>
        <w:t xml:space="preserve">Ultimately providing us with a strong foundation to support building belonging with purpose, moving beyond this messy abstract concept and feeling the influences that are huge to a more tangible, intentional thing we can actively support in line with Warwick's values.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5"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Pilling, Georgina   </w:t>
      </w:r>
      <w:r>
        <w:rPr>
          <w:color w:val="a19f9d"/>
          <w:sz w:val="4.3mm"/>
          <w:szCs w:val="4.3mm"/>
          <w:rFonts w:ascii="Segoe UI" w:cs="Segoe UI" w:eastAsia="Segoe UI" w:hAnsi="Segoe UI"/>
        </w:rPr>
        <w:t xml:space="preserve">6:50</w:t>
      </w:r>
      <w:r>
        <w:rPr>
          <w:color w:val="232330"/>
          <w:sz w:val="4.3mm"/>
          <w:szCs w:val="4.3mm"/>
          <w:rFonts w:ascii="Segoe UI" w:cs="Segoe UI" w:eastAsia="Segoe UI" w:hAnsi="Segoe UI"/>
        </w:rPr>
        <w:br/>
        <w:t xml:space="preserve">Analysis and using the data allows us to move from assumptions to informed action, strengthening the credibility of the framework. This validation is especially powerful because belonging is often deeply personal, relational and not always easy to see.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6"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7:07</w:t>
      </w:r>
      <w:r>
        <w:rPr>
          <w:color w:val="232330"/>
          <w:sz w:val="4.3mm"/>
          <w:szCs w:val="4.3mm"/>
          <w:rFonts w:ascii="Segoe UI" w:cs="Segoe UI" w:eastAsia="Segoe UI" w:hAnsi="Segoe UI"/>
        </w:rPr>
        <w:br/>
        <w:t xml:space="preserve">Evaluating the Building Belonging Framework helps us understand not just whether it works, but how it supports people and leads to meaningful change for both students and staff.</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7"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Hide-Wright, Inca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3"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3"/>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bnba-iqexpkmljoxooazf.png"/><Relationship Id="rId7" Type="http://schemas.openxmlformats.org/officeDocument/2006/relationships/image" Target="media/kfrchnwytcfi_0xnoalyv.png"/><Relationship Id="rId8" Type="http://schemas.openxmlformats.org/officeDocument/2006/relationships/image" Target="media/lwwzkc0ma1cqxzofakeky.png"/><Relationship Id="rId9" Type="http://schemas.openxmlformats.org/officeDocument/2006/relationships/image" Target="media/nqcf07cw6z2chycasjafl.png"/><Relationship Id="rId10" Type="http://schemas.openxmlformats.org/officeDocument/2006/relationships/image" Target="media/hkqp9o_rme-mddcpbdxp4.png"/><Relationship Id="rId11" Type="http://schemas.openxmlformats.org/officeDocument/2006/relationships/image" Target="media/jz1nxmbbl6w5bgssjggze.png"/><Relationship Id="rId12" Type="http://schemas.openxmlformats.org/officeDocument/2006/relationships/image" Target="media/0varimyi4u-2uddu0dstc.png"/><Relationship Id="rId13" Type="http://schemas.openxmlformats.org/officeDocument/2006/relationships/image" Target="media/pzllo4jymcfyqdz-phum7.png"/><Relationship Id="rId14" Type="http://schemas.openxmlformats.org/officeDocument/2006/relationships/image" Target="media/niyqq8xxdz9vudikhjpld.png"/><Relationship Id="rId15" Type="http://schemas.openxmlformats.org/officeDocument/2006/relationships/image" Target="media/7cmc95ocsgat0kmgco9q5.png"/><Relationship Id="rId16" Type="http://schemas.openxmlformats.org/officeDocument/2006/relationships/image" Target="media/bmwgy-slgeishp318hg90.png"/><Relationship Id="rId17" Type="http://schemas.openxmlformats.org/officeDocument/2006/relationships/image" Target="media/6j36tz547ttsd6baoigcr.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2026-05-06T11:59:37.980Z</dcterms:created>
  <dcterms:modified xsi:type="dcterms:W3CDTF">2026-05-06T11:59:37.980Z</dcterms:modified>
</cp:coreProperties>
</file>

<file path=docProps/custom.xml><?xml version="1.0" encoding="utf-8"?>
<Properties xmlns="http://schemas.openxmlformats.org/officeDocument/2006/custom-properties" xmlns:vt="http://schemas.openxmlformats.org/officeDocument/2006/docPropsVTypes"/>
</file>