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02DF97" w14:textId="09AFE023" w:rsidR="00FB7C2D" w:rsidRPr="00FB7C2D" w:rsidRDefault="00FB7C2D" w:rsidP="00A37C94">
      <w:pPr>
        <w:ind w:firstLine="0"/>
        <w:jc w:val="center"/>
        <w:rPr>
          <w:rFonts w:asciiTheme="minorHAnsi" w:hAnsiTheme="minorHAnsi"/>
          <w:b/>
          <w:bCs/>
          <w:i/>
          <w:iCs/>
          <w:sz w:val="32"/>
          <w:szCs w:val="32"/>
        </w:rPr>
      </w:pPr>
      <w:r w:rsidRPr="00FB7C2D">
        <w:rPr>
          <w:rFonts w:asciiTheme="minorHAnsi" w:hAnsiTheme="minorHAnsi"/>
          <w:b/>
          <w:bCs/>
          <w:sz w:val="28"/>
          <w:szCs w:val="28"/>
        </w:rPr>
        <w:t>Warwick PGR Teacher Conference 2025</w:t>
      </w:r>
      <w:r w:rsidRPr="00FB7C2D">
        <w:rPr>
          <w:rFonts w:asciiTheme="minorHAnsi" w:hAnsiTheme="minorHAnsi"/>
          <w:b/>
          <w:bCs/>
          <w:sz w:val="24"/>
          <w:szCs w:val="24"/>
        </w:rPr>
        <w:br/>
      </w:r>
      <w:r w:rsidRPr="00FB7C2D">
        <w:rPr>
          <w:rFonts w:asciiTheme="minorHAnsi" w:hAnsiTheme="minorHAnsi"/>
          <w:b/>
          <w:bCs/>
          <w:i/>
          <w:iCs/>
          <w:sz w:val="32"/>
          <w:szCs w:val="32"/>
        </w:rPr>
        <w:t>‘Evolving Experiences in Postgraduate Teaching: Navigating Changing Landscapes, Practices, and Technologies’</w:t>
      </w:r>
    </w:p>
    <w:p w14:paraId="4E4A3A1A" w14:textId="77777777" w:rsidR="00FB7C2D" w:rsidRDefault="00FB7C2D" w:rsidP="009636D3">
      <w:pPr>
        <w:ind w:firstLine="0"/>
        <w:jc w:val="left"/>
        <w:rPr>
          <w:rFonts w:asciiTheme="minorHAnsi" w:hAnsiTheme="minorHAnsi"/>
          <w:b/>
          <w:bCs/>
          <w:sz w:val="24"/>
          <w:szCs w:val="24"/>
        </w:rPr>
      </w:pPr>
    </w:p>
    <w:p w14:paraId="30DBD25E" w14:textId="53D9316E" w:rsidR="00FB7C2D" w:rsidRPr="00FB7C2D" w:rsidRDefault="00FB7C2D" w:rsidP="00A37C94">
      <w:pPr>
        <w:ind w:firstLine="0"/>
        <w:jc w:val="center"/>
        <w:rPr>
          <w:rFonts w:asciiTheme="minorHAnsi" w:hAnsiTheme="minorHAnsi"/>
          <w:b/>
          <w:bCs/>
          <w:sz w:val="28"/>
          <w:szCs w:val="28"/>
        </w:rPr>
      </w:pPr>
      <w:r w:rsidRPr="00FB7C2D">
        <w:rPr>
          <w:rFonts w:asciiTheme="minorHAnsi" w:hAnsiTheme="minorHAnsi"/>
          <w:b/>
          <w:bCs/>
          <w:sz w:val="28"/>
          <w:szCs w:val="28"/>
        </w:rPr>
        <w:t>Schedule of Abstracts, in order of appearance:</w:t>
      </w:r>
    </w:p>
    <w:p w14:paraId="5C2C4304" w14:textId="77777777" w:rsidR="00A37C94" w:rsidRDefault="00A37C94" w:rsidP="00A37C94">
      <w:pPr>
        <w:ind w:firstLine="0"/>
        <w:jc w:val="left"/>
        <w:rPr>
          <w:rFonts w:asciiTheme="minorHAnsi" w:hAnsiTheme="minorHAnsi"/>
          <w:b/>
          <w:bCs/>
          <w:lang w:eastAsia="en-GB"/>
        </w:rPr>
      </w:pPr>
    </w:p>
    <w:p w14:paraId="1ADF3918" w14:textId="43F9AB45" w:rsidR="000C7616" w:rsidRPr="000C7616" w:rsidRDefault="00CB0B7F" w:rsidP="00A37C94">
      <w:pPr>
        <w:ind w:firstLine="0"/>
        <w:jc w:val="left"/>
        <w:rPr>
          <w:rFonts w:asciiTheme="minorHAnsi" w:hAnsiTheme="minorHAnsi"/>
          <w:lang w:eastAsia="en-GB"/>
        </w:rPr>
      </w:pPr>
      <w:r w:rsidRPr="003564CE">
        <w:rPr>
          <w:rFonts w:asciiTheme="minorHAnsi" w:hAnsiTheme="minorHAnsi"/>
          <w:b/>
          <w:bCs/>
          <w:lang w:eastAsia="en-GB"/>
        </w:rPr>
        <w:t>‘Opening the Bandura's Box of Experiences: Exploring GTAs' Sense of Plausibility about ESL Teaching’</w:t>
      </w:r>
      <w:r w:rsidRPr="00CB0B7F">
        <w:rPr>
          <w:rFonts w:asciiTheme="minorHAnsi" w:hAnsiTheme="minorHAnsi"/>
          <w:lang w:eastAsia="en-GB"/>
        </w:rPr>
        <w:t xml:space="preserve"> </w:t>
      </w:r>
      <w:r>
        <w:rPr>
          <w:rFonts w:asciiTheme="minorHAnsi" w:hAnsiTheme="minorHAnsi"/>
          <w:lang w:eastAsia="en-GB"/>
        </w:rPr>
        <w:t xml:space="preserve">– </w:t>
      </w:r>
      <w:r w:rsidR="000C7616" w:rsidRPr="000C7616">
        <w:rPr>
          <w:rFonts w:asciiTheme="minorHAnsi" w:hAnsiTheme="minorHAnsi"/>
          <w:lang w:eastAsia="en-GB"/>
        </w:rPr>
        <w:t>Akshay Kumar, Faculty of Arts</w:t>
      </w:r>
      <w:r w:rsidR="000C7616" w:rsidRPr="000C7616">
        <w:rPr>
          <w:rFonts w:asciiTheme="minorHAnsi" w:hAnsiTheme="minorHAnsi"/>
          <w:lang w:eastAsia="en-GB"/>
        </w:rPr>
        <w:t xml:space="preserve"> (</w:t>
      </w:r>
      <w:r w:rsidR="000C7616" w:rsidRPr="000C7616">
        <w:rPr>
          <w:rFonts w:asciiTheme="minorHAnsi" w:hAnsiTheme="minorHAnsi"/>
          <w:lang w:eastAsia="en-GB"/>
        </w:rPr>
        <w:t>he/him</w:t>
      </w:r>
      <w:r w:rsidR="000C7616" w:rsidRPr="000C7616">
        <w:rPr>
          <w:rFonts w:asciiTheme="minorHAnsi" w:hAnsiTheme="minorHAnsi"/>
          <w:lang w:eastAsia="en-GB"/>
        </w:rPr>
        <w:t>)</w:t>
      </w:r>
    </w:p>
    <w:p w14:paraId="349A9AD0" w14:textId="77777777" w:rsidR="00A37C94" w:rsidRPr="000A5EA9" w:rsidRDefault="000C7616" w:rsidP="00A37C94">
      <w:pPr>
        <w:jc w:val="left"/>
        <w:rPr>
          <w:rFonts w:asciiTheme="minorHAnsi" w:hAnsiTheme="minorHAnsi"/>
          <w:lang w:eastAsia="en-GB"/>
        </w:rPr>
      </w:pPr>
      <w:r w:rsidRPr="000A5EA9">
        <w:rPr>
          <w:rFonts w:asciiTheme="minorHAnsi" w:hAnsiTheme="minorHAnsi"/>
          <w:b/>
          <w:bCs/>
          <w:lang w:eastAsia="en-GB"/>
        </w:rPr>
        <w:t> </w:t>
      </w:r>
      <w:r w:rsidR="00A37C94" w:rsidRPr="000A5EA9">
        <w:rPr>
          <w:rFonts w:asciiTheme="minorHAnsi" w:hAnsiTheme="minorHAnsi"/>
          <w:lang w:eastAsia="en-GB"/>
        </w:rPr>
        <w:t xml:space="preserve">A single internet search for </w:t>
      </w:r>
      <w:proofErr w:type="gramStart"/>
      <w:r w:rsidR="00A37C94" w:rsidRPr="000A5EA9">
        <w:rPr>
          <w:rFonts w:asciiTheme="minorHAnsi" w:hAnsiTheme="minorHAnsi"/>
          <w:lang w:eastAsia="en-GB"/>
        </w:rPr>
        <w:t>the what</w:t>
      </w:r>
      <w:proofErr w:type="gramEnd"/>
      <w:r w:rsidR="00A37C94" w:rsidRPr="000A5EA9">
        <w:rPr>
          <w:rFonts w:asciiTheme="minorHAnsi" w:hAnsiTheme="minorHAnsi"/>
          <w:lang w:eastAsia="en-GB"/>
        </w:rPr>
        <w:t xml:space="preserve">, how, and why of graduate teaching assistants’ (GTAs) teaching in their classrooms often results in endless handbooks and other prescriptive reports describing their roles and responsibilities. However, few research studies provide deeper insights into the mechanisms GTAs use in their teaching across specific disciplines (Bale &amp; Anderson, 2022). Building on this premise, some researchers have recently been adopting frameworks from teacher cognition to get deeper insights into GTAs' teaching practices (Standen, 2018; Salvatore &amp; </w:t>
      </w:r>
      <w:proofErr w:type="spellStart"/>
      <w:r w:rsidR="00A37C94" w:rsidRPr="000A5EA9">
        <w:rPr>
          <w:rFonts w:asciiTheme="minorHAnsi" w:hAnsiTheme="minorHAnsi"/>
          <w:lang w:eastAsia="en-GB"/>
        </w:rPr>
        <w:t>Stroiney</w:t>
      </w:r>
      <w:proofErr w:type="spellEnd"/>
      <w:r w:rsidR="00A37C94" w:rsidRPr="000A5EA9">
        <w:rPr>
          <w:rFonts w:asciiTheme="minorHAnsi" w:hAnsiTheme="minorHAnsi"/>
          <w:lang w:eastAsia="en-GB"/>
        </w:rPr>
        <w:t xml:space="preserve">, 2025). Inspired by such efforts in this direction, this presentation explores N.S. Prabhu’s construct of teachers’ sense of plausibility (TSOP), i.e.- an intuitive yet perceptual understanding of teaching, as a potential reflective practice tool for GTA research.  </w:t>
      </w:r>
    </w:p>
    <w:p w14:paraId="6888BE8A" w14:textId="6081B0E3" w:rsidR="003564CE" w:rsidRPr="000A5EA9" w:rsidRDefault="00A37C94" w:rsidP="000A5EA9">
      <w:pPr>
        <w:jc w:val="left"/>
        <w:rPr>
          <w:rFonts w:asciiTheme="minorHAnsi" w:hAnsiTheme="minorHAnsi"/>
          <w:lang w:eastAsia="en-GB"/>
        </w:rPr>
      </w:pPr>
      <w:r w:rsidRPr="000A5EA9">
        <w:rPr>
          <w:rFonts w:asciiTheme="minorHAnsi" w:hAnsiTheme="minorHAnsi"/>
          <w:lang w:eastAsia="en-GB"/>
        </w:rPr>
        <w:t xml:space="preserve">It begins by recapitulating the current research experimentations on GTAs' understanding of teaching, followed by discussing why and how TSOP could be a universal theoretical framework for all disciplines to know about the same. Further, it reports the findings of a case study being done with seven novice GTAs, offering insights about their TSOPs regarding teaching English, and whether they think of knowing about their TSOPs to be an effective reflective practice or not. The utilization of two writing prompts and focus group discussions indicated their TSOPs being rooted in themes of sustainable education, traditional teaching, practical and innovative learning, mentoring and GTA &amp; student agencies. While they agreed on investment in TSOP being a valuable reflective practice, they also gave suggestions for the necessary teacher training interventions for its sustainable effects. Lastly, the paper calls for a shift from the ‘how to teach’ to ‘what and how do you teach’ approach of knowing more about GTAs' teaching </w:t>
      </w:r>
      <w:r w:rsidRPr="000A5EA9">
        <w:rPr>
          <w:rFonts w:asciiTheme="minorHAnsi" w:hAnsiTheme="minorHAnsi"/>
          <w:lang w:eastAsia="en-GB"/>
        </w:rPr>
        <w:lastRenderedPageBreak/>
        <w:t>practices by recommending implications of researching TSOP from research, course-management, and training perspectives.</w:t>
      </w:r>
    </w:p>
    <w:p w14:paraId="46B3998B" w14:textId="77777777" w:rsidR="000A5EA9" w:rsidRDefault="000A5EA9" w:rsidP="003564CE">
      <w:pPr>
        <w:ind w:firstLine="0"/>
        <w:jc w:val="left"/>
        <w:rPr>
          <w:rFonts w:asciiTheme="minorHAnsi" w:hAnsiTheme="minorHAnsi"/>
          <w:b/>
          <w:bCs/>
        </w:rPr>
      </w:pPr>
    </w:p>
    <w:p w14:paraId="444FCBB3" w14:textId="6A6BDABE" w:rsidR="00CA0679" w:rsidRDefault="000A6263" w:rsidP="003564CE">
      <w:pPr>
        <w:ind w:firstLine="0"/>
        <w:jc w:val="left"/>
        <w:rPr>
          <w:rFonts w:asciiTheme="minorHAnsi" w:hAnsiTheme="minorHAnsi"/>
        </w:rPr>
      </w:pPr>
      <w:r w:rsidRPr="00BF24FF">
        <w:rPr>
          <w:rFonts w:asciiTheme="minorHAnsi" w:hAnsiTheme="minorHAnsi"/>
          <w:b/>
          <w:bCs/>
        </w:rPr>
        <w:t>‘Setting your students up for failure’</w:t>
      </w:r>
      <w:r>
        <w:rPr>
          <w:rFonts w:asciiTheme="minorHAnsi" w:hAnsiTheme="minorHAnsi"/>
        </w:rPr>
        <w:t xml:space="preserve"> – Eva </w:t>
      </w:r>
      <w:r w:rsidR="00DA55B9" w:rsidRPr="00DA55B9">
        <w:rPr>
          <w:rFonts w:asciiTheme="minorHAnsi" w:hAnsiTheme="minorHAnsi"/>
        </w:rPr>
        <w:t>Zaat, Faculty of Science, Engineering and Medicine</w:t>
      </w:r>
      <w:r w:rsidR="00DA55B9">
        <w:rPr>
          <w:rFonts w:asciiTheme="minorHAnsi" w:hAnsiTheme="minorHAnsi"/>
        </w:rPr>
        <w:t xml:space="preserve"> (</w:t>
      </w:r>
      <w:r w:rsidR="00DA55B9" w:rsidRPr="00DA55B9">
        <w:rPr>
          <w:rFonts w:asciiTheme="minorHAnsi" w:hAnsiTheme="minorHAnsi"/>
        </w:rPr>
        <w:t>she/her</w:t>
      </w:r>
      <w:r w:rsidR="00DA55B9">
        <w:rPr>
          <w:rFonts w:asciiTheme="minorHAnsi" w:hAnsiTheme="minorHAnsi"/>
        </w:rPr>
        <w:t>)</w:t>
      </w:r>
    </w:p>
    <w:p w14:paraId="70D63610" w14:textId="77777777" w:rsidR="00862C2E" w:rsidRDefault="00862C2E" w:rsidP="00862C2E">
      <w:pPr>
        <w:jc w:val="left"/>
        <w:rPr>
          <w:rFonts w:asciiTheme="minorHAnsi" w:hAnsiTheme="minorHAnsi"/>
        </w:rPr>
      </w:pPr>
      <w:r w:rsidRPr="00862C2E">
        <w:rPr>
          <w:rFonts w:asciiTheme="minorHAnsi" w:hAnsiTheme="minorHAnsi"/>
        </w:rPr>
        <w:t xml:space="preserve">What do you do when you don’t know an answer? Few things silence a lecture hall faster than a question posed to the room. Students avoid your gaze or freeze like a deer in headlights. When someone is called on, you get a soft “I don’t know” and then a sigh in relief - their turn is done. Why is that? </w:t>
      </w:r>
    </w:p>
    <w:p w14:paraId="324EC884" w14:textId="092B9439" w:rsidR="00862C2E" w:rsidRPr="00862C2E" w:rsidRDefault="00862C2E" w:rsidP="00862C2E">
      <w:pPr>
        <w:jc w:val="left"/>
        <w:rPr>
          <w:rFonts w:asciiTheme="minorHAnsi" w:hAnsiTheme="minorHAnsi"/>
        </w:rPr>
      </w:pPr>
      <w:r w:rsidRPr="00862C2E">
        <w:rPr>
          <w:rFonts w:asciiTheme="minorHAnsi" w:hAnsiTheme="minorHAnsi"/>
        </w:rPr>
        <w:t xml:space="preserve">“Often solutions are presented as obvious, so if I do not immediately get it, I must not be smart” – forgetting that the first person discovering or creating the answer may well have taken years to do so. “I had this teacher/fellow student who would mock me when I was wrong.” These are often shared experiences among students, and they lead to feelings of anxiety and insecurity when they do not know the answer. Our students hesitate to speak up when they need help or when they are unsure of their answer. With that, creative solutions and ideas as well as common misconceptions and misunderstandings remain unspoken. </w:t>
      </w:r>
    </w:p>
    <w:p w14:paraId="6C00FFD3" w14:textId="77777777" w:rsidR="00862C2E" w:rsidRDefault="00862C2E" w:rsidP="00862C2E">
      <w:pPr>
        <w:jc w:val="left"/>
        <w:rPr>
          <w:rFonts w:asciiTheme="minorHAnsi" w:hAnsiTheme="minorHAnsi"/>
        </w:rPr>
      </w:pPr>
      <w:r w:rsidRPr="00862C2E">
        <w:rPr>
          <w:rFonts w:asciiTheme="minorHAnsi" w:hAnsiTheme="minorHAnsi"/>
        </w:rPr>
        <w:t xml:space="preserve">So how can we build an environment where students are not afraid to be wrong? How can we teach them to move forward when they get stuck? How can we encourage them to create new - or even crazy - ideas and give them a try? How do we move beyond “I don’t know” as a default response? How do we teach students that failing is not just okay – it is a necessary part of learning? </w:t>
      </w:r>
    </w:p>
    <w:p w14:paraId="3574A612" w14:textId="0A153E3A" w:rsidR="00BF24FF" w:rsidRPr="00862C2E" w:rsidRDefault="00862C2E" w:rsidP="00862C2E">
      <w:pPr>
        <w:jc w:val="left"/>
        <w:rPr>
          <w:rFonts w:asciiTheme="minorHAnsi" w:hAnsiTheme="minorHAnsi"/>
        </w:rPr>
      </w:pPr>
      <w:r w:rsidRPr="00862C2E">
        <w:rPr>
          <w:rFonts w:asciiTheme="minorHAnsi" w:hAnsiTheme="minorHAnsi"/>
        </w:rPr>
        <w:t>In this talk, I will introduce a framework that provides an approach to understanding and solving problems, which embraces failure as part of the process.  I will also share how I have applied this approach in my own classes, and how it has transformed the dynamic in seminars.</w:t>
      </w:r>
    </w:p>
    <w:p w14:paraId="604789E4" w14:textId="77777777" w:rsidR="00862C2E" w:rsidRDefault="00862C2E" w:rsidP="009636D3">
      <w:pPr>
        <w:jc w:val="left"/>
        <w:rPr>
          <w:rFonts w:asciiTheme="minorHAnsi" w:hAnsiTheme="minorHAnsi"/>
          <w:b/>
          <w:bCs/>
        </w:rPr>
      </w:pPr>
    </w:p>
    <w:p w14:paraId="53625099" w14:textId="7D6329CD" w:rsidR="00DB3BB0" w:rsidRDefault="00DB3BB0" w:rsidP="003564CE">
      <w:pPr>
        <w:ind w:firstLine="0"/>
        <w:jc w:val="left"/>
        <w:rPr>
          <w:rFonts w:asciiTheme="minorHAnsi" w:hAnsiTheme="minorHAnsi"/>
        </w:rPr>
      </w:pPr>
      <w:r w:rsidRPr="00801FFA">
        <w:rPr>
          <w:rFonts w:asciiTheme="minorHAnsi" w:hAnsiTheme="minorHAnsi"/>
          <w:b/>
          <w:bCs/>
        </w:rPr>
        <w:t xml:space="preserve">‘When cultures talk to each other: Teaching French culture from a </w:t>
      </w:r>
      <w:proofErr w:type="gramStart"/>
      <w:r w:rsidRPr="00801FFA">
        <w:rPr>
          <w:rFonts w:asciiTheme="minorHAnsi" w:hAnsiTheme="minorHAnsi"/>
          <w:b/>
          <w:bCs/>
        </w:rPr>
        <w:t>British-Mauritian</w:t>
      </w:r>
      <w:proofErr w:type="gramEnd"/>
      <w:r w:rsidRPr="00801FFA">
        <w:rPr>
          <w:rFonts w:asciiTheme="minorHAnsi" w:hAnsiTheme="minorHAnsi"/>
          <w:b/>
          <w:bCs/>
        </w:rPr>
        <w:t xml:space="preserve"> perspective’</w:t>
      </w:r>
      <w:r>
        <w:rPr>
          <w:rFonts w:asciiTheme="minorHAnsi" w:hAnsiTheme="minorHAnsi"/>
        </w:rPr>
        <w:t xml:space="preserve"> – Adam </w:t>
      </w:r>
      <w:proofErr w:type="spellStart"/>
      <w:r w:rsidR="006F3FC5" w:rsidRPr="006F3FC5">
        <w:rPr>
          <w:rFonts w:asciiTheme="minorHAnsi" w:hAnsiTheme="minorHAnsi"/>
        </w:rPr>
        <w:t>Agowun</w:t>
      </w:r>
      <w:proofErr w:type="spellEnd"/>
      <w:r w:rsidR="006F3FC5" w:rsidRPr="006F3FC5">
        <w:rPr>
          <w:rFonts w:asciiTheme="minorHAnsi" w:hAnsiTheme="minorHAnsi"/>
        </w:rPr>
        <w:t xml:space="preserve">, Faculty of Arts </w:t>
      </w:r>
      <w:r w:rsidR="006F3FC5">
        <w:rPr>
          <w:rFonts w:asciiTheme="minorHAnsi" w:hAnsiTheme="minorHAnsi"/>
        </w:rPr>
        <w:t>(</w:t>
      </w:r>
      <w:r w:rsidR="006F3FC5" w:rsidRPr="006F3FC5">
        <w:rPr>
          <w:rFonts w:asciiTheme="minorHAnsi" w:hAnsiTheme="minorHAnsi"/>
        </w:rPr>
        <w:t>he/him</w:t>
      </w:r>
      <w:r w:rsidR="006F3FC5">
        <w:rPr>
          <w:rFonts w:asciiTheme="minorHAnsi" w:hAnsiTheme="minorHAnsi"/>
        </w:rPr>
        <w:t>)</w:t>
      </w:r>
    </w:p>
    <w:p w14:paraId="2DAD8A83" w14:textId="77777777" w:rsidR="00BF24FF" w:rsidRDefault="00BF24FF" w:rsidP="009636D3">
      <w:pPr>
        <w:jc w:val="left"/>
        <w:rPr>
          <w:rFonts w:asciiTheme="minorHAnsi" w:hAnsiTheme="minorHAnsi"/>
        </w:rPr>
      </w:pPr>
      <w:r w:rsidRPr="00BF24FF">
        <w:rPr>
          <w:rFonts w:asciiTheme="minorHAnsi" w:hAnsiTheme="minorHAnsi"/>
        </w:rPr>
        <w:lastRenderedPageBreak/>
        <w:t xml:space="preserve">The Higher Education workplace context encourages lecturers transitioning from a school context to hold on to their identity and credibility as schoolteachers. Similarly, GTAs, particularly within the context of Warwick’s SMLC department, are encouraged to shape their teaching based on their personal heritage and cultural experience. </w:t>
      </w:r>
    </w:p>
    <w:p w14:paraId="38864B32" w14:textId="77777777" w:rsidR="00BF24FF" w:rsidRDefault="00BF24FF" w:rsidP="009636D3">
      <w:pPr>
        <w:jc w:val="left"/>
        <w:rPr>
          <w:rFonts w:asciiTheme="minorHAnsi" w:hAnsiTheme="minorHAnsi"/>
        </w:rPr>
      </w:pPr>
      <w:r w:rsidRPr="00BF24FF">
        <w:rPr>
          <w:rFonts w:asciiTheme="minorHAnsi" w:hAnsiTheme="minorHAnsi"/>
        </w:rPr>
        <w:t xml:space="preserve">As a British-born GTA with strong Mauritian roots, I often draw on my hybrid background to inform how I teach first-year students about French culture. This paper will explore how I use conversations about my own culture to teach about others, with a particular focus on how I taught two weeks on Maryse Condé’s Le </w:t>
      </w:r>
      <w:proofErr w:type="spellStart"/>
      <w:r w:rsidRPr="00BF24FF">
        <w:rPr>
          <w:rFonts w:asciiTheme="minorHAnsi" w:hAnsiTheme="minorHAnsi"/>
        </w:rPr>
        <w:t>cœur</w:t>
      </w:r>
      <w:proofErr w:type="spellEnd"/>
      <w:r w:rsidRPr="00BF24FF">
        <w:rPr>
          <w:rFonts w:asciiTheme="minorHAnsi" w:hAnsiTheme="minorHAnsi"/>
        </w:rPr>
        <w:t xml:space="preserve"> à </w:t>
      </w:r>
      <w:proofErr w:type="spellStart"/>
      <w:r w:rsidRPr="00BF24FF">
        <w:rPr>
          <w:rFonts w:asciiTheme="minorHAnsi" w:hAnsiTheme="minorHAnsi"/>
        </w:rPr>
        <w:t>rire</w:t>
      </w:r>
      <w:proofErr w:type="spellEnd"/>
      <w:r w:rsidRPr="00BF24FF">
        <w:rPr>
          <w:rFonts w:asciiTheme="minorHAnsi" w:hAnsiTheme="minorHAnsi"/>
        </w:rPr>
        <w:t xml:space="preserve"> et à </w:t>
      </w:r>
      <w:proofErr w:type="spellStart"/>
      <w:r w:rsidRPr="00BF24FF">
        <w:rPr>
          <w:rFonts w:asciiTheme="minorHAnsi" w:hAnsiTheme="minorHAnsi"/>
        </w:rPr>
        <w:t>pleurer</w:t>
      </w:r>
      <w:proofErr w:type="spellEnd"/>
      <w:r w:rsidRPr="00BF24FF">
        <w:rPr>
          <w:rFonts w:asciiTheme="minorHAnsi" w:hAnsiTheme="minorHAnsi"/>
        </w:rPr>
        <w:t xml:space="preserve">, a text where Condé examines her own identity through a series of short vignettes. </w:t>
      </w:r>
    </w:p>
    <w:p w14:paraId="42B418E9" w14:textId="75A79183" w:rsidR="00801FFA" w:rsidRDefault="00BF24FF" w:rsidP="009636D3">
      <w:pPr>
        <w:jc w:val="left"/>
        <w:rPr>
          <w:rFonts w:asciiTheme="minorHAnsi" w:hAnsiTheme="minorHAnsi"/>
        </w:rPr>
      </w:pPr>
      <w:r w:rsidRPr="00BF24FF">
        <w:rPr>
          <w:rFonts w:asciiTheme="minorHAnsi" w:hAnsiTheme="minorHAnsi"/>
        </w:rPr>
        <w:t xml:space="preserve">I will argue that using my own experiences allows students to unpack and take a more empathetic approach to the postcolonial issues posed through the text, as well as encouraging students of a similar background to my own to use their own cultures as a lens to understand this text and others on the module. </w:t>
      </w:r>
    </w:p>
    <w:p w14:paraId="72B84E60" w14:textId="77777777" w:rsidR="00BF24FF" w:rsidRDefault="00BF24FF" w:rsidP="009636D3">
      <w:pPr>
        <w:jc w:val="left"/>
        <w:rPr>
          <w:rFonts w:asciiTheme="minorHAnsi" w:hAnsiTheme="minorHAnsi"/>
          <w:b/>
          <w:bCs/>
        </w:rPr>
      </w:pPr>
    </w:p>
    <w:p w14:paraId="0754E14A" w14:textId="12FF99B4" w:rsidR="006F3FC5" w:rsidRDefault="003B12B2" w:rsidP="00BF24FF">
      <w:pPr>
        <w:ind w:firstLine="0"/>
        <w:jc w:val="left"/>
        <w:rPr>
          <w:rFonts w:asciiTheme="minorHAnsi" w:hAnsiTheme="minorHAnsi"/>
        </w:rPr>
      </w:pPr>
      <w:r w:rsidRPr="009636D3">
        <w:rPr>
          <w:rFonts w:asciiTheme="minorHAnsi" w:hAnsiTheme="minorHAnsi"/>
          <w:b/>
          <w:bCs/>
        </w:rPr>
        <w:t>‘From Chalkboard to Code: Integrating AI to Transform Problem-Based Learning in Higher Education’</w:t>
      </w:r>
      <w:r>
        <w:rPr>
          <w:rFonts w:asciiTheme="minorHAnsi" w:hAnsiTheme="minorHAnsi"/>
        </w:rPr>
        <w:t xml:space="preserve"> – </w:t>
      </w:r>
      <w:r w:rsidRPr="003B12B2">
        <w:rPr>
          <w:rFonts w:asciiTheme="minorHAnsi" w:hAnsiTheme="minorHAnsi"/>
        </w:rPr>
        <w:t>Shuiqing Wang, Warwick Business School</w:t>
      </w:r>
      <w:r>
        <w:rPr>
          <w:rFonts w:asciiTheme="minorHAnsi" w:hAnsiTheme="minorHAnsi"/>
        </w:rPr>
        <w:t xml:space="preserve"> (</w:t>
      </w:r>
      <w:r w:rsidRPr="003B12B2">
        <w:rPr>
          <w:rFonts w:asciiTheme="minorHAnsi" w:hAnsiTheme="minorHAnsi"/>
        </w:rPr>
        <w:t>she/her</w:t>
      </w:r>
      <w:r>
        <w:rPr>
          <w:rFonts w:asciiTheme="minorHAnsi" w:hAnsiTheme="minorHAnsi"/>
        </w:rPr>
        <w:t>)</w:t>
      </w:r>
    </w:p>
    <w:p w14:paraId="10E7493E" w14:textId="63E8F3F4" w:rsidR="00BF24FF" w:rsidRPr="000A5EA9" w:rsidRDefault="00801FFA" w:rsidP="000A5EA9">
      <w:pPr>
        <w:jc w:val="left"/>
        <w:rPr>
          <w:rFonts w:asciiTheme="minorHAnsi" w:hAnsiTheme="minorHAnsi"/>
        </w:rPr>
      </w:pPr>
      <w:r w:rsidRPr="00801FFA">
        <w:rPr>
          <w:rFonts w:asciiTheme="minorHAnsi" w:hAnsiTheme="minorHAnsi"/>
        </w:rPr>
        <w:t xml:space="preserve">This session explores how AI tools like ChatGPT, Python-based auto-grading, and France’s </w:t>
      </w:r>
      <w:proofErr w:type="spellStart"/>
      <w:r w:rsidRPr="00801FFA">
        <w:rPr>
          <w:rFonts w:asciiTheme="minorHAnsi" w:hAnsiTheme="minorHAnsi"/>
        </w:rPr>
        <w:t>tablette</w:t>
      </w:r>
      <w:proofErr w:type="spellEnd"/>
      <w:r w:rsidRPr="00801FFA">
        <w:rPr>
          <w:rFonts w:asciiTheme="minorHAnsi" w:hAnsiTheme="minorHAnsi"/>
        </w:rPr>
        <w:t xml:space="preserve"> numérique (</w:t>
      </w:r>
      <w:proofErr w:type="spellStart"/>
      <w:r w:rsidRPr="00801FFA">
        <w:rPr>
          <w:rFonts w:asciiTheme="minorHAnsi" w:hAnsiTheme="minorHAnsi"/>
        </w:rPr>
        <w:t>Pullco</w:t>
      </w:r>
      <w:proofErr w:type="spellEnd"/>
      <w:r w:rsidRPr="00801FFA">
        <w:rPr>
          <w:rFonts w:asciiTheme="minorHAnsi" w:hAnsiTheme="minorHAnsi"/>
        </w:rPr>
        <w:t>, 2025) can transform postgraduate teaching by generating customised problems, providing instant feedback, and supporting diverse learners in evolving pedagogical landscapes.</w:t>
      </w:r>
    </w:p>
    <w:p w14:paraId="0EDCCDAD" w14:textId="77777777" w:rsidR="000A5EA9" w:rsidRDefault="000A5EA9" w:rsidP="00BF24FF">
      <w:pPr>
        <w:ind w:firstLine="0"/>
        <w:jc w:val="left"/>
        <w:rPr>
          <w:rFonts w:asciiTheme="minorHAnsi" w:hAnsiTheme="minorHAnsi"/>
          <w:b/>
          <w:bCs/>
        </w:rPr>
      </w:pPr>
    </w:p>
    <w:p w14:paraId="32658F31" w14:textId="7AE3C3D5" w:rsidR="003B12B2" w:rsidRDefault="00A452EB" w:rsidP="00BF24FF">
      <w:pPr>
        <w:ind w:firstLine="0"/>
        <w:jc w:val="left"/>
        <w:rPr>
          <w:rFonts w:asciiTheme="minorHAnsi" w:hAnsiTheme="minorHAnsi"/>
        </w:rPr>
      </w:pPr>
      <w:r w:rsidRPr="007F6110">
        <w:rPr>
          <w:rFonts w:asciiTheme="minorHAnsi" w:hAnsiTheme="minorHAnsi"/>
          <w:b/>
          <w:bCs/>
        </w:rPr>
        <w:t xml:space="preserve">‘Two Voices, Many Languages’: A </w:t>
      </w:r>
      <w:proofErr w:type="spellStart"/>
      <w:r w:rsidRPr="007F6110">
        <w:rPr>
          <w:rFonts w:asciiTheme="minorHAnsi" w:hAnsiTheme="minorHAnsi"/>
          <w:b/>
          <w:bCs/>
        </w:rPr>
        <w:t>Duoethnographic</w:t>
      </w:r>
      <w:proofErr w:type="spellEnd"/>
      <w:r w:rsidRPr="007F6110">
        <w:rPr>
          <w:rFonts w:asciiTheme="minorHAnsi" w:hAnsiTheme="minorHAnsi"/>
          <w:b/>
          <w:bCs/>
        </w:rPr>
        <w:t xml:space="preserve"> Look at Multilingual Identity in Teaching Spaces in a UK University’</w:t>
      </w:r>
      <w:r>
        <w:rPr>
          <w:rFonts w:asciiTheme="minorHAnsi" w:hAnsiTheme="minorHAnsi"/>
        </w:rPr>
        <w:t xml:space="preserve"> – </w:t>
      </w:r>
      <w:r w:rsidRPr="00A452EB">
        <w:rPr>
          <w:rFonts w:asciiTheme="minorHAnsi" w:hAnsiTheme="minorHAnsi"/>
        </w:rPr>
        <w:t>Yanyan Li, Faculty of Social Sciences</w:t>
      </w:r>
      <w:r>
        <w:rPr>
          <w:rFonts w:asciiTheme="minorHAnsi" w:hAnsiTheme="minorHAnsi"/>
        </w:rPr>
        <w:t xml:space="preserve"> (</w:t>
      </w:r>
      <w:r w:rsidRPr="00A452EB">
        <w:rPr>
          <w:rFonts w:asciiTheme="minorHAnsi" w:hAnsiTheme="minorHAnsi"/>
        </w:rPr>
        <w:t>she/her</w:t>
      </w:r>
      <w:r>
        <w:rPr>
          <w:rFonts w:asciiTheme="minorHAnsi" w:hAnsiTheme="minorHAnsi"/>
        </w:rPr>
        <w:t>)</w:t>
      </w:r>
    </w:p>
    <w:p w14:paraId="274CDD02" w14:textId="77777777" w:rsidR="009636D3" w:rsidRDefault="009636D3" w:rsidP="009636D3">
      <w:pPr>
        <w:jc w:val="left"/>
        <w:rPr>
          <w:rFonts w:asciiTheme="minorHAnsi" w:hAnsiTheme="minorHAnsi"/>
        </w:rPr>
      </w:pPr>
      <w:r w:rsidRPr="009636D3">
        <w:rPr>
          <w:rFonts w:asciiTheme="minorHAnsi" w:hAnsiTheme="minorHAnsi"/>
        </w:rPr>
        <w:t>Despite the dominance of English and monolingual norms in UK higher education (HE), the linguistic reality on campus is increasingly diverse due to international mobility and internationalisation. Many graduate teaching assistants (GTAs) and students have multilingual backgrounds and routinely move across languages (Preece &amp; Martin, 2009). While scholarly attention to multilingual identity in educational settings is growing, GTAs’ experiences within this framework remain overlooked.</w:t>
      </w:r>
    </w:p>
    <w:p w14:paraId="7E6E67BE" w14:textId="54E31942" w:rsidR="009636D3" w:rsidRPr="009636D3" w:rsidRDefault="009636D3" w:rsidP="009636D3">
      <w:pPr>
        <w:jc w:val="left"/>
        <w:rPr>
          <w:rFonts w:asciiTheme="minorHAnsi" w:hAnsiTheme="minorHAnsi"/>
        </w:rPr>
      </w:pPr>
      <w:r w:rsidRPr="009636D3">
        <w:rPr>
          <w:rFonts w:asciiTheme="minorHAnsi" w:hAnsiTheme="minorHAnsi"/>
        </w:rPr>
        <w:lastRenderedPageBreak/>
        <w:t xml:space="preserve"> To bridge the gap, answer calls to reimagine universities as multilingual spaces and use peer dialogue for GTA professional development (Zhuo &amp; Li, 2024), this study employs </w:t>
      </w:r>
      <w:proofErr w:type="spellStart"/>
      <w:r w:rsidRPr="009636D3">
        <w:rPr>
          <w:rFonts w:asciiTheme="minorHAnsi" w:hAnsiTheme="minorHAnsi"/>
        </w:rPr>
        <w:t>duoethnography</w:t>
      </w:r>
      <w:proofErr w:type="spellEnd"/>
      <w:r w:rsidRPr="009636D3">
        <w:rPr>
          <w:rFonts w:asciiTheme="minorHAnsi" w:hAnsiTheme="minorHAnsi"/>
        </w:rPr>
        <w:t xml:space="preserve"> to stage critical conversations between two multilingual GTAs. Through recorded dialogues, reflective journaling, and collaborative analysis, we ask: How are our own and our students’ multilingual identities positioned in day-to-day teaching, and what affordances or constraints emerge within English-dominant pedagogical discourses? Three themes emerge:</w:t>
      </w:r>
      <w:r>
        <w:rPr>
          <w:rFonts w:asciiTheme="minorHAnsi" w:hAnsiTheme="minorHAnsi"/>
        </w:rPr>
        <w:br/>
        <w:t xml:space="preserve">(1) </w:t>
      </w:r>
      <w:r w:rsidRPr="009636D3">
        <w:rPr>
          <w:rFonts w:asciiTheme="minorHAnsi" w:hAnsiTheme="minorHAnsi"/>
        </w:rPr>
        <w:t>Visibility vs. erasure–Leveraging students’ multilingual repertoires helps build trust and nuance explanations, yet these practices remain unofficial and are often self-censored as an ‘erased linguistic journey’ (Martin, 2009).</w:t>
      </w:r>
      <w:r>
        <w:rPr>
          <w:rFonts w:asciiTheme="minorHAnsi" w:hAnsiTheme="minorHAnsi"/>
        </w:rPr>
        <w:br/>
        <w:t xml:space="preserve">(2) </w:t>
      </w:r>
      <w:r w:rsidRPr="009636D3">
        <w:rPr>
          <w:rFonts w:asciiTheme="minorHAnsi" w:hAnsiTheme="minorHAnsi"/>
        </w:rPr>
        <w:t>Resource vs. deficit–Translanguaging clarifies concepts, sparks participation and surfaces alternative ways of knowing, but institutional talk still casts it as a deficit, perpetuating the ‘Language Problem’ (Bhatt et al., 2022).</w:t>
      </w:r>
      <w:r>
        <w:rPr>
          <w:rFonts w:asciiTheme="minorHAnsi" w:hAnsiTheme="minorHAnsi"/>
        </w:rPr>
        <w:br/>
        <w:t xml:space="preserve">(3) </w:t>
      </w:r>
      <w:r w:rsidRPr="009636D3">
        <w:rPr>
          <w:rFonts w:asciiTheme="minorHAnsi" w:hAnsiTheme="minorHAnsi"/>
        </w:rPr>
        <w:t xml:space="preserve">Identity work &amp; growth–Naming feelings of pride, </w:t>
      </w:r>
      <w:proofErr w:type="spellStart"/>
      <w:r w:rsidRPr="009636D3">
        <w:rPr>
          <w:rFonts w:asciiTheme="minorHAnsi" w:hAnsiTheme="minorHAnsi"/>
        </w:rPr>
        <w:t>impostorhood</w:t>
      </w:r>
      <w:proofErr w:type="spellEnd"/>
      <w:r w:rsidRPr="009636D3">
        <w:rPr>
          <w:rFonts w:asciiTheme="minorHAnsi" w:hAnsiTheme="minorHAnsi"/>
        </w:rPr>
        <w:t xml:space="preserve"> and resistance develops multilingual identity (Gayton</w:t>
      </w:r>
      <w:r w:rsidRPr="009636D3">
        <w:rPr>
          <w:rFonts w:ascii="Arial" w:hAnsi="Arial" w:cs="Arial"/>
        </w:rPr>
        <w:t> </w:t>
      </w:r>
      <w:r w:rsidRPr="009636D3">
        <w:rPr>
          <w:rFonts w:asciiTheme="minorHAnsi" w:hAnsiTheme="minorHAnsi"/>
        </w:rPr>
        <w:t>et</w:t>
      </w:r>
      <w:r w:rsidRPr="009636D3">
        <w:rPr>
          <w:rFonts w:ascii="Arial" w:hAnsi="Arial" w:cs="Arial"/>
        </w:rPr>
        <w:t> </w:t>
      </w:r>
      <w:r w:rsidRPr="009636D3">
        <w:rPr>
          <w:rFonts w:asciiTheme="minorHAnsi" w:hAnsiTheme="minorHAnsi"/>
        </w:rPr>
        <w:t>al.</w:t>
      </w:r>
      <w:r w:rsidRPr="009636D3">
        <w:rPr>
          <w:rFonts w:ascii="Arial" w:hAnsi="Arial" w:cs="Arial"/>
        </w:rPr>
        <w:t> </w:t>
      </w:r>
      <w:r w:rsidRPr="009636D3">
        <w:rPr>
          <w:rFonts w:asciiTheme="minorHAnsi" w:hAnsiTheme="minorHAnsi"/>
        </w:rPr>
        <w:t xml:space="preserve">2025) and diversifies teaching beyond English-only templates. </w:t>
      </w:r>
    </w:p>
    <w:p w14:paraId="1A229946" w14:textId="6C8ECD72" w:rsidR="007F6110" w:rsidRPr="000C7616" w:rsidRDefault="009636D3" w:rsidP="009636D3">
      <w:pPr>
        <w:jc w:val="left"/>
        <w:rPr>
          <w:rFonts w:asciiTheme="minorHAnsi" w:hAnsiTheme="minorHAnsi"/>
        </w:rPr>
      </w:pPr>
      <w:r w:rsidRPr="009636D3">
        <w:rPr>
          <w:rFonts w:asciiTheme="minorHAnsi" w:hAnsiTheme="minorHAnsi"/>
        </w:rPr>
        <w:t xml:space="preserve">Our study shows multilingual identity is both a pedagogical asset and a site of struggle. Making these everyday tensions explicit offers GTAs practical leverage, thus unsettling monolingual norms and cultivating more equitable, intellectually vibrant environments in UK HE. </w:t>
      </w:r>
    </w:p>
    <w:p w14:paraId="5D21A11A" w14:textId="77777777" w:rsidR="009636D3" w:rsidRDefault="009636D3" w:rsidP="009636D3">
      <w:pPr>
        <w:ind w:firstLine="0"/>
        <w:jc w:val="left"/>
        <w:rPr>
          <w:rFonts w:asciiTheme="minorHAnsi" w:hAnsiTheme="minorHAnsi"/>
          <w:b/>
          <w:bCs/>
        </w:rPr>
      </w:pPr>
    </w:p>
    <w:p w14:paraId="566934FD" w14:textId="4AC75C02" w:rsidR="00CA0679" w:rsidRDefault="008A2FD5" w:rsidP="009636D3">
      <w:pPr>
        <w:ind w:firstLine="0"/>
        <w:jc w:val="left"/>
        <w:rPr>
          <w:rFonts w:asciiTheme="minorHAnsi" w:hAnsiTheme="minorHAnsi"/>
        </w:rPr>
      </w:pPr>
      <w:r w:rsidRPr="003D2D8F">
        <w:rPr>
          <w:rFonts w:asciiTheme="minorHAnsi" w:hAnsiTheme="minorHAnsi"/>
          <w:b/>
          <w:bCs/>
        </w:rPr>
        <w:t>‘Curriculum from the Margins: Building a Dalit-Feminist Business English Programme for Aspiring Entrepreneurs’</w:t>
      </w:r>
      <w:r w:rsidRPr="008A2FD5">
        <w:rPr>
          <w:rFonts w:asciiTheme="minorHAnsi" w:hAnsiTheme="minorHAnsi"/>
        </w:rPr>
        <w:t xml:space="preserve"> </w:t>
      </w:r>
      <w:r>
        <w:rPr>
          <w:rFonts w:asciiTheme="minorHAnsi" w:hAnsiTheme="minorHAnsi"/>
        </w:rPr>
        <w:t xml:space="preserve">– </w:t>
      </w:r>
      <w:r w:rsidRPr="008A2FD5">
        <w:rPr>
          <w:rFonts w:asciiTheme="minorHAnsi" w:hAnsiTheme="minorHAnsi"/>
        </w:rPr>
        <w:t>Nisha Kumari, Cross Faculty Centre</w:t>
      </w:r>
      <w:r>
        <w:rPr>
          <w:rFonts w:asciiTheme="minorHAnsi" w:hAnsiTheme="minorHAnsi"/>
        </w:rPr>
        <w:t xml:space="preserve"> (</w:t>
      </w:r>
      <w:r w:rsidRPr="008A2FD5">
        <w:rPr>
          <w:rFonts w:asciiTheme="minorHAnsi" w:hAnsiTheme="minorHAnsi"/>
        </w:rPr>
        <w:t>she/her</w:t>
      </w:r>
      <w:r>
        <w:rPr>
          <w:rFonts w:asciiTheme="minorHAnsi" w:hAnsiTheme="minorHAnsi"/>
        </w:rPr>
        <w:t>)</w:t>
      </w:r>
    </w:p>
    <w:p w14:paraId="460B31F7" w14:textId="77777777" w:rsidR="00A70CE1" w:rsidRDefault="00A70CE1" w:rsidP="009636D3">
      <w:pPr>
        <w:ind w:firstLine="0"/>
        <w:jc w:val="left"/>
        <w:rPr>
          <w:rFonts w:asciiTheme="minorHAnsi" w:hAnsiTheme="minorHAnsi"/>
        </w:rPr>
      </w:pPr>
      <w:r w:rsidRPr="00A70CE1">
        <w:rPr>
          <w:rFonts w:asciiTheme="minorHAnsi" w:hAnsiTheme="minorHAnsi"/>
        </w:rPr>
        <w:t xml:space="preserve">This paper offers a reflective account on the process of designing a business English curriculum for young Dalit, Bahujan, and Adivasi women learners (ages 15–35) as part of a grassroots educational initiative in an NGO based in India. </w:t>
      </w:r>
    </w:p>
    <w:p w14:paraId="2F01D6A3" w14:textId="1AF14B2E" w:rsidR="003D2D8F" w:rsidRPr="00A70CE1" w:rsidRDefault="00A70CE1" w:rsidP="009636D3">
      <w:pPr>
        <w:ind w:firstLine="0"/>
        <w:jc w:val="left"/>
        <w:rPr>
          <w:rFonts w:asciiTheme="minorHAnsi" w:hAnsiTheme="minorHAnsi"/>
        </w:rPr>
      </w:pPr>
      <w:r w:rsidRPr="00A70CE1">
        <w:rPr>
          <w:rFonts w:asciiTheme="minorHAnsi" w:hAnsiTheme="minorHAnsi"/>
        </w:rPr>
        <w:t xml:space="preserve">Rooted in a Dalit feminist pedagogical standpoint, the curriculum challenges dominant frameworks of English language teaching by foregrounding language not merely as a functional tool of employability but as a site of dignity, a means of nurture, resistance, and social transformation. In over two years of working with the NGO, I trace the emergence of a curriculum book developed in response to gaps in existing materials, which lacked </w:t>
      </w:r>
      <w:r w:rsidRPr="00A70CE1">
        <w:rPr>
          <w:rFonts w:asciiTheme="minorHAnsi" w:hAnsiTheme="minorHAnsi"/>
        </w:rPr>
        <w:lastRenderedPageBreak/>
        <w:t>sociopolitical sensitivity and learner autonomy.</w:t>
      </w:r>
      <w:r w:rsidR="002905B3">
        <w:rPr>
          <w:rFonts w:asciiTheme="minorHAnsi" w:hAnsiTheme="minorHAnsi"/>
        </w:rPr>
        <w:t xml:space="preserve"> </w:t>
      </w:r>
      <w:r w:rsidRPr="00A70CE1">
        <w:rPr>
          <w:rFonts w:asciiTheme="minorHAnsi" w:hAnsiTheme="minorHAnsi"/>
        </w:rPr>
        <w:t>Drawing from intersectional theory, critical pedagogy, and Dalit and feminist scholarship, the paper examines the ethical, emotional, and intellectual labour of negotiating caste, gender, and class within language education. It considers questions of access—technological, linguistic, and emotional—and how curriculum can hold space for discomfort, choice, and care. The location of the learner and that of the facilitator complicates the problem. Further, the curriculum lays bare the fissures in teacher-education in India and seeks to provide guidance to the facilitator who might not be prepared to navigate this complex intersection. In doing so, the paper invites broader reflections on the role of GTAs in reimagining higher education through community-grounded, justice-oriented pedagogy.</w:t>
      </w:r>
    </w:p>
    <w:p w14:paraId="1EE5F866" w14:textId="77777777" w:rsidR="007F6110" w:rsidRDefault="007F6110" w:rsidP="009636D3">
      <w:pPr>
        <w:ind w:firstLine="0"/>
        <w:jc w:val="left"/>
        <w:rPr>
          <w:rFonts w:asciiTheme="minorHAnsi" w:hAnsiTheme="minorHAnsi"/>
          <w:b/>
          <w:bCs/>
        </w:rPr>
      </w:pPr>
    </w:p>
    <w:p w14:paraId="60D06F09" w14:textId="3C5EE0E1" w:rsidR="008A2FD5" w:rsidRDefault="00E032D3" w:rsidP="009636D3">
      <w:pPr>
        <w:ind w:firstLine="0"/>
        <w:jc w:val="left"/>
        <w:rPr>
          <w:rFonts w:asciiTheme="minorHAnsi" w:hAnsiTheme="minorHAnsi"/>
        </w:rPr>
      </w:pPr>
      <w:r w:rsidRPr="002C26E2">
        <w:rPr>
          <w:rFonts w:asciiTheme="minorHAnsi" w:hAnsiTheme="minorHAnsi"/>
          <w:b/>
          <w:bCs/>
        </w:rPr>
        <w:t>‘Teaching unfamiliar content can lead to brilliant teaching: A data-driven reflection’</w:t>
      </w:r>
      <w:r>
        <w:rPr>
          <w:rFonts w:asciiTheme="minorHAnsi" w:hAnsiTheme="minorHAnsi"/>
        </w:rPr>
        <w:t xml:space="preserve"> – </w:t>
      </w:r>
      <w:r w:rsidRPr="00E032D3">
        <w:rPr>
          <w:rFonts w:asciiTheme="minorHAnsi" w:hAnsiTheme="minorHAnsi"/>
        </w:rPr>
        <w:t>Junjie Li, Faculty of Social Sciences</w:t>
      </w:r>
      <w:r>
        <w:rPr>
          <w:rFonts w:asciiTheme="minorHAnsi" w:hAnsiTheme="minorHAnsi"/>
        </w:rPr>
        <w:t xml:space="preserve"> (</w:t>
      </w:r>
      <w:r w:rsidRPr="00E032D3">
        <w:rPr>
          <w:rFonts w:asciiTheme="minorHAnsi" w:hAnsiTheme="minorHAnsi"/>
        </w:rPr>
        <w:t>he/him</w:t>
      </w:r>
      <w:r>
        <w:rPr>
          <w:rFonts w:asciiTheme="minorHAnsi" w:hAnsiTheme="minorHAnsi"/>
        </w:rPr>
        <w:t>)</w:t>
      </w:r>
    </w:p>
    <w:p w14:paraId="0D3DC608" w14:textId="6EE2FEDA" w:rsidR="002C26E2" w:rsidRPr="003D2D8F" w:rsidRDefault="003D2D8F" w:rsidP="009636D3">
      <w:pPr>
        <w:ind w:firstLine="0"/>
        <w:jc w:val="left"/>
        <w:rPr>
          <w:rFonts w:asciiTheme="minorHAnsi" w:hAnsiTheme="minorHAnsi"/>
        </w:rPr>
      </w:pPr>
      <w:r w:rsidRPr="003D2D8F">
        <w:rPr>
          <w:rFonts w:asciiTheme="minorHAnsi" w:hAnsiTheme="minorHAnsi"/>
        </w:rPr>
        <w:t>I seek to reflect on my teaching experiences across three modules in two academic departments. As my data-driven reflection will show, multiple situated complexities play out in my teacher identity construction process. The multimodal dataset consists of the textual, visual, and technological materials generated as part of my teaching preparations. I approach the data inductively via reflexive thematic analysis, highlighting two themes: 1) my ability to acknowledge the ‘signature pedagogy’ and ‘threshold concepts’ from an etic perspective; 2) my bottom-up awareness of taking the students’ perspectives as peers. As such, I argue that teaching unfamiliar content can lead to brilliant teaching.</w:t>
      </w:r>
    </w:p>
    <w:p w14:paraId="4EA75DA2" w14:textId="77777777" w:rsidR="003D2D8F" w:rsidRDefault="003D2D8F" w:rsidP="009636D3">
      <w:pPr>
        <w:ind w:firstLine="0"/>
        <w:jc w:val="left"/>
        <w:rPr>
          <w:rFonts w:asciiTheme="minorHAnsi" w:hAnsiTheme="minorHAnsi"/>
          <w:b/>
          <w:bCs/>
        </w:rPr>
      </w:pPr>
    </w:p>
    <w:p w14:paraId="6522F2C0" w14:textId="20F413C6" w:rsidR="00E032D3" w:rsidRDefault="00551DA2" w:rsidP="009636D3">
      <w:pPr>
        <w:ind w:firstLine="0"/>
        <w:jc w:val="left"/>
        <w:rPr>
          <w:rFonts w:asciiTheme="minorHAnsi" w:hAnsiTheme="minorHAnsi"/>
        </w:rPr>
      </w:pPr>
      <w:r w:rsidRPr="00794C75">
        <w:rPr>
          <w:rFonts w:asciiTheme="minorHAnsi" w:hAnsiTheme="minorHAnsi"/>
          <w:b/>
          <w:bCs/>
        </w:rPr>
        <w:t>‘Dialogues Matter: My critical reflections on my pedagogical approach as a senior graduate teaching assistant’</w:t>
      </w:r>
      <w:r>
        <w:rPr>
          <w:rFonts w:asciiTheme="minorHAnsi" w:hAnsiTheme="minorHAnsi"/>
        </w:rPr>
        <w:t xml:space="preserve"> – </w:t>
      </w:r>
      <w:r w:rsidRPr="00551DA2">
        <w:rPr>
          <w:rFonts w:asciiTheme="minorHAnsi" w:hAnsiTheme="minorHAnsi"/>
        </w:rPr>
        <w:t>Nusrat Gulzar, Faculty of Social Sciences</w:t>
      </w:r>
      <w:r>
        <w:rPr>
          <w:rFonts w:asciiTheme="minorHAnsi" w:hAnsiTheme="minorHAnsi"/>
        </w:rPr>
        <w:t xml:space="preserve"> (</w:t>
      </w:r>
      <w:r w:rsidRPr="00551DA2">
        <w:rPr>
          <w:rFonts w:asciiTheme="minorHAnsi" w:hAnsiTheme="minorHAnsi"/>
        </w:rPr>
        <w:t>she/her</w:t>
      </w:r>
      <w:r>
        <w:rPr>
          <w:rFonts w:asciiTheme="minorHAnsi" w:hAnsiTheme="minorHAnsi"/>
        </w:rPr>
        <w:t>)</w:t>
      </w:r>
    </w:p>
    <w:p w14:paraId="147F0F33" w14:textId="77777777" w:rsidR="002C26E2" w:rsidRPr="002C26E2" w:rsidRDefault="002C26E2" w:rsidP="009636D3">
      <w:pPr>
        <w:ind w:firstLine="0"/>
        <w:jc w:val="left"/>
        <w:rPr>
          <w:rFonts w:asciiTheme="minorHAnsi" w:hAnsiTheme="minorHAnsi"/>
        </w:rPr>
      </w:pPr>
      <w:r w:rsidRPr="002C26E2">
        <w:rPr>
          <w:rFonts w:asciiTheme="minorHAnsi" w:hAnsiTheme="minorHAnsi"/>
        </w:rPr>
        <w:t xml:space="preserve">In this presentation, I critically reflect on my evolving pedagogical practice as a Senior Graduate Teaching Assistant (GTA) supporting postgraduate students in the Teaching English to Speakers of Other Languages (TESOL) programme at the Department of Applied Linguistics, Warwick. It encapsulates what I have learned, unlearned, valued, and continued to reconsider as a practitioner who strongly believes in dialogic, student-centred pedagogy. </w:t>
      </w:r>
    </w:p>
    <w:p w14:paraId="0FAC9C23" w14:textId="4DFD061F" w:rsidR="002C26E2" w:rsidRPr="002C26E2" w:rsidRDefault="002C26E2" w:rsidP="009636D3">
      <w:pPr>
        <w:ind w:firstLine="0"/>
        <w:jc w:val="left"/>
        <w:rPr>
          <w:rFonts w:asciiTheme="minorHAnsi" w:hAnsiTheme="minorHAnsi"/>
        </w:rPr>
      </w:pPr>
      <w:r w:rsidRPr="002C26E2">
        <w:rPr>
          <w:rFonts w:asciiTheme="minorHAnsi" w:hAnsiTheme="minorHAnsi"/>
        </w:rPr>
        <w:lastRenderedPageBreak/>
        <w:t xml:space="preserve">Drawing on key principles from reflective practice (Schon, 1987; Brookfield, 2017), I reflexively engage with my experiences leading seminars on three different modules over the past three years. Firstly, I aim to articulate and openly share gains, learnings, and setbacks before an audience that provides me with an opportunity to learn from their perspectives. In this manner, I consider this setting a critical learning space with fellow GTAs to thoroughly examine my (and our) teaching trajectories. Secondly, I seek to deeply explore the transformative potential of these small incidents and episodes of teaching for my identity, confidence, and pedagogical knowledge. </w:t>
      </w:r>
    </w:p>
    <w:p w14:paraId="43620BED" w14:textId="19A62BC0" w:rsidR="00794C75" w:rsidRPr="00794C75" w:rsidRDefault="002C26E2" w:rsidP="009636D3">
      <w:pPr>
        <w:ind w:firstLine="0"/>
        <w:jc w:val="left"/>
        <w:rPr>
          <w:rFonts w:asciiTheme="minorHAnsi" w:hAnsiTheme="minorHAnsi"/>
        </w:rPr>
      </w:pPr>
      <w:r w:rsidRPr="002C26E2">
        <w:rPr>
          <w:rFonts w:asciiTheme="minorHAnsi" w:hAnsiTheme="minorHAnsi"/>
        </w:rPr>
        <w:t>I reflect on my pedagogical approach to fostering a dialogic and empathetic seminar environment by creating safe spaces for students to voice ideas, practice mindful listening, engage in peer dialogues about research uncertainties, and connect past learnings to present ideas, shaping their research and learning. I critically examine this practice, its outcomes, initial assumptions, and challenges. I learnt to balance structured input with open dialogue and to adaptively respond to moments of tension, hesitation, and insights of my students, often within a limited timeframe. Ultimately, I argue that sustained, critical reflection on our GTA teaching is a purposeful act that influences classroom perception and our role in empowering students to see their learning and research as significant and meaningful.</w:t>
      </w:r>
    </w:p>
    <w:p w14:paraId="29650C74" w14:textId="77777777" w:rsidR="00794C75" w:rsidRDefault="00794C75" w:rsidP="009636D3">
      <w:pPr>
        <w:ind w:firstLine="0"/>
        <w:jc w:val="left"/>
        <w:rPr>
          <w:rFonts w:asciiTheme="minorHAnsi" w:hAnsiTheme="minorHAnsi"/>
          <w:b/>
          <w:bCs/>
          <w:i/>
          <w:iCs/>
        </w:rPr>
      </w:pPr>
    </w:p>
    <w:p w14:paraId="5BDB37D9" w14:textId="237061CF" w:rsidR="00551DA2" w:rsidRDefault="00B976EA" w:rsidP="009636D3">
      <w:pPr>
        <w:ind w:firstLine="0"/>
        <w:jc w:val="left"/>
        <w:rPr>
          <w:rFonts w:asciiTheme="minorHAnsi" w:hAnsiTheme="minorHAnsi"/>
        </w:rPr>
      </w:pPr>
      <w:r w:rsidRPr="009F6BA0">
        <w:rPr>
          <w:rFonts w:asciiTheme="minorHAnsi" w:hAnsiTheme="minorHAnsi"/>
          <w:b/>
          <w:bCs/>
          <w:i/>
          <w:iCs/>
        </w:rPr>
        <w:t>‘Teaching with Openness: How Neuroqueer Positionalities Shape Inclusive Pedagogies’</w:t>
      </w:r>
      <w:r>
        <w:rPr>
          <w:rFonts w:asciiTheme="minorHAnsi" w:hAnsiTheme="minorHAnsi"/>
        </w:rPr>
        <w:t xml:space="preserve"> – </w:t>
      </w:r>
      <w:r w:rsidRPr="00B976EA">
        <w:rPr>
          <w:rFonts w:asciiTheme="minorHAnsi" w:hAnsiTheme="minorHAnsi"/>
        </w:rPr>
        <w:t>Lauren Wilkinson, Faculty of Science, Engineering and Medicine</w:t>
      </w:r>
      <w:r>
        <w:rPr>
          <w:rFonts w:asciiTheme="minorHAnsi" w:hAnsiTheme="minorHAnsi"/>
        </w:rPr>
        <w:t xml:space="preserve"> (</w:t>
      </w:r>
      <w:r w:rsidRPr="00B976EA">
        <w:rPr>
          <w:rFonts w:asciiTheme="minorHAnsi" w:hAnsiTheme="minorHAnsi"/>
        </w:rPr>
        <w:t>she/her</w:t>
      </w:r>
      <w:r>
        <w:rPr>
          <w:rFonts w:asciiTheme="minorHAnsi" w:hAnsiTheme="minorHAnsi"/>
        </w:rPr>
        <w:t>)</w:t>
      </w:r>
    </w:p>
    <w:p w14:paraId="2871FFD6" w14:textId="77777777" w:rsidR="00794C75" w:rsidRPr="00794C75" w:rsidRDefault="00794C75" w:rsidP="009636D3">
      <w:pPr>
        <w:ind w:firstLine="0"/>
        <w:jc w:val="left"/>
        <w:rPr>
          <w:rFonts w:asciiTheme="minorHAnsi" w:hAnsiTheme="minorHAnsi"/>
        </w:rPr>
      </w:pPr>
      <w:r w:rsidRPr="00794C75">
        <w:rPr>
          <w:rFonts w:asciiTheme="minorHAnsi" w:hAnsiTheme="minorHAnsi"/>
        </w:rPr>
        <w:t>There is no escaping positionality, it is always present, however we can make conscious choices to acknowledge our positionality or ignore it (</w:t>
      </w:r>
      <w:proofErr w:type="spellStart"/>
      <w:r w:rsidRPr="00794C75">
        <w:rPr>
          <w:rFonts w:asciiTheme="minorHAnsi" w:hAnsiTheme="minorHAnsi"/>
        </w:rPr>
        <w:t>Soedirgo</w:t>
      </w:r>
      <w:proofErr w:type="spellEnd"/>
      <w:r w:rsidRPr="00794C75">
        <w:rPr>
          <w:rFonts w:asciiTheme="minorHAnsi" w:hAnsiTheme="minorHAnsi"/>
        </w:rPr>
        <w:t xml:space="preserve"> &amp; Glas, 2020). Reflecting on our own positionality can be extremely beneficial, especially in the context of education, teaching and learning as we can be more aware of how our own positionality contributes and affects our own pedagogical practices (Martin &amp; Van Gunten, 2002). </w:t>
      </w:r>
    </w:p>
    <w:p w14:paraId="38707A6D" w14:textId="77777777" w:rsidR="00794C75" w:rsidRPr="00794C75" w:rsidRDefault="00794C75" w:rsidP="009636D3">
      <w:pPr>
        <w:ind w:firstLine="0"/>
        <w:jc w:val="left"/>
        <w:rPr>
          <w:rFonts w:asciiTheme="minorHAnsi" w:hAnsiTheme="minorHAnsi"/>
        </w:rPr>
      </w:pPr>
      <w:r w:rsidRPr="00794C75">
        <w:rPr>
          <w:rFonts w:asciiTheme="minorHAnsi" w:hAnsiTheme="minorHAnsi"/>
        </w:rPr>
        <w:t xml:space="preserve">In this piece I reflect upon my own positionality as a young early career PhD student and graduate teaching assistant, I identify as a cisgender neurodivergent queer woman, from a low socio-economic background and a first-generation university graduate and how this has shaped my pedagogical practices and any limitations I have faced while doing so. </w:t>
      </w:r>
    </w:p>
    <w:p w14:paraId="4E157E97" w14:textId="77777777" w:rsidR="00794C75" w:rsidRPr="00794C75" w:rsidRDefault="00794C75" w:rsidP="009636D3">
      <w:pPr>
        <w:ind w:firstLine="0"/>
        <w:jc w:val="left"/>
        <w:rPr>
          <w:rFonts w:asciiTheme="minorHAnsi" w:hAnsiTheme="minorHAnsi"/>
        </w:rPr>
      </w:pPr>
      <w:r w:rsidRPr="00794C75">
        <w:rPr>
          <w:rFonts w:asciiTheme="minorHAnsi" w:hAnsiTheme="minorHAnsi"/>
        </w:rPr>
        <w:lastRenderedPageBreak/>
        <w:t xml:space="preserve">Positionality is something I have always been aware of, coming from certain marginalised backgrounds I tried to look out for teachers who were like me and how they use their positionality to positively enhance the learning environment. During my time as a learner, I have always benefited from teachers being open in this way, therefore, when I shifted to becoming a teacher, I consciously tried to make those decisions regarding my own positionality, attempting to be open and honest about my positionality with the aim of positively shaping my pedagogical practice. </w:t>
      </w:r>
    </w:p>
    <w:p w14:paraId="526FC7D6" w14:textId="29A63C47" w:rsidR="009F6BA0" w:rsidRPr="00794C75" w:rsidRDefault="00794C75" w:rsidP="009636D3">
      <w:pPr>
        <w:ind w:firstLine="0"/>
        <w:jc w:val="left"/>
        <w:rPr>
          <w:rFonts w:asciiTheme="minorHAnsi" w:hAnsiTheme="minorHAnsi"/>
        </w:rPr>
      </w:pPr>
      <w:r w:rsidRPr="00794C75">
        <w:rPr>
          <w:rFonts w:asciiTheme="minorHAnsi" w:hAnsiTheme="minorHAnsi"/>
        </w:rPr>
        <w:t xml:space="preserve">By being open primarily about my sexuality and neurodivergence, it has fostered a space for students to share their own positionality with me without being prompted, leading to a safe space for students to be themselves and really open up in the classroom environment, with this being aided by being a young early career researcher, I am often closer in age to the students and have more recently been in their position. Being consciously aware of these positionalities fosters an opportunity to really enhance the learning environment. </w:t>
      </w:r>
    </w:p>
    <w:p w14:paraId="30E09AC1" w14:textId="77777777" w:rsidR="00794C75" w:rsidRDefault="00794C75" w:rsidP="009636D3">
      <w:pPr>
        <w:ind w:firstLine="0"/>
        <w:jc w:val="left"/>
        <w:rPr>
          <w:rFonts w:asciiTheme="minorHAnsi" w:hAnsiTheme="minorHAnsi"/>
          <w:b/>
          <w:bCs/>
        </w:rPr>
      </w:pPr>
    </w:p>
    <w:p w14:paraId="7CCFB9B2" w14:textId="1033DE37" w:rsidR="00B976EA" w:rsidRDefault="00D0713C" w:rsidP="009636D3">
      <w:pPr>
        <w:ind w:firstLine="0"/>
        <w:jc w:val="left"/>
        <w:rPr>
          <w:rFonts w:asciiTheme="minorHAnsi" w:hAnsiTheme="minorHAnsi"/>
        </w:rPr>
      </w:pPr>
      <w:r w:rsidRPr="00535CF1">
        <w:rPr>
          <w:rFonts w:asciiTheme="minorHAnsi" w:hAnsiTheme="minorHAnsi"/>
          <w:b/>
          <w:bCs/>
        </w:rPr>
        <w:t>‘Strategies for Integrating Self-Care into Academic and Professional Life’</w:t>
      </w:r>
      <w:r w:rsidRPr="00535CF1">
        <w:rPr>
          <w:rFonts w:asciiTheme="minorHAnsi" w:hAnsiTheme="minorHAnsi"/>
          <w:b/>
          <w:bCs/>
        </w:rPr>
        <w:t xml:space="preserve"> </w:t>
      </w:r>
      <w:r>
        <w:rPr>
          <w:rFonts w:asciiTheme="minorHAnsi" w:hAnsiTheme="minorHAnsi"/>
        </w:rPr>
        <w:t xml:space="preserve">– </w:t>
      </w:r>
      <w:r w:rsidRPr="00D0713C">
        <w:rPr>
          <w:rFonts w:asciiTheme="minorHAnsi" w:hAnsiTheme="minorHAnsi"/>
        </w:rPr>
        <w:t xml:space="preserve">Abayomi </w:t>
      </w:r>
      <w:proofErr w:type="spellStart"/>
      <w:r w:rsidRPr="00D0713C">
        <w:rPr>
          <w:rFonts w:asciiTheme="minorHAnsi" w:hAnsiTheme="minorHAnsi"/>
        </w:rPr>
        <w:t>Adeyini</w:t>
      </w:r>
      <w:proofErr w:type="spellEnd"/>
      <w:r w:rsidRPr="00D0713C">
        <w:rPr>
          <w:rFonts w:asciiTheme="minorHAnsi" w:hAnsiTheme="minorHAnsi"/>
        </w:rPr>
        <w:t>, Dr. Modupe Jimoh</w:t>
      </w:r>
      <w:r>
        <w:rPr>
          <w:rFonts w:asciiTheme="minorHAnsi" w:hAnsiTheme="minorHAnsi"/>
        </w:rPr>
        <w:t>, and</w:t>
      </w:r>
      <w:r w:rsidRPr="00D0713C">
        <w:rPr>
          <w:rFonts w:asciiTheme="minorHAnsi" w:hAnsiTheme="minorHAnsi"/>
        </w:rPr>
        <w:t xml:space="preserve"> Prof. </w:t>
      </w:r>
      <w:proofErr w:type="spellStart"/>
      <w:r w:rsidRPr="00D0713C">
        <w:rPr>
          <w:rFonts w:asciiTheme="minorHAnsi" w:hAnsiTheme="minorHAnsi"/>
        </w:rPr>
        <w:t>Olantunji</w:t>
      </w:r>
      <w:proofErr w:type="spellEnd"/>
      <w:r w:rsidRPr="00D0713C">
        <w:rPr>
          <w:rFonts w:asciiTheme="minorHAnsi" w:hAnsiTheme="minorHAnsi"/>
        </w:rPr>
        <w:t xml:space="preserve"> Kolawole, Faculty of Science, Engineering and Medicine </w:t>
      </w:r>
    </w:p>
    <w:p w14:paraId="10B8671E" w14:textId="77777777" w:rsidR="00AE33B8" w:rsidRDefault="00AE33B8" w:rsidP="009636D3">
      <w:pPr>
        <w:ind w:firstLine="0"/>
        <w:jc w:val="left"/>
        <w:rPr>
          <w:rFonts w:asciiTheme="minorHAnsi" w:hAnsiTheme="minorHAnsi"/>
        </w:rPr>
      </w:pPr>
      <w:r w:rsidRPr="00AE33B8">
        <w:rPr>
          <w:rFonts w:asciiTheme="minorHAnsi" w:hAnsiTheme="minorHAnsi"/>
        </w:rPr>
        <w:t xml:space="preserve">This article examines the imperative of integrating self-care into the demanding academic lives of postgraduate research teachers. Acknowledging the intense pressures, such as long hours and publication demands, and the potential for burnout, it highlights effective strategies to mitigate stress and enhance productivity. These include time management, mindfulness, boundary-setting, and community support. Reflective practices, such as journaling, can also enhance self-awareness and promote wellbeing. </w:t>
      </w:r>
    </w:p>
    <w:p w14:paraId="2921B37C" w14:textId="77777777" w:rsidR="009F6BA0" w:rsidRDefault="00AE33B8" w:rsidP="009636D3">
      <w:pPr>
        <w:ind w:firstLine="0"/>
        <w:jc w:val="left"/>
        <w:rPr>
          <w:rFonts w:asciiTheme="minorHAnsi" w:hAnsiTheme="minorHAnsi"/>
        </w:rPr>
      </w:pPr>
      <w:r w:rsidRPr="00AE33B8">
        <w:rPr>
          <w:rFonts w:asciiTheme="minorHAnsi" w:hAnsiTheme="minorHAnsi"/>
        </w:rPr>
        <w:t xml:space="preserve">To foster a culture of wellbeing, the article recommends greater institutional support through dedicated funding for wellness programs, increased access to mental health resources, and comprehensive faculty training. It advocates for policy changes promoting healthier work-life balance, such as flexible work arrangements, reasonable workloads, and clear parental leave policies. Institutions should also consider the needs of the teachers when implementing self-care strategies. </w:t>
      </w:r>
    </w:p>
    <w:p w14:paraId="557CA5D3" w14:textId="77777777" w:rsidR="009F6BA0" w:rsidRDefault="00AE33B8" w:rsidP="009636D3">
      <w:pPr>
        <w:ind w:firstLine="0"/>
        <w:jc w:val="left"/>
        <w:rPr>
          <w:rFonts w:asciiTheme="minorHAnsi" w:hAnsiTheme="minorHAnsi"/>
        </w:rPr>
      </w:pPr>
      <w:r w:rsidRPr="00AE33B8">
        <w:rPr>
          <w:rFonts w:asciiTheme="minorHAnsi" w:hAnsiTheme="minorHAnsi"/>
        </w:rPr>
        <w:lastRenderedPageBreak/>
        <w:t xml:space="preserve">Academics are urged to prioritize self-care, integrating it into their daily routines to achieve a more sustainable and fulfilling professional life. Experiential self-care courses, such as the one described in the article, can be implemented to promote holistic wellbeing among academics. These courses can increase self-care awareness, provide skills, and improve overall wellness. </w:t>
      </w:r>
    </w:p>
    <w:p w14:paraId="33214A2D" w14:textId="0CEF5AD7" w:rsidR="00535CF1" w:rsidRDefault="00AE33B8" w:rsidP="009636D3">
      <w:pPr>
        <w:ind w:firstLine="0"/>
        <w:jc w:val="left"/>
        <w:rPr>
          <w:rFonts w:asciiTheme="minorHAnsi" w:hAnsiTheme="minorHAnsi"/>
        </w:rPr>
      </w:pPr>
      <w:r w:rsidRPr="00AE33B8">
        <w:rPr>
          <w:rFonts w:asciiTheme="minorHAnsi" w:hAnsiTheme="minorHAnsi"/>
        </w:rPr>
        <w:t>Institutions are called upon to cultivate a culture valuing wellbeing as fundamental for enduring success. By embracing these strategies and recommendations, both individuals and institutions can create a healthier and more supportive academic environment</w:t>
      </w:r>
    </w:p>
    <w:p w14:paraId="318B86C8" w14:textId="77777777" w:rsidR="00535CF1" w:rsidRDefault="00535CF1" w:rsidP="009636D3">
      <w:pPr>
        <w:ind w:firstLine="0"/>
        <w:jc w:val="left"/>
        <w:rPr>
          <w:rFonts w:asciiTheme="minorHAnsi" w:hAnsiTheme="minorHAnsi"/>
          <w:b/>
          <w:bCs/>
          <w:i/>
          <w:iCs/>
        </w:rPr>
      </w:pPr>
    </w:p>
    <w:p w14:paraId="7D72F42A" w14:textId="1EEE2844" w:rsidR="00D0713C" w:rsidRDefault="00BD016E" w:rsidP="009636D3">
      <w:pPr>
        <w:ind w:firstLine="0"/>
        <w:jc w:val="left"/>
        <w:rPr>
          <w:rFonts w:asciiTheme="minorHAnsi" w:hAnsiTheme="minorHAnsi"/>
        </w:rPr>
      </w:pPr>
      <w:r w:rsidRPr="005B0115">
        <w:rPr>
          <w:rFonts w:asciiTheme="minorHAnsi" w:hAnsiTheme="minorHAnsi"/>
          <w:b/>
          <w:bCs/>
          <w:i/>
          <w:iCs/>
        </w:rPr>
        <w:t>‘Building Resilience: Promoting Mental Well-being in Graduate Teaching Assistants Through Structured Institutional Support’</w:t>
      </w:r>
      <w:r>
        <w:rPr>
          <w:rFonts w:asciiTheme="minorHAnsi" w:hAnsiTheme="minorHAnsi"/>
        </w:rPr>
        <w:t xml:space="preserve"> – </w:t>
      </w:r>
      <w:r w:rsidRPr="00BD016E">
        <w:rPr>
          <w:rFonts w:asciiTheme="minorHAnsi" w:hAnsiTheme="minorHAnsi"/>
        </w:rPr>
        <w:t>Usoro Akpan, Faculty of Science, Engineering and Medicine</w:t>
      </w:r>
      <w:r>
        <w:rPr>
          <w:rFonts w:asciiTheme="minorHAnsi" w:hAnsiTheme="minorHAnsi"/>
        </w:rPr>
        <w:t xml:space="preserve"> (</w:t>
      </w:r>
      <w:r w:rsidRPr="00BD016E">
        <w:rPr>
          <w:rFonts w:asciiTheme="minorHAnsi" w:hAnsiTheme="minorHAnsi"/>
        </w:rPr>
        <w:t>he/him</w:t>
      </w:r>
      <w:r>
        <w:rPr>
          <w:rFonts w:asciiTheme="minorHAnsi" w:hAnsiTheme="minorHAnsi"/>
        </w:rPr>
        <w:t>)</w:t>
      </w:r>
    </w:p>
    <w:p w14:paraId="4268E978" w14:textId="77777777" w:rsidR="00535CF1" w:rsidRDefault="00535CF1" w:rsidP="009636D3">
      <w:pPr>
        <w:ind w:firstLine="0"/>
        <w:jc w:val="left"/>
        <w:rPr>
          <w:rFonts w:asciiTheme="minorHAnsi" w:hAnsiTheme="minorHAnsi"/>
        </w:rPr>
      </w:pPr>
      <w:r w:rsidRPr="00535CF1">
        <w:rPr>
          <w:rFonts w:asciiTheme="minorHAnsi" w:hAnsiTheme="minorHAnsi"/>
        </w:rPr>
        <w:t xml:space="preserve">Graduate Teaching Assistants (GTAs) occupy a unique and demanding space within academia, balancing the simultaneous roles of student and instructor. Their dual responsibilities expose them to heightened stress and social isolation, which together compromise their mental health and efficacy as educators. Yet, when institutions adopt a comprehensive, intentional approach that combines structured mentorship, robust pedagogical training, and policy-driven support systems, the narrative can be transformed from one of vulnerability to one of resilience and empowerment. Effective mentorship not only fosters psychological safety and professional identity among GTAs but also cultivates a collegial culture where challenges are shared, feedback is constructive, and personal growth is prioritised. </w:t>
      </w:r>
    </w:p>
    <w:p w14:paraId="3A2A241E" w14:textId="66AFA78C" w:rsidR="00535CF1" w:rsidRDefault="00535CF1" w:rsidP="009636D3">
      <w:pPr>
        <w:ind w:firstLine="0"/>
        <w:jc w:val="left"/>
        <w:rPr>
          <w:rFonts w:asciiTheme="minorHAnsi" w:hAnsiTheme="minorHAnsi"/>
        </w:rPr>
      </w:pPr>
      <w:r w:rsidRPr="00535CF1">
        <w:rPr>
          <w:rFonts w:asciiTheme="minorHAnsi" w:hAnsiTheme="minorHAnsi"/>
        </w:rPr>
        <w:t>Complementary to this is the role of compulsory and well-tailored teaching development programmes, which provide the emotional and practical tools necessary for confident, reflective teaching. However, support must extend beyond the classroom; equitable policies around workload, leave, and recognition are essential to creating a sustainable academic experience for GTAs, particularly when informed by global best practices.</w:t>
      </w:r>
      <w:r>
        <w:rPr>
          <w:rFonts w:asciiTheme="minorHAnsi" w:hAnsiTheme="minorHAnsi"/>
        </w:rPr>
        <w:t xml:space="preserve"> </w:t>
      </w:r>
      <w:r w:rsidRPr="00535CF1">
        <w:rPr>
          <w:rFonts w:asciiTheme="minorHAnsi" w:hAnsiTheme="minorHAnsi"/>
        </w:rPr>
        <w:t>Embedding mental well-being into every facet of institutional support, whether through peer networks, supervisor relationships, or formal training, promotes resilience and prevents burnout. As universities increasingly depend on GTAs to deliver core teaching responsibilities, they must commit to fostering an ecosystem that values, nurtures, and equips them not only as temporary instructional staff but as future leaders in education.</w:t>
      </w:r>
    </w:p>
    <w:p w14:paraId="2B8546F9" w14:textId="360D600A" w:rsidR="005B0115" w:rsidRDefault="00535CF1" w:rsidP="009636D3">
      <w:pPr>
        <w:ind w:firstLine="0"/>
        <w:jc w:val="left"/>
        <w:rPr>
          <w:rFonts w:asciiTheme="minorHAnsi" w:hAnsiTheme="minorHAnsi"/>
        </w:rPr>
      </w:pPr>
      <w:r w:rsidRPr="00535CF1">
        <w:rPr>
          <w:rFonts w:asciiTheme="minorHAnsi" w:hAnsiTheme="minorHAnsi"/>
        </w:rPr>
        <w:lastRenderedPageBreak/>
        <w:t>Through a shift from reactive to preventive mental health strategies and from fragmented initiatives to cohesive institutional cultures of care, higher education can unlock the full potential of GTAs while advancing student learning, faculty development, and academic excellence</w:t>
      </w:r>
    </w:p>
    <w:p w14:paraId="6443FA82" w14:textId="77777777" w:rsidR="00535CF1" w:rsidRDefault="00535CF1" w:rsidP="009636D3">
      <w:pPr>
        <w:ind w:firstLine="0"/>
        <w:jc w:val="left"/>
        <w:rPr>
          <w:rFonts w:asciiTheme="minorHAnsi" w:hAnsiTheme="minorHAnsi"/>
        </w:rPr>
      </w:pPr>
    </w:p>
    <w:p w14:paraId="2D7AB96A" w14:textId="704E601A" w:rsidR="00BD016E" w:rsidRDefault="00ED7D34" w:rsidP="009636D3">
      <w:pPr>
        <w:ind w:firstLine="0"/>
        <w:jc w:val="left"/>
        <w:rPr>
          <w:rFonts w:asciiTheme="minorHAnsi" w:hAnsiTheme="minorHAnsi"/>
        </w:rPr>
      </w:pPr>
      <w:r w:rsidRPr="00AB1182">
        <w:rPr>
          <w:rFonts w:asciiTheme="minorHAnsi" w:hAnsiTheme="minorHAnsi"/>
          <w:b/>
          <w:bCs/>
          <w:i/>
          <w:iCs/>
        </w:rPr>
        <w:t xml:space="preserve">‘Creating </w:t>
      </w:r>
      <w:proofErr w:type="gramStart"/>
      <w:r w:rsidRPr="00AB1182">
        <w:rPr>
          <w:rFonts w:asciiTheme="minorHAnsi" w:hAnsiTheme="minorHAnsi"/>
          <w:b/>
          <w:bCs/>
          <w:i/>
          <w:iCs/>
        </w:rPr>
        <w:t>Machines?:</w:t>
      </w:r>
      <w:proofErr w:type="gramEnd"/>
      <w:r w:rsidRPr="00AB1182">
        <w:rPr>
          <w:rFonts w:asciiTheme="minorHAnsi" w:hAnsiTheme="minorHAnsi"/>
          <w:b/>
          <w:bCs/>
          <w:i/>
          <w:iCs/>
        </w:rPr>
        <w:t xml:space="preserve"> GAITs for reflective practice in education’</w:t>
      </w:r>
      <w:r>
        <w:rPr>
          <w:rFonts w:asciiTheme="minorHAnsi" w:hAnsiTheme="minorHAnsi"/>
        </w:rPr>
        <w:t xml:space="preserve"> – </w:t>
      </w:r>
      <w:r w:rsidRPr="00ED7D34">
        <w:rPr>
          <w:rFonts w:asciiTheme="minorHAnsi" w:hAnsiTheme="minorHAnsi"/>
        </w:rPr>
        <w:t xml:space="preserve">Greta </w:t>
      </w:r>
      <w:proofErr w:type="spellStart"/>
      <w:r w:rsidRPr="00ED7D34">
        <w:rPr>
          <w:rFonts w:asciiTheme="minorHAnsi" w:hAnsiTheme="minorHAnsi"/>
        </w:rPr>
        <w:t>Timaite</w:t>
      </w:r>
      <w:proofErr w:type="spellEnd"/>
      <w:r w:rsidRPr="00ED7D34">
        <w:rPr>
          <w:rFonts w:asciiTheme="minorHAnsi" w:hAnsiTheme="minorHAnsi"/>
        </w:rPr>
        <w:t>, Mercy Lio, Xinyi Lin</w:t>
      </w:r>
      <w:r>
        <w:rPr>
          <w:rFonts w:asciiTheme="minorHAnsi" w:hAnsiTheme="minorHAnsi"/>
        </w:rPr>
        <w:t>, and</w:t>
      </w:r>
      <w:r w:rsidRPr="00ED7D34">
        <w:rPr>
          <w:rFonts w:asciiTheme="minorHAnsi" w:hAnsiTheme="minorHAnsi"/>
        </w:rPr>
        <w:t xml:space="preserve"> Peter </w:t>
      </w:r>
      <w:proofErr w:type="spellStart"/>
      <w:r w:rsidRPr="00ED7D34">
        <w:rPr>
          <w:rFonts w:asciiTheme="minorHAnsi" w:hAnsiTheme="minorHAnsi"/>
        </w:rPr>
        <w:t>Iziomo</w:t>
      </w:r>
      <w:proofErr w:type="spellEnd"/>
      <w:r>
        <w:rPr>
          <w:rFonts w:asciiTheme="minorHAnsi" w:hAnsiTheme="minorHAnsi"/>
        </w:rPr>
        <w:t xml:space="preserve">, </w:t>
      </w:r>
      <w:r w:rsidRPr="00ED7D34">
        <w:rPr>
          <w:rFonts w:asciiTheme="minorHAnsi" w:hAnsiTheme="minorHAnsi"/>
        </w:rPr>
        <w:t>Faculty of Social Sciences</w:t>
      </w:r>
    </w:p>
    <w:p w14:paraId="7786719F" w14:textId="29CA9ADB" w:rsidR="005B0115" w:rsidRPr="005B0115" w:rsidRDefault="005B0115" w:rsidP="009636D3">
      <w:pPr>
        <w:ind w:firstLine="0"/>
        <w:jc w:val="left"/>
        <w:rPr>
          <w:rFonts w:asciiTheme="minorHAnsi" w:hAnsiTheme="minorHAnsi"/>
        </w:rPr>
      </w:pPr>
      <w:r w:rsidRPr="005B0115">
        <w:rPr>
          <w:rFonts w:asciiTheme="minorHAnsi" w:hAnsiTheme="minorHAnsi"/>
        </w:rPr>
        <w:t xml:space="preserve">The aim of this in-person workshop is to invite the Warwick PGR teaching community to explore the potential of generative artificial intelligence tools (GAITs) to facilitate reflective practice in education, a topic which is still understudied (Harvey et al. 2025). This workshop will be informed by the multimodal storytelling prototype framework developed by PGT students at the Centre for Interdisciplinary Methodologies (CIM). The students are collaborating with the University of Warwick library team to curate a display about the relation between generative artificial intelligence tools (GAITs) and society. This collaboration was initiated by the graduate teaching assistant (GTA), who teaches interdisciplinary modules and wants to explore new forms of experiential learning, or “learning by doing”, that might not necessarily take place in traditional classroom settings.  </w:t>
      </w:r>
    </w:p>
    <w:p w14:paraId="5495FB72" w14:textId="0DB20046" w:rsidR="005B0115" w:rsidRPr="005B0115" w:rsidRDefault="005B0115" w:rsidP="009636D3">
      <w:pPr>
        <w:ind w:firstLine="0"/>
        <w:jc w:val="left"/>
        <w:rPr>
          <w:rFonts w:asciiTheme="minorHAnsi" w:hAnsiTheme="minorHAnsi"/>
        </w:rPr>
      </w:pPr>
      <w:r w:rsidRPr="005B0115">
        <w:rPr>
          <w:rFonts w:asciiTheme="minorHAnsi" w:hAnsiTheme="minorHAnsi"/>
        </w:rPr>
        <w:t xml:space="preserve">The collaboration was motivated by a growing awareness that while experiential learning, or “learning by doing”, is an increasingly popular teaching methodology in higher education, it is often limited to teaching methodological skills through, for example, guided fieldwork and interview practices. Theories, concepts, and ideas that scholars propose to understand contemporary life often remain abstract. Moreover, there is little discussion about how what is taught can be made relevant, applied, and communicated outside the classroom settings. </w:t>
      </w:r>
    </w:p>
    <w:p w14:paraId="221AB626" w14:textId="18DC17AA" w:rsidR="00AB1182" w:rsidRDefault="005B0115" w:rsidP="009636D3">
      <w:pPr>
        <w:ind w:firstLine="0"/>
        <w:jc w:val="left"/>
        <w:rPr>
          <w:rFonts w:asciiTheme="minorHAnsi" w:hAnsiTheme="minorHAnsi"/>
        </w:rPr>
      </w:pPr>
      <w:r w:rsidRPr="005B0115">
        <w:rPr>
          <w:rFonts w:asciiTheme="minorHAnsi" w:hAnsiTheme="minorHAnsi"/>
        </w:rPr>
        <w:t>Currently, the students are developing a framework for creating multimodal stories with GAITs to explore the idea of creativity in the age of AI while, at the same time, being attuned to various stereotypical socio-cultural representations embedded in these tools. In this workshop, the PGT students will take the teaching role to introduce their work and invite the Warwick PGR teaching community to reflect on their teaching experiences with the help of various GAITs through storytelling.</w:t>
      </w:r>
    </w:p>
    <w:p w14:paraId="0E3BE8EE" w14:textId="77777777" w:rsidR="005B0115" w:rsidRDefault="005B0115" w:rsidP="009636D3">
      <w:pPr>
        <w:ind w:firstLine="0"/>
        <w:jc w:val="left"/>
        <w:rPr>
          <w:rFonts w:asciiTheme="minorHAnsi" w:hAnsiTheme="minorHAnsi"/>
        </w:rPr>
      </w:pPr>
    </w:p>
    <w:p w14:paraId="1C48C7B6" w14:textId="78CCE18C" w:rsidR="00ED7D34" w:rsidRDefault="00947DE3" w:rsidP="009636D3">
      <w:pPr>
        <w:ind w:firstLine="0"/>
        <w:jc w:val="left"/>
        <w:rPr>
          <w:rFonts w:asciiTheme="minorHAnsi" w:hAnsiTheme="minorHAnsi"/>
        </w:rPr>
      </w:pPr>
      <w:r w:rsidRPr="00145F4E">
        <w:rPr>
          <w:rFonts w:asciiTheme="minorHAnsi" w:hAnsiTheme="minorHAnsi"/>
          <w:b/>
          <w:bCs/>
          <w:i/>
          <w:iCs/>
        </w:rPr>
        <w:lastRenderedPageBreak/>
        <w:t>‘Bringing a student perspective into teaching: renovating a module for the school of engineering’</w:t>
      </w:r>
      <w:r w:rsidRPr="00947DE3">
        <w:rPr>
          <w:rFonts w:asciiTheme="minorHAnsi" w:hAnsiTheme="minorHAnsi"/>
        </w:rPr>
        <w:t xml:space="preserve"> </w:t>
      </w:r>
      <w:r>
        <w:rPr>
          <w:rFonts w:asciiTheme="minorHAnsi" w:hAnsiTheme="minorHAnsi"/>
        </w:rPr>
        <w:t xml:space="preserve">– </w:t>
      </w:r>
      <w:r w:rsidRPr="00947DE3">
        <w:rPr>
          <w:rFonts w:asciiTheme="minorHAnsi" w:hAnsiTheme="minorHAnsi"/>
        </w:rPr>
        <w:t xml:space="preserve">Ines </w:t>
      </w:r>
      <w:proofErr w:type="spellStart"/>
      <w:r w:rsidRPr="00947DE3">
        <w:rPr>
          <w:rFonts w:asciiTheme="minorHAnsi" w:hAnsiTheme="minorHAnsi"/>
        </w:rPr>
        <w:t>Carotti</w:t>
      </w:r>
      <w:proofErr w:type="spellEnd"/>
      <w:r w:rsidRPr="00947DE3">
        <w:rPr>
          <w:rFonts w:asciiTheme="minorHAnsi" w:hAnsiTheme="minorHAnsi"/>
        </w:rPr>
        <w:t>, Faculty of Science, Engineering and Medicine</w:t>
      </w:r>
    </w:p>
    <w:p w14:paraId="4A27CEFE" w14:textId="238D5269" w:rsidR="00145F4E" w:rsidRDefault="00AB1182" w:rsidP="009636D3">
      <w:pPr>
        <w:ind w:firstLine="0"/>
        <w:jc w:val="left"/>
        <w:rPr>
          <w:rFonts w:asciiTheme="minorHAnsi" w:hAnsiTheme="minorHAnsi"/>
        </w:rPr>
      </w:pPr>
      <w:r w:rsidRPr="00AB1182">
        <w:rPr>
          <w:rFonts w:asciiTheme="minorHAnsi" w:hAnsiTheme="minorHAnsi"/>
        </w:rPr>
        <w:t>A personal and pedagogical reflection on moving from overwhelmed GTA to confident mentor and co-designer of an engineering module. By aligning teaching with research, setting boundaries, and fostering student ownership, I learned that intentional teaching doesn’t just educate — it transforms the teacher too.</w:t>
      </w:r>
    </w:p>
    <w:p w14:paraId="05C44F6C" w14:textId="77777777" w:rsidR="00AB1182" w:rsidRDefault="00AB1182" w:rsidP="009636D3">
      <w:pPr>
        <w:ind w:firstLine="0"/>
        <w:jc w:val="left"/>
        <w:rPr>
          <w:rFonts w:asciiTheme="minorHAnsi" w:hAnsiTheme="minorHAnsi"/>
        </w:rPr>
      </w:pPr>
    </w:p>
    <w:p w14:paraId="08A8DD85" w14:textId="6CDCD29E" w:rsidR="00145F4E" w:rsidRPr="00145F4E" w:rsidRDefault="00631A33" w:rsidP="009636D3">
      <w:pPr>
        <w:ind w:firstLine="0"/>
        <w:jc w:val="left"/>
        <w:rPr>
          <w:rFonts w:asciiTheme="minorHAnsi" w:hAnsiTheme="minorHAnsi"/>
        </w:rPr>
      </w:pPr>
      <w:r w:rsidRPr="00CF0D08">
        <w:rPr>
          <w:rFonts w:asciiTheme="minorHAnsi" w:hAnsiTheme="minorHAnsi"/>
          <w:b/>
          <w:bCs/>
          <w:i/>
          <w:iCs/>
        </w:rPr>
        <w:t>‘An Active Learning Approach for Applied Engineering Concepts’</w:t>
      </w:r>
      <w:r>
        <w:rPr>
          <w:rFonts w:asciiTheme="minorHAnsi" w:hAnsiTheme="minorHAnsi"/>
        </w:rPr>
        <w:t xml:space="preserve"> – </w:t>
      </w:r>
      <w:r w:rsidRPr="00631A33">
        <w:rPr>
          <w:rFonts w:asciiTheme="minorHAnsi" w:hAnsiTheme="minorHAnsi"/>
        </w:rPr>
        <w:t>Maryam Sattari, Faculty of Science, Engineering and Medicine</w:t>
      </w:r>
      <w:r>
        <w:rPr>
          <w:rFonts w:asciiTheme="minorHAnsi" w:hAnsiTheme="minorHAnsi"/>
        </w:rPr>
        <w:t xml:space="preserve"> (</w:t>
      </w:r>
      <w:r w:rsidRPr="00631A33">
        <w:rPr>
          <w:rFonts w:asciiTheme="minorHAnsi" w:hAnsiTheme="minorHAnsi"/>
        </w:rPr>
        <w:t>she/her</w:t>
      </w:r>
      <w:r>
        <w:rPr>
          <w:rFonts w:asciiTheme="minorHAnsi" w:hAnsiTheme="minorHAnsi"/>
        </w:rPr>
        <w:t>)</w:t>
      </w:r>
    </w:p>
    <w:p w14:paraId="5146F582" w14:textId="77777777" w:rsidR="00145F4E" w:rsidRPr="00145F4E" w:rsidRDefault="00145F4E" w:rsidP="009636D3">
      <w:pPr>
        <w:ind w:firstLine="0"/>
        <w:jc w:val="left"/>
        <w:rPr>
          <w:rFonts w:asciiTheme="minorHAnsi" w:hAnsiTheme="minorHAnsi"/>
        </w:rPr>
      </w:pPr>
      <w:r w:rsidRPr="00145F4E">
        <w:rPr>
          <w:rFonts w:asciiTheme="minorHAnsi" w:hAnsiTheme="minorHAnsi"/>
        </w:rPr>
        <w:t>This presentation evaluates an active learning approach in a first-year Engineering module, where students worked in structured groups with defined roles to solve problems collaboratively. Polling software provided real-time feedback before and after tasks. The method aimed to shift students from memorizing facts to applying knowledge in practical contexts. Results show improved engagement, problem-solving skills, and inclusivity. Feedback and polling data suggest the approach enhances understanding and participation. This session highlights how active learning and technology can enrich Engineering education and foster a more interactive, inclusive environment.</w:t>
      </w:r>
    </w:p>
    <w:p w14:paraId="40B59A77" w14:textId="77777777" w:rsidR="00CF0D08" w:rsidRDefault="00CF0D08" w:rsidP="009636D3">
      <w:pPr>
        <w:ind w:firstLine="0"/>
        <w:jc w:val="left"/>
        <w:rPr>
          <w:rFonts w:asciiTheme="minorHAnsi" w:hAnsiTheme="minorHAnsi"/>
        </w:rPr>
      </w:pPr>
    </w:p>
    <w:p w14:paraId="1F557ABD" w14:textId="60E7B436" w:rsidR="00631A33" w:rsidRPr="00FB7C2D" w:rsidRDefault="00631A33" w:rsidP="009636D3">
      <w:pPr>
        <w:ind w:firstLine="0"/>
        <w:jc w:val="left"/>
        <w:rPr>
          <w:rFonts w:asciiTheme="minorHAnsi" w:hAnsiTheme="minorHAnsi"/>
        </w:rPr>
      </w:pPr>
      <w:r w:rsidRPr="00CF0D08">
        <w:rPr>
          <w:rFonts w:asciiTheme="minorHAnsi" w:hAnsiTheme="minorHAnsi"/>
          <w:b/>
          <w:bCs/>
          <w:i/>
          <w:iCs/>
        </w:rPr>
        <w:t xml:space="preserve"> </w:t>
      </w:r>
      <w:r w:rsidR="00C4543B" w:rsidRPr="00CF0D08">
        <w:rPr>
          <w:rFonts w:asciiTheme="minorHAnsi" w:hAnsiTheme="minorHAnsi"/>
          <w:b/>
          <w:bCs/>
          <w:i/>
          <w:iCs/>
        </w:rPr>
        <w:t>‘Between Uniform and University: Navigating Positionality as a Law Enforcement Officer and Educator in Higher Education’</w:t>
      </w:r>
      <w:r w:rsidR="00C4543B">
        <w:rPr>
          <w:rFonts w:asciiTheme="minorHAnsi" w:hAnsiTheme="minorHAnsi"/>
        </w:rPr>
        <w:t xml:space="preserve"> – </w:t>
      </w:r>
      <w:r w:rsidR="00C4543B" w:rsidRPr="00C4543B">
        <w:rPr>
          <w:rFonts w:asciiTheme="minorHAnsi" w:hAnsiTheme="minorHAnsi"/>
        </w:rPr>
        <w:t xml:space="preserve">Md Emran </w:t>
      </w:r>
      <w:proofErr w:type="spellStart"/>
      <w:r w:rsidR="00C4543B" w:rsidRPr="00C4543B">
        <w:rPr>
          <w:rFonts w:asciiTheme="minorHAnsi" w:hAnsiTheme="minorHAnsi"/>
        </w:rPr>
        <w:t>Ahmmed</w:t>
      </w:r>
      <w:proofErr w:type="spellEnd"/>
      <w:r w:rsidR="00C4543B" w:rsidRPr="00C4543B">
        <w:rPr>
          <w:rFonts w:asciiTheme="minorHAnsi" w:hAnsiTheme="minorHAnsi"/>
        </w:rPr>
        <w:t>, Faculty of Social Sciences</w:t>
      </w:r>
    </w:p>
    <w:p w14:paraId="7D63500E" w14:textId="77777777" w:rsidR="00CF0D08" w:rsidRPr="00CF0D08" w:rsidRDefault="00CF0D08" w:rsidP="009636D3">
      <w:pPr>
        <w:jc w:val="left"/>
        <w:rPr>
          <w:rFonts w:asciiTheme="minorHAnsi" w:hAnsiTheme="minorHAnsi"/>
        </w:rPr>
      </w:pPr>
      <w:r w:rsidRPr="00CF0D08">
        <w:rPr>
          <w:rFonts w:asciiTheme="minorHAnsi" w:hAnsiTheme="minorHAnsi"/>
        </w:rPr>
        <w:t>As a police officer and doctoral researcher, I reflect on how my dual identity shapes teaching in higher education. Using critical pedagogy and reflexive positionality, I explore how authority, trust, and participation shift in class, and how hybrid roles can enrich cross-cultural learning.</w:t>
      </w:r>
    </w:p>
    <w:p w14:paraId="45F64084" w14:textId="77777777" w:rsidR="00FB7C2D" w:rsidRDefault="00FB7C2D" w:rsidP="009636D3">
      <w:pPr>
        <w:jc w:val="left"/>
      </w:pPr>
    </w:p>
    <w:sectPr w:rsidR="00FB7C2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Serif">
    <w:charset w:val="00"/>
    <w:family w:val="roman"/>
    <w:pitch w:val="variable"/>
    <w:sig w:usb0="A11526FF" w:usb1="C000ECFB" w:usb2="0001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FB7C2D"/>
    <w:rsid w:val="000A5EA9"/>
    <w:rsid w:val="000A6263"/>
    <w:rsid w:val="000C7616"/>
    <w:rsid w:val="00145F4E"/>
    <w:rsid w:val="001865EC"/>
    <w:rsid w:val="001F3990"/>
    <w:rsid w:val="0024520B"/>
    <w:rsid w:val="002905B3"/>
    <w:rsid w:val="002C26E2"/>
    <w:rsid w:val="002D23BA"/>
    <w:rsid w:val="003564CE"/>
    <w:rsid w:val="003668C3"/>
    <w:rsid w:val="003B12B2"/>
    <w:rsid w:val="003D2D8F"/>
    <w:rsid w:val="004C6DA0"/>
    <w:rsid w:val="004F7216"/>
    <w:rsid w:val="00517B69"/>
    <w:rsid w:val="00535CF1"/>
    <w:rsid w:val="00551DA2"/>
    <w:rsid w:val="00555C7E"/>
    <w:rsid w:val="005B0115"/>
    <w:rsid w:val="00630FF3"/>
    <w:rsid w:val="00631A33"/>
    <w:rsid w:val="006603E3"/>
    <w:rsid w:val="00664604"/>
    <w:rsid w:val="006A4312"/>
    <w:rsid w:val="006F3FC5"/>
    <w:rsid w:val="00706878"/>
    <w:rsid w:val="00752FC8"/>
    <w:rsid w:val="00794C75"/>
    <w:rsid w:val="007A5E9C"/>
    <w:rsid w:val="007B4A75"/>
    <w:rsid w:val="007C5DA8"/>
    <w:rsid w:val="007F6110"/>
    <w:rsid w:val="00801FFA"/>
    <w:rsid w:val="00862C2E"/>
    <w:rsid w:val="0087269C"/>
    <w:rsid w:val="00882B6C"/>
    <w:rsid w:val="008A2FD5"/>
    <w:rsid w:val="008C5546"/>
    <w:rsid w:val="008E2F0D"/>
    <w:rsid w:val="00947DE3"/>
    <w:rsid w:val="009636D3"/>
    <w:rsid w:val="009943CA"/>
    <w:rsid w:val="009B0486"/>
    <w:rsid w:val="009F6BA0"/>
    <w:rsid w:val="00A0278F"/>
    <w:rsid w:val="00A22A10"/>
    <w:rsid w:val="00A37C94"/>
    <w:rsid w:val="00A452EB"/>
    <w:rsid w:val="00A70CE1"/>
    <w:rsid w:val="00AB1182"/>
    <w:rsid w:val="00AE33B8"/>
    <w:rsid w:val="00B91715"/>
    <w:rsid w:val="00B9234B"/>
    <w:rsid w:val="00B976EA"/>
    <w:rsid w:val="00BB112F"/>
    <w:rsid w:val="00BD016E"/>
    <w:rsid w:val="00BF24FF"/>
    <w:rsid w:val="00C2192C"/>
    <w:rsid w:val="00C2524C"/>
    <w:rsid w:val="00C37CAC"/>
    <w:rsid w:val="00C4543B"/>
    <w:rsid w:val="00C9689B"/>
    <w:rsid w:val="00CA0679"/>
    <w:rsid w:val="00CB0B7F"/>
    <w:rsid w:val="00CF0D08"/>
    <w:rsid w:val="00D0713C"/>
    <w:rsid w:val="00DA55B9"/>
    <w:rsid w:val="00DB3BB0"/>
    <w:rsid w:val="00E032D3"/>
    <w:rsid w:val="00E227EE"/>
    <w:rsid w:val="00EB26CD"/>
    <w:rsid w:val="00ED3343"/>
    <w:rsid w:val="00ED7D34"/>
    <w:rsid w:val="00F076E4"/>
    <w:rsid w:val="00FA10EE"/>
    <w:rsid w:val="00FB7C2D"/>
    <w:rsid w:val="00FE35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C75A4A"/>
  <w15:chartTrackingRefBased/>
  <w15:docId w15:val="{1068E600-F345-4CEF-9AB4-291D6C69E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Academic"/>
    <w:qFormat/>
    <w:rsid w:val="00FA10EE"/>
    <w:pPr>
      <w:spacing w:after="100" w:afterAutospacing="1" w:line="360" w:lineRule="auto"/>
      <w:ind w:firstLine="284"/>
      <w:jc w:val="both"/>
    </w:pPr>
    <w:rPr>
      <w:rFonts w:ascii="Aptos Serif" w:hAnsi="Aptos Serif"/>
      <w:kern w:val="0"/>
    </w:rPr>
  </w:style>
  <w:style w:type="paragraph" w:styleId="Heading1">
    <w:name w:val="heading 1"/>
    <w:aliases w:val="Chapter Titles"/>
    <w:next w:val="Normal"/>
    <w:link w:val="Heading1Char"/>
    <w:uiPriority w:val="9"/>
    <w:qFormat/>
    <w:rsid w:val="007A5E9C"/>
    <w:pPr>
      <w:keepNext/>
      <w:keepLines/>
      <w:spacing w:before="240" w:after="0" w:line="360" w:lineRule="auto"/>
      <w:jc w:val="both"/>
      <w:outlineLvl w:val="0"/>
    </w:pPr>
    <w:rPr>
      <w:rFonts w:ascii="Aptos Serif" w:eastAsiaTheme="majorEastAsia" w:hAnsi="Aptos Serif" w:cstheme="majorBidi"/>
      <w:b/>
      <w:i/>
      <w:kern w:val="0"/>
      <w:sz w:val="26"/>
      <w:szCs w:val="32"/>
      <w14:ligatures w14:val="none"/>
    </w:rPr>
  </w:style>
  <w:style w:type="paragraph" w:styleId="Heading2">
    <w:name w:val="heading 2"/>
    <w:aliases w:val="Academic Heading 2"/>
    <w:next w:val="Normal"/>
    <w:link w:val="Heading2Char"/>
    <w:uiPriority w:val="9"/>
    <w:unhideWhenUsed/>
    <w:qFormat/>
    <w:rsid w:val="0087269C"/>
    <w:pPr>
      <w:keepNext/>
      <w:keepLines/>
      <w:spacing w:before="160" w:after="80" w:line="279" w:lineRule="auto"/>
      <w:outlineLvl w:val="1"/>
    </w:pPr>
    <w:rPr>
      <w:rFonts w:ascii="Aptos Serif" w:eastAsiaTheme="majorEastAsia" w:hAnsi="Aptos Serif" w:cstheme="majorBidi"/>
      <w:b/>
      <w:szCs w:val="32"/>
    </w:rPr>
  </w:style>
  <w:style w:type="paragraph" w:styleId="Heading3">
    <w:name w:val="heading 3"/>
    <w:aliases w:val="Subsections"/>
    <w:next w:val="Normal"/>
    <w:link w:val="Heading3Char"/>
    <w:uiPriority w:val="9"/>
    <w:unhideWhenUsed/>
    <w:qFormat/>
    <w:rsid w:val="00F076E4"/>
    <w:pPr>
      <w:keepNext/>
      <w:keepLines/>
      <w:spacing w:before="160" w:after="80"/>
      <w:ind w:firstLine="284"/>
      <w:outlineLvl w:val="2"/>
    </w:pPr>
    <w:rPr>
      <w:rFonts w:ascii="Aptos Serif" w:eastAsiaTheme="majorEastAsia" w:hAnsi="Aptos Serif" w:cstheme="majorBidi"/>
      <w:b/>
      <w:kern w:val="0"/>
      <w:szCs w:val="28"/>
    </w:rPr>
  </w:style>
  <w:style w:type="paragraph" w:styleId="Heading4">
    <w:name w:val="heading 4"/>
    <w:basedOn w:val="Normal"/>
    <w:next w:val="Normal"/>
    <w:link w:val="Heading4Char"/>
    <w:uiPriority w:val="9"/>
    <w:semiHidden/>
    <w:unhideWhenUsed/>
    <w:qFormat/>
    <w:rsid w:val="00FB7C2D"/>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FB7C2D"/>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FB7C2D"/>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FB7C2D"/>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FB7C2D"/>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FB7C2D"/>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Academic Heading 2 Char"/>
    <w:basedOn w:val="DefaultParagraphFont"/>
    <w:link w:val="Heading2"/>
    <w:uiPriority w:val="9"/>
    <w:rsid w:val="0087269C"/>
    <w:rPr>
      <w:rFonts w:ascii="Aptos Serif" w:eastAsiaTheme="majorEastAsia" w:hAnsi="Aptos Serif" w:cstheme="majorBidi"/>
      <w:b/>
      <w:szCs w:val="32"/>
    </w:rPr>
  </w:style>
  <w:style w:type="character" w:customStyle="1" w:styleId="Heading1Char">
    <w:name w:val="Heading 1 Char"/>
    <w:aliases w:val="Chapter Titles Char"/>
    <w:basedOn w:val="DefaultParagraphFont"/>
    <w:link w:val="Heading1"/>
    <w:uiPriority w:val="9"/>
    <w:rsid w:val="007A5E9C"/>
    <w:rPr>
      <w:rFonts w:ascii="Aptos Serif" w:eastAsiaTheme="majorEastAsia" w:hAnsi="Aptos Serif" w:cstheme="majorBidi"/>
      <w:b/>
      <w:i/>
      <w:kern w:val="0"/>
      <w:sz w:val="26"/>
      <w:szCs w:val="32"/>
      <w14:ligatures w14:val="none"/>
    </w:rPr>
  </w:style>
  <w:style w:type="character" w:customStyle="1" w:styleId="Heading3Char">
    <w:name w:val="Heading 3 Char"/>
    <w:aliases w:val="Subsections Char"/>
    <w:basedOn w:val="DefaultParagraphFont"/>
    <w:link w:val="Heading3"/>
    <w:uiPriority w:val="9"/>
    <w:rsid w:val="00F076E4"/>
    <w:rPr>
      <w:rFonts w:ascii="Aptos Serif" w:eastAsiaTheme="majorEastAsia" w:hAnsi="Aptos Serif" w:cstheme="majorBidi"/>
      <w:b/>
      <w:kern w:val="0"/>
      <w:szCs w:val="28"/>
    </w:rPr>
  </w:style>
  <w:style w:type="paragraph" w:customStyle="1" w:styleId="ThesisFootnotes">
    <w:name w:val="Thesis Footnotes"/>
    <w:link w:val="ThesisFootnotesChar"/>
    <w:qFormat/>
    <w:rsid w:val="003668C3"/>
    <w:pPr>
      <w:spacing w:after="120" w:line="240" w:lineRule="auto"/>
    </w:pPr>
    <w:rPr>
      <w:rFonts w:ascii="Aptos Serif" w:hAnsi="Aptos Serif"/>
      <w:kern w:val="0"/>
      <w:sz w:val="20"/>
      <w:szCs w:val="20"/>
    </w:rPr>
  </w:style>
  <w:style w:type="character" w:customStyle="1" w:styleId="ThesisFootnotesChar">
    <w:name w:val="Thesis Footnotes Char"/>
    <w:basedOn w:val="DefaultParagraphFont"/>
    <w:link w:val="ThesisFootnotes"/>
    <w:rsid w:val="003668C3"/>
    <w:rPr>
      <w:rFonts w:ascii="Aptos Serif" w:hAnsi="Aptos Serif"/>
      <w:kern w:val="0"/>
      <w:sz w:val="20"/>
      <w:szCs w:val="20"/>
    </w:rPr>
  </w:style>
  <w:style w:type="character" w:customStyle="1" w:styleId="Heading4Char">
    <w:name w:val="Heading 4 Char"/>
    <w:basedOn w:val="DefaultParagraphFont"/>
    <w:link w:val="Heading4"/>
    <w:uiPriority w:val="9"/>
    <w:semiHidden/>
    <w:rsid w:val="00FB7C2D"/>
    <w:rPr>
      <w:rFonts w:eastAsiaTheme="majorEastAsia" w:cstheme="majorBidi"/>
      <w:i/>
      <w:iCs/>
      <w:color w:val="0F4761" w:themeColor="accent1" w:themeShade="BF"/>
      <w:kern w:val="0"/>
    </w:rPr>
  </w:style>
  <w:style w:type="character" w:customStyle="1" w:styleId="Heading5Char">
    <w:name w:val="Heading 5 Char"/>
    <w:basedOn w:val="DefaultParagraphFont"/>
    <w:link w:val="Heading5"/>
    <w:uiPriority w:val="9"/>
    <w:semiHidden/>
    <w:rsid w:val="00FB7C2D"/>
    <w:rPr>
      <w:rFonts w:eastAsiaTheme="majorEastAsia" w:cstheme="majorBidi"/>
      <w:color w:val="0F4761" w:themeColor="accent1" w:themeShade="BF"/>
      <w:kern w:val="0"/>
    </w:rPr>
  </w:style>
  <w:style w:type="character" w:customStyle="1" w:styleId="Heading6Char">
    <w:name w:val="Heading 6 Char"/>
    <w:basedOn w:val="DefaultParagraphFont"/>
    <w:link w:val="Heading6"/>
    <w:uiPriority w:val="9"/>
    <w:semiHidden/>
    <w:rsid w:val="00FB7C2D"/>
    <w:rPr>
      <w:rFonts w:eastAsiaTheme="majorEastAsia" w:cstheme="majorBidi"/>
      <w:i/>
      <w:iCs/>
      <w:color w:val="595959" w:themeColor="text1" w:themeTint="A6"/>
      <w:kern w:val="0"/>
    </w:rPr>
  </w:style>
  <w:style w:type="character" w:customStyle="1" w:styleId="Heading7Char">
    <w:name w:val="Heading 7 Char"/>
    <w:basedOn w:val="DefaultParagraphFont"/>
    <w:link w:val="Heading7"/>
    <w:uiPriority w:val="9"/>
    <w:semiHidden/>
    <w:rsid w:val="00FB7C2D"/>
    <w:rPr>
      <w:rFonts w:eastAsiaTheme="majorEastAsia" w:cstheme="majorBidi"/>
      <w:color w:val="595959" w:themeColor="text1" w:themeTint="A6"/>
      <w:kern w:val="0"/>
    </w:rPr>
  </w:style>
  <w:style w:type="character" w:customStyle="1" w:styleId="Heading8Char">
    <w:name w:val="Heading 8 Char"/>
    <w:basedOn w:val="DefaultParagraphFont"/>
    <w:link w:val="Heading8"/>
    <w:uiPriority w:val="9"/>
    <w:semiHidden/>
    <w:rsid w:val="00FB7C2D"/>
    <w:rPr>
      <w:rFonts w:eastAsiaTheme="majorEastAsia" w:cstheme="majorBidi"/>
      <w:i/>
      <w:iCs/>
      <w:color w:val="272727" w:themeColor="text1" w:themeTint="D8"/>
      <w:kern w:val="0"/>
    </w:rPr>
  </w:style>
  <w:style w:type="character" w:customStyle="1" w:styleId="Heading9Char">
    <w:name w:val="Heading 9 Char"/>
    <w:basedOn w:val="DefaultParagraphFont"/>
    <w:link w:val="Heading9"/>
    <w:uiPriority w:val="9"/>
    <w:semiHidden/>
    <w:rsid w:val="00FB7C2D"/>
    <w:rPr>
      <w:rFonts w:eastAsiaTheme="majorEastAsia" w:cstheme="majorBidi"/>
      <w:color w:val="272727" w:themeColor="text1" w:themeTint="D8"/>
      <w:kern w:val="0"/>
    </w:rPr>
  </w:style>
  <w:style w:type="paragraph" w:styleId="Title">
    <w:name w:val="Title"/>
    <w:basedOn w:val="Normal"/>
    <w:next w:val="Normal"/>
    <w:link w:val="TitleChar"/>
    <w:uiPriority w:val="10"/>
    <w:qFormat/>
    <w:rsid w:val="00FB7C2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B7C2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B7C2D"/>
    <w:pPr>
      <w:numPr>
        <w:ilvl w:val="1"/>
      </w:numPr>
      <w:spacing w:after="160"/>
      <w:ind w:firstLine="284"/>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B7C2D"/>
    <w:rPr>
      <w:rFonts w:eastAsiaTheme="majorEastAsia" w:cstheme="majorBidi"/>
      <w:color w:val="595959" w:themeColor="text1" w:themeTint="A6"/>
      <w:spacing w:val="15"/>
      <w:kern w:val="0"/>
      <w:sz w:val="28"/>
      <w:szCs w:val="28"/>
    </w:rPr>
  </w:style>
  <w:style w:type="paragraph" w:styleId="Quote">
    <w:name w:val="Quote"/>
    <w:basedOn w:val="Normal"/>
    <w:next w:val="Normal"/>
    <w:link w:val="QuoteChar"/>
    <w:uiPriority w:val="29"/>
    <w:qFormat/>
    <w:rsid w:val="00FB7C2D"/>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FB7C2D"/>
    <w:rPr>
      <w:rFonts w:ascii="Aptos Serif" w:hAnsi="Aptos Serif"/>
      <w:i/>
      <w:iCs/>
      <w:color w:val="404040" w:themeColor="text1" w:themeTint="BF"/>
      <w:kern w:val="0"/>
    </w:rPr>
  </w:style>
  <w:style w:type="paragraph" w:styleId="ListParagraph">
    <w:name w:val="List Paragraph"/>
    <w:basedOn w:val="Normal"/>
    <w:uiPriority w:val="34"/>
    <w:qFormat/>
    <w:rsid w:val="00FB7C2D"/>
    <w:pPr>
      <w:ind w:left="720"/>
      <w:contextualSpacing/>
    </w:pPr>
  </w:style>
  <w:style w:type="character" w:styleId="IntenseEmphasis">
    <w:name w:val="Intense Emphasis"/>
    <w:basedOn w:val="DefaultParagraphFont"/>
    <w:uiPriority w:val="21"/>
    <w:qFormat/>
    <w:rsid w:val="00FB7C2D"/>
    <w:rPr>
      <w:i/>
      <w:iCs/>
      <w:color w:val="0F4761" w:themeColor="accent1" w:themeShade="BF"/>
    </w:rPr>
  </w:style>
  <w:style w:type="paragraph" w:styleId="IntenseQuote">
    <w:name w:val="Intense Quote"/>
    <w:basedOn w:val="Normal"/>
    <w:next w:val="Normal"/>
    <w:link w:val="IntenseQuoteChar"/>
    <w:uiPriority w:val="30"/>
    <w:qFormat/>
    <w:rsid w:val="00FB7C2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B7C2D"/>
    <w:rPr>
      <w:rFonts w:ascii="Aptos Serif" w:hAnsi="Aptos Serif"/>
      <w:i/>
      <w:iCs/>
      <w:color w:val="0F4761" w:themeColor="accent1" w:themeShade="BF"/>
      <w:kern w:val="0"/>
    </w:rPr>
  </w:style>
  <w:style w:type="character" w:styleId="IntenseReference">
    <w:name w:val="Intense Reference"/>
    <w:basedOn w:val="DefaultParagraphFont"/>
    <w:uiPriority w:val="32"/>
    <w:qFormat/>
    <w:rsid w:val="00FB7C2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86766528">
      <w:bodyDiv w:val="1"/>
      <w:marLeft w:val="0"/>
      <w:marRight w:val="0"/>
      <w:marTop w:val="0"/>
      <w:marBottom w:val="0"/>
      <w:divBdr>
        <w:top w:val="none" w:sz="0" w:space="0" w:color="auto"/>
        <w:left w:val="none" w:sz="0" w:space="0" w:color="auto"/>
        <w:bottom w:val="none" w:sz="0" w:space="0" w:color="auto"/>
        <w:right w:val="none" w:sz="0" w:space="0" w:color="auto"/>
      </w:divBdr>
    </w:div>
    <w:div w:id="1308781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EB4E16916AD0F42A9854F579BC712E2" ma:contentTypeVersion="11" ma:contentTypeDescription="Create a new document." ma:contentTypeScope="" ma:versionID="37f779265c3ab1ca52baf238dafc8cee">
  <xsd:schema xmlns:xsd="http://www.w3.org/2001/XMLSchema" xmlns:xs="http://www.w3.org/2001/XMLSchema" xmlns:p="http://schemas.microsoft.com/office/2006/metadata/properties" xmlns:ns2="256f917d-d370-42da-a1f3-b4a37fee70cf" xmlns:ns3="f1ff436e-3d20-48ea-aba1-fcebc2efc67a" targetNamespace="http://schemas.microsoft.com/office/2006/metadata/properties" ma:root="true" ma:fieldsID="f42c5a55ca0e0c2aedbb5480f73b8543" ns2:_="" ns3:_="">
    <xsd:import namespace="256f917d-d370-42da-a1f3-b4a37fee70cf"/>
    <xsd:import namespace="f1ff436e-3d20-48ea-aba1-fcebc2efc67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6f917d-d370-42da-a1f3-b4a37fee70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1ff436e-3d20-48ea-aba1-fcebc2efc67a"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36429081-e677-4a4b-9f3c-dec03c066bef}" ma:internalName="TaxCatchAll" ma:showField="CatchAllData" ma:web="f1ff436e-3d20-48ea-aba1-fcebc2efc67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1ff436e-3d20-48ea-aba1-fcebc2efc67a" xsi:nil="true"/>
    <lcf76f155ced4ddcb4097134ff3c332f xmlns="256f917d-d370-42da-a1f3-b4a37fee70cf">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A3C7A80-99A9-4421-8CFF-E41DAA75EC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6f917d-d370-42da-a1f3-b4a37fee70cf"/>
    <ds:schemaRef ds:uri="f1ff436e-3d20-48ea-aba1-fcebc2efc6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60D2979-B1C7-462A-A89A-40F731A669AD}">
  <ds:schemaRefs>
    <ds:schemaRef ds:uri="http://schemas.microsoft.com/sharepoint/v3/contenttype/forms"/>
  </ds:schemaRefs>
</ds:datastoreItem>
</file>

<file path=customXml/itemProps3.xml><?xml version="1.0" encoding="utf-8"?>
<ds:datastoreItem xmlns:ds="http://schemas.openxmlformats.org/officeDocument/2006/customXml" ds:itemID="{38156145-D8F9-4065-8AF7-65C40F5FBDFC}">
  <ds:schemaRefs>
    <ds:schemaRef ds:uri="http://schemas.microsoft.com/office/2006/metadata/properties"/>
    <ds:schemaRef ds:uri="http://schemas.microsoft.com/office/infopath/2007/PartnerControls"/>
    <ds:schemaRef ds:uri="f1ff436e-3d20-48ea-aba1-fcebc2efc67a"/>
    <ds:schemaRef ds:uri="256f917d-d370-42da-a1f3-b4a37fee70cf"/>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10</Pages>
  <Words>3208</Words>
  <Characters>19030</Characters>
  <Application>Microsoft Office Word</Application>
  <DocSecurity>0</DocSecurity>
  <Lines>292</Lines>
  <Paragraphs>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MÜLLER-KOSMAROV, CLARISSA (PGR)</dc:creator>
  <cp:keywords/>
  <dc:description/>
  <cp:lastModifiedBy>MÜLLER-KOSMAROV, CLARISSA (PGR)</cp:lastModifiedBy>
  <cp:revision>42</cp:revision>
  <dcterms:created xsi:type="dcterms:W3CDTF">2025-06-18T12:28:00Z</dcterms:created>
  <dcterms:modified xsi:type="dcterms:W3CDTF">2025-06-18T14:36:00Z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b4aa3e30-a9c9-4752-a522-f4bedaa91f15</vt:lpwstr>
  </property>
  <property fmtid="{D5CDD505-2E9C-101B-9397-08002B2CF9AE}" pid="3" name="ContentTypeId">
    <vt:lpwstr>0x010100DEB4E16916AD0F42A9854F579BC712E2</vt:lpwstr>
  </property>
  <property fmtid="{D5CDD505-2E9C-101B-9397-08002B2CF9AE}" pid="4" name="MediaServiceImageTags">
    <vt:lpwstr/>
  </property>
</Properties>
</file>