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10125" w14:textId="25061841" w:rsidR="0000000E" w:rsidRDefault="0000000E" w:rsidP="00BC563B">
      <w:pPr>
        <w:tabs>
          <w:tab w:val="left" w:pos="426"/>
          <w:tab w:val="left" w:pos="851"/>
        </w:tabs>
        <w:jc w:val="center"/>
        <w:rPr>
          <w:rFonts w:ascii="Arial" w:hAnsi="Arial" w:cs="Arial"/>
          <w:b/>
          <w:bCs/>
          <w:sz w:val="24"/>
          <w:szCs w:val="24"/>
        </w:rPr>
      </w:pPr>
      <w:r w:rsidRPr="00134428">
        <w:rPr>
          <w:rFonts w:ascii="Arial" w:hAnsi="Arial" w:cs="Arial"/>
          <w:b/>
          <w:bCs/>
          <w:sz w:val="24"/>
          <w:szCs w:val="24"/>
        </w:rPr>
        <w:t xml:space="preserve">Recommendations for </w:t>
      </w:r>
      <w:r w:rsidR="00FE4C8E">
        <w:rPr>
          <w:rFonts w:ascii="Arial" w:hAnsi="Arial" w:cs="Arial"/>
          <w:b/>
          <w:bCs/>
          <w:sz w:val="24"/>
          <w:szCs w:val="24"/>
        </w:rPr>
        <w:t>Academic (Study)</w:t>
      </w:r>
      <w:r w:rsidR="00E64340">
        <w:rPr>
          <w:rFonts w:ascii="Arial" w:hAnsi="Arial" w:cs="Arial"/>
          <w:b/>
          <w:bCs/>
          <w:sz w:val="24"/>
          <w:szCs w:val="24"/>
        </w:rPr>
        <w:t xml:space="preserve"> Leave </w:t>
      </w:r>
      <w:r w:rsidR="003E24E1">
        <w:rPr>
          <w:rFonts w:ascii="Arial" w:hAnsi="Arial" w:cs="Arial"/>
          <w:b/>
          <w:bCs/>
          <w:sz w:val="24"/>
          <w:szCs w:val="24"/>
        </w:rPr>
        <w:t xml:space="preserve">and Warwick Academic Returners Fellowships (WARF) </w:t>
      </w:r>
      <w:r w:rsidR="00E64340">
        <w:rPr>
          <w:rFonts w:ascii="Arial" w:hAnsi="Arial" w:cs="Arial"/>
          <w:b/>
          <w:bCs/>
          <w:sz w:val="24"/>
          <w:szCs w:val="24"/>
        </w:rPr>
        <w:t>Applications</w:t>
      </w:r>
      <w:r w:rsidR="00A60A34">
        <w:rPr>
          <w:rFonts w:ascii="Arial" w:hAnsi="Arial" w:cs="Arial"/>
          <w:b/>
          <w:bCs/>
          <w:sz w:val="24"/>
          <w:szCs w:val="24"/>
        </w:rPr>
        <w:t>:</w:t>
      </w:r>
      <w:r w:rsidR="00E64340">
        <w:rPr>
          <w:rFonts w:ascii="Arial" w:hAnsi="Arial" w:cs="Arial"/>
          <w:b/>
          <w:bCs/>
          <w:sz w:val="24"/>
          <w:szCs w:val="24"/>
        </w:rPr>
        <w:t xml:space="preserve"> </w:t>
      </w:r>
      <w:r w:rsidR="00A60A34">
        <w:rPr>
          <w:rFonts w:ascii="Arial" w:hAnsi="Arial" w:cs="Arial"/>
          <w:b/>
          <w:bCs/>
          <w:sz w:val="24"/>
          <w:szCs w:val="24"/>
        </w:rPr>
        <w:t>Teaching and Learning F</w:t>
      </w:r>
      <w:r w:rsidR="00E64340">
        <w:rPr>
          <w:rFonts w:ascii="Arial" w:hAnsi="Arial" w:cs="Arial"/>
          <w:b/>
          <w:bCs/>
          <w:sz w:val="24"/>
          <w:szCs w:val="24"/>
        </w:rPr>
        <w:t>ocused</w:t>
      </w:r>
    </w:p>
    <w:p w14:paraId="6F36CDDA" w14:textId="2B630EF1" w:rsidR="00A60A34" w:rsidRDefault="00FE4C8E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Academic</w:t>
      </w:r>
      <w:r w:rsidR="00E95B41">
        <w:rPr>
          <w:rFonts w:ascii="Arial" w:hAnsi="Arial" w:cs="Arial"/>
          <w:sz w:val="24"/>
          <w:szCs w:val="24"/>
        </w:rPr>
        <w:t xml:space="preserve"> leave is intended for colleagues to work on substantial projects, sufficiently large that the work cannot be completed alongside usual work commitments. Applicants need to be able to demonstrate </w:t>
      </w:r>
      <w:r w:rsidR="00A60A34">
        <w:rPr>
          <w:rFonts w:ascii="Arial" w:hAnsi="Arial" w:cs="Arial"/>
          <w:sz w:val="24"/>
          <w:szCs w:val="24"/>
        </w:rPr>
        <w:t xml:space="preserve">that the proposed work warrants </w:t>
      </w:r>
      <w:r>
        <w:rPr>
          <w:rFonts w:ascii="Arial" w:hAnsi="Arial" w:cs="Arial"/>
          <w:sz w:val="24"/>
          <w:szCs w:val="24"/>
        </w:rPr>
        <w:t>academic</w:t>
      </w:r>
      <w:r w:rsidR="00A60A34">
        <w:rPr>
          <w:rFonts w:ascii="Arial" w:hAnsi="Arial" w:cs="Arial"/>
          <w:sz w:val="24"/>
          <w:szCs w:val="24"/>
        </w:rPr>
        <w:t xml:space="preserve"> leave rather than a</w:t>
      </w:r>
      <w:r w:rsidR="00BD7219">
        <w:rPr>
          <w:rFonts w:ascii="Arial" w:hAnsi="Arial" w:cs="Arial"/>
          <w:sz w:val="24"/>
          <w:szCs w:val="24"/>
        </w:rPr>
        <w:t xml:space="preserve"> temporary reallocation of some duties</w:t>
      </w:r>
      <w:r w:rsidR="00A60A34" w:rsidRPr="00102A7E">
        <w:rPr>
          <w:rFonts w:ascii="Arial" w:hAnsi="Arial" w:cs="Arial"/>
          <w:sz w:val="24"/>
          <w:szCs w:val="24"/>
        </w:rPr>
        <w:t xml:space="preserve">. </w:t>
      </w:r>
      <w:r w:rsidR="00102A7E" w:rsidRPr="00102A7E">
        <w:rPr>
          <w:rFonts w:ascii="Arial" w:hAnsi="Arial" w:cs="Arial"/>
          <w:color w:val="201F1E"/>
          <w:sz w:val="24"/>
          <w:szCs w:val="24"/>
          <w:shd w:val="clear" w:color="auto" w:fill="FFFFFF"/>
        </w:rPr>
        <w:t xml:space="preserve"> All staff on level FP7 and above regardless of contract are eligible to apply for </w:t>
      </w:r>
      <w:r>
        <w:rPr>
          <w:rFonts w:ascii="Arial" w:hAnsi="Arial" w:cs="Arial"/>
          <w:color w:val="201F1E"/>
          <w:sz w:val="24"/>
          <w:szCs w:val="24"/>
          <w:shd w:val="clear" w:color="auto" w:fill="FFFFFF"/>
        </w:rPr>
        <w:t>academic</w:t>
      </w:r>
      <w:r w:rsidR="00102A7E" w:rsidRPr="00102A7E">
        <w:rPr>
          <w:rFonts w:ascii="Arial" w:hAnsi="Arial" w:cs="Arial"/>
          <w:color w:val="201F1E"/>
          <w:sz w:val="24"/>
          <w:szCs w:val="24"/>
          <w:shd w:val="clear" w:color="auto" w:fill="FFFFFF"/>
        </w:rPr>
        <w:t xml:space="preserve"> leave.</w:t>
      </w:r>
      <w:r w:rsidR="00867DFD">
        <w:rPr>
          <w:rStyle w:val="FootnoteReference"/>
          <w:rFonts w:ascii="Arial" w:hAnsi="Arial" w:cs="Arial"/>
          <w:color w:val="201F1E"/>
          <w:sz w:val="24"/>
          <w:szCs w:val="24"/>
          <w:shd w:val="clear" w:color="auto" w:fill="FFFFFF"/>
        </w:rPr>
        <w:footnoteReference w:id="1"/>
      </w:r>
      <w:r w:rsidR="003E24E1">
        <w:rPr>
          <w:rFonts w:ascii="Arial" w:hAnsi="Arial" w:cs="Arial"/>
          <w:color w:val="201F1E"/>
          <w:sz w:val="24"/>
          <w:szCs w:val="24"/>
          <w:shd w:val="clear" w:color="auto" w:fill="FFFFFF"/>
        </w:rPr>
        <w:t xml:space="preserve"> Colleagues may also apply to the Warwick Academic Returners Fellowship (WARF) scheme.</w:t>
      </w:r>
    </w:p>
    <w:p w14:paraId="707348E2" w14:textId="082DB913" w:rsidR="002D4427" w:rsidRDefault="00A60A34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document focuses on recommendations for colleagues applying for teaching and learning focused </w:t>
      </w:r>
      <w:r w:rsidR="00FE4C8E">
        <w:rPr>
          <w:rFonts w:ascii="Arial" w:hAnsi="Arial" w:cs="Arial"/>
          <w:sz w:val="24"/>
          <w:szCs w:val="24"/>
        </w:rPr>
        <w:t>academic</w:t>
      </w:r>
      <w:r>
        <w:rPr>
          <w:rFonts w:ascii="Arial" w:hAnsi="Arial" w:cs="Arial"/>
          <w:sz w:val="24"/>
          <w:szCs w:val="24"/>
        </w:rPr>
        <w:t xml:space="preserve"> leave</w:t>
      </w:r>
      <w:r w:rsidR="009A0EFE">
        <w:rPr>
          <w:rFonts w:ascii="Arial" w:hAnsi="Arial" w:cs="Arial"/>
          <w:sz w:val="24"/>
          <w:szCs w:val="24"/>
        </w:rPr>
        <w:t xml:space="preserve"> or </w:t>
      </w:r>
      <w:r w:rsidR="003E24E1">
        <w:rPr>
          <w:rFonts w:ascii="Arial" w:hAnsi="Arial" w:cs="Arial"/>
          <w:sz w:val="24"/>
          <w:szCs w:val="24"/>
        </w:rPr>
        <w:t>the WARF</w:t>
      </w:r>
      <w:r>
        <w:rPr>
          <w:rFonts w:ascii="Arial" w:hAnsi="Arial" w:cs="Arial"/>
          <w:sz w:val="24"/>
          <w:szCs w:val="24"/>
        </w:rPr>
        <w:t xml:space="preserve"> </w:t>
      </w:r>
      <w:r w:rsidR="003E24E1">
        <w:rPr>
          <w:rFonts w:ascii="Arial" w:hAnsi="Arial" w:cs="Arial"/>
          <w:sz w:val="24"/>
          <w:szCs w:val="24"/>
        </w:rPr>
        <w:t>scheme</w:t>
      </w:r>
      <w:r w:rsidR="00DD4F40">
        <w:rPr>
          <w:rFonts w:ascii="Arial" w:hAnsi="Arial" w:cs="Arial"/>
          <w:sz w:val="24"/>
          <w:szCs w:val="24"/>
        </w:rPr>
        <w:t>. Nevertheless,</w:t>
      </w:r>
      <w:r>
        <w:rPr>
          <w:rFonts w:ascii="Arial" w:hAnsi="Arial" w:cs="Arial"/>
          <w:sz w:val="24"/>
          <w:szCs w:val="24"/>
        </w:rPr>
        <w:t xml:space="preserve"> some advice may be relevant to </w:t>
      </w:r>
      <w:r w:rsidR="00FE4C8E">
        <w:rPr>
          <w:rFonts w:ascii="Arial" w:hAnsi="Arial" w:cs="Arial"/>
          <w:sz w:val="24"/>
          <w:szCs w:val="24"/>
        </w:rPr>
        <w:t>academic</w:t>
      </w:r>
      <w:r>
        <w:rPr>
          <w:rFonts w:ascii="Arial" w:hAnsi="Arial" w:cs="Arial"/>
          <w:sz w:val="24"/>
          <w:szCs w:val="24"/>
        </w:rPr>
        <w:t xml:space="preserve"> leave</w:t>
      </w:r>
      <w:r w:rsidR="00DD4F40">
        <w:rPr>
          <w:rFonts w:ascii="Arial" w:hAnsi="Arial" w:cs="Arial"/>
          <w:sz w:val="24"/>
          <w:szCs w:val="24"/>
        </w:rPr>
        <w:t xml:space="preserve"> and WARF</w:t>
      </w:r>
      <w:r>
        <w:rPr>
          <w:rFonts w:ascii="Arial" w:hAnsi="Arial" w:cs="Arial"/>
          <w:sz w:val="24"/>
          <w:szCs w:val="24"/>
        </w:rPr>
        <w:t xml:space="preserve"> applications more generally.</w:t>
      </w:r>
      <w:r w:rsidR="00AC7698">
        <w:rPr>
          <w:rFonts w:ascii="Arial" w:hAnsi="Arial" w:cs="Arial"/>
          <w:sz w:val="24"/>
          <w:szCs w:val="24"/>
        </w:rPr>
        <w:t xml:space="preserve"> Note that any academic colleague can apply for a teaching and learning focused </w:t>
      </w:r>
      <w:r w:rsidR="00FE4C8E">
        <w:rPr>
          <w:rFonts w:ascii="Arial" w:hAnsi="Arial" w:cs="Arial"/>
          <w:sz w:val="24"/>
          <w:szCs w:val="24"/>
        </w:rPr>
        <w:t>academic</w:t>
      </w:r>
      <w:r w:rsidR="00AC7698">
        <w:rPr>
          <w:rFonts w:ascii="Arial" w:hAnsi="Arial" w:cs="Arial"/>
          <w:sz w:val="24"/>
          <w:szCs w:val="24"/>
        </w:rPr>
        <w:t xml:space="preserve"> leave, such</w:t>
      </w:r>
      <w:r w:rsidR="00FE4C8E">
        <w:rPr>
          <w:rFonts w:ascii="Arial" w:hAnsi="Arial" w:cs="Arial"/>
          <w:sz w:val="24"/>
          <w:szCs w:val="24"/>
        </w:rPr>
        <w:t xml:space="preserve"> periods of</w:t>
      </w:r>
      <w:r w:rsidR="00AC7698">
        <w:rPr>
          <w:rFonts w:ascii="Arial" w:hAnsi="Arial" w:cs="Arial"/>
          <w:sz w:val="24"/>
          <w:szCs w:val="24"/>
        </w:rPr>
        <w:t xml:space="preserve"> leave are not exclusively relevant for colleagues on teaching focused contracts.</w:t>
      </w:r>
      <w:r w:rsidR="00C755FC">
        <w:rPr>
          <w:rStyle w:val="FootnoteReference"/>
          <w:rFonts w:ascii="Arial" w:hAnsi="Arial" w:cs="Arial"/>
          <w:sz w:val="24"/>
          <w:szCs w:val="24"/>
        </w:rPr>
        <w:footnoteReference w:id="2"/>
      </w:r>
    </w:p>
    <w:p w14:paraId="5C8CCE4B" w14:textId="785C6BE4" w:rsidR="00770EA1" w:rsidRDefault="002D4427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Below</w:t>
      </w:r>
      <w:r w:rsidR="003C48FF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 number of</w:t>
      </w:r>
      <w:proofErr w:type="gramEnd"/>
      <w:r>
        <w:rPr>
          <w:rFonts w:ascii="Arial" w:hAnsi="Arial" w:cs="Arial"/>
          <w:sz w:val="24"/>
          <w:szCs w:val="24"/>
        </w:rPr>
        <w:t xml:space="preserve"> areas of potential focus for teaching focused applications</w:t>
      </w:r>
      <w:r w:rsidR="000D5E8F">
        <w:rPr>
          <w:rFonts w:ascii="Arial" w:hAnsi="Arial" w:cs="Arial"/>
          <w:sz w:val="24"/>
          <w:szCs w:val="24"/>
        </w:rPr>
        <w:t xml:space="preserve"> are suggested</w:t>
      </w:r>
      <w:r>
        <w:rPr>
          <w:rFonts w:ascii="Arial" w:hAnsi="Arial" w:cs="Arial"/>
          <w:sz w:val="24"/>
          <w:szCs w:val="24"/>
        </w:rPr>
        <w:t xml:space="preserve">. </w:t>
      </w:r>
      <w:r w:rsidR="00BD7219">
        <w:rPr>
          <w:rFonts w:ascii="Arial" w:hAnsi="Arial" w:cs="Arial"/>
          <w:sz w:val="24"/>
          <w:szCs w:val="24"/>
        </w:rPr>
        <w:t xml:space="preserve">The individual suggestions for areas of work may not be sufficiently substantial to warrant academic leave unless put forward as part of a set of proposed works. </w:t>
      </w:r>
      <w:r w:rsidR="00C65CA5">
        <w:rPr>
          <w:rFonts w:ascii="Arial" w:hAnsi="Arial" w:cs="Arial"/>
          <w:sz w:val="24"/>
          <w:szCs w:val="24"/>
        </w:rPr>
        <w:t xml:space="preserve">Applicants are advised to consider how their proposed </w:t>
      </w:r>
      <w:r w:rsidR="00C65CA5" w:rsidRPr="00770EA1">
        <w:rPr>
          <w:rFonts w:ascii="Arial" w:hAnsi="Arial" w:cs="Arial"/>
          <w:sz w:val="24"/>
          <w:szCs w:val="24"/>
        </w:rPr>
        <w:t xml:space="preserve">projects </w:t>
      </w:r>
      <w:r w:rsidR="00B00091" w:rsidRPr="00770EA1">
        <w:rPr>
          <w:rFonts w:ascii="Arial" w:hAnsi="Arial" w:cs="Arial"/>
          <w:color w:val="201F1E"/>
          <w:sz w:val="24"/>
          <w:szCs w:val="24"/>
          <w:shd w:val="clear" w:color="auto" w:fill="FFFFFF"/>
        </w:rPr>
        <w:t>fit with the university strategic directions/themes/priorities such as those highlighted in</w:t>
      </w:r>
      <w:r w:rsidR="00C65CA5" w:rsidRPr="00770EA1">
        <w:rPr>
          <w:rFonts w:ascii="Arial" w:hAnsi="Arial" w:cs="Arial"/>
          <w:sz w:val="24"/>
          <w:szCs w:val="24"/>
        </w:rPr>
        <w:t xml:space="preserve"> the University of Warwick Education Strategy.</w:t>
      </w:r>
      <w:r w:rsidR="000D5E8F" w:rsidRPr="00770EA1">
        <w:rPr>
          <w:rStyle w:val="FootnoteReference"/>
          <w:rFonts w:ascii="Arial" w:hAnsi="Arial" w:cs="Arial"/>
          <w:sz w:val="24"/>
          <w:szCs w:val="24"/>
        </w:rPr>
        <w:footnoteReference w:id="3"/>
      </w:r>
      <w:r w:rsidR="00C65CA5" w:rsidRPr="00770EA1">
        <w:rPr>
          <w:rFonts w:ascii="Arial" w:hAnsi="Arial" w:cs="Arial"/>
          <w:sz w:val="24"/>
          <w:szCs w:val="24"/>
        </w:rPr>
        <w:t xml:space="preserve"> There</w:t>
      </w:r>
      <w:r w:rsidR="00C65CA5">
        <w:rPr>
          <w:rFonts w:ascii="Arial" w:hAnsi="Arial" w:cs="Arial"/>
          <w:sz w:val="24"/>
          <w:szCs w:val="24"/>
        </w:rPr>
        <w:t xml:space="preserve"> are currently four such themes </w:t>
      </w:r>
      <w:r w:rsidR="00770EA1">
        <w:rPr>
          <w:rFonts w:ascii="Arial" w:hAnsi="Arial" w:cs="Arial"/>
          <w:sz w:val="24"/>
          <w:szCs w:val="24"/>
        </w:rPr>
        <w:t xml:space="preserve">in the education strategy </w:t>
      </w:r>
      <w:r w:rsidR="00C65CA5">
        <w:rPr>
          <w:rFonts w:ascii="Arial" w:hAnsi="Arial" w:cs="Arial"/>
          <w:sz w:val="24"/>
          <w:szCs w:val="24"/>
        </w:rPr>
        <w:t>and we organise suggestions according to these themes</w:t>
      </w:r>
      <w:r w:rsidR="0008254A">
        <w:rPr>
          <w:rFonts w:ascii="Arial" w:hAnsi="Arial" w:cs="Arial"/>
          <w:sz w:val="24"/>
          <w:szCs w:val="24"/>
        </w:rPr>
        <w:t xml:space="preserve"> initially</w:t>
      </w:r>
      <w:r w:rsidR="00C65CA5">
        <w:rPr>
          <w:rFonts w:ascii="Arial" w:hAnsi="Arial" w:cs="Arial"/>
          <w:sz w:val="24"/>
          <w:szCs w:val="24"/>
        </w:rPr>
        <w:t xml:space="preserve">. </w:t>
      </w:r>
    </w:p>
    <w:p w14:paraId="2F1A2012" w14:textId="4961803B" w:rsidR="002D4427" w:rsidRDefault="002D4427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Note that proposed work </w:t>
      </w:r>
      <w:r w:rsidR="00BE4599">
        <w:rPr>
          <w:rFonts w:ascii="Arial" w:hAnsi="Arial" w:cs="Arial"/>
          <w:sz w:val="24"/>
          <w:szCs w:val="24"/>
        </w:rPr>
        <w:t>should directly benefit the applicant’s department / faculty / the university as well as the applicant. Applicants should also consider</w:t>
      </w:r>
      <w:r w:rsidR="00454D71">
        <w:rPr>
          <w:rFonts w:ascii="Arial" w:hAnsi="Arial" w:cs="Arial"/>
          <w:sz w:val="24"/>
          <w:szCs w:val="24"/>
        </w:rPr>
        <w:t xml:space="preserve"> potential benefits for applicants’ external, </w:t>
      </w:r>
      <w:proofErr w:type="gramStart"/>
      <w:r w:rsidR="00454D71">
        <w:rPr>
          <w:rFonts w:ascii="Arial" w:hAnsi="Arial" w:cs="Arial"/>
          <w:sz w:val="24"/>
          <w:szCs w:val="24"/>
        </w:rPr>
        <w:t>national</w:t>
      </w:r>
      <w:proofErr w:type="gramEnd"/>
      <w:r w:rsidR="00454D71">
        <w:rPr>
          <w:rFonts w:ascii="Arial" w:hAnsi="Arial" w:cs="Arial"/>
          <w:sz w:val="24"/>
          <w:szCs w:val="24"/>
        </w:rPr>
        <w:t xml:space="preserve"> and international, networks.</w:t>
      </w:r>
      <w:r w:rsidR="00C77019" w:rsidRPr="00C77019">
        <w:rPr>
          <w:rFonts w:ascii="Arial" w:hAnsi="Arial" w:cs="Arial"/>
          <w:sz w:val="24"/>
          <w:szCs w:val="24"/>
        </w:rPr>
        <w:t xml:space="preserve"> </w:t>
      </w:r>
      <w:r w:rsidR="00C77019">
        <w:rPr>
          <w:rFonts w:ascii="Arial" w:hAnsi="Arial" w:cs="Arial"/>
          <w:sz w:val="24"/>
          <w:szCs w:val="24"/>
        </w:rPr>
        <w:t>Applications may be comparative in nature.</w:t>
      </w:r>
    </w:p>
    <w:p w14:paraId="79A9CF54" w14:textId="0283BF88" w:rsidR="00BC563B" w:rsidRDefault="00BC563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3577B2F" w14:textId="77777777" w:rsidR="00BC563B" w:rsidRDefault="00BC563B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</w:p>
    <w:tbl>
      <w:tblPr>
        <w:tblStyle w:val="GridTable4-Accent5"/>
        <w:tblW w:w="0" w:type="auto"/>
        <w:tblLook w:val="0620" w:firstRow="1" w:lastRow="0" w:firstColumn="0" w:lastColumn="0" w:noHBand="1" w:noVBand="1"/>
      </w:tblPr>
      <w:tblGrid>
        <w:gridCol w:w="3142"/>
        <w:gridCol w:w="5868"/>
      </w:tblGrid>
      <w:tr w:rsidR="00C65CA5" w14:paraId="614EF12A" w14:textId="77777777" w:rsidTr="00BF7D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</w:tcPr>
          <w:p w14:paraId="37D7C80A" w14:textId="69C5D378" w:rsidR="00C65CA5" w:rsidRDefault="00C65CA5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Education Strategy Theme</w:t>
            </w:r>
          </w:p>
        </w:tc>
        <w:tc>
          <w:tcPr>
            <w:tcW w:w="0" w:type="auto"/>
          </w:tcPr>
          <w:p w14:paraId="0CD4F886" w14:textId="5D0BA340" w:rsidR="00C65CA5" w:rsidRDefault="00873A9C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 Suggestions</w:t>
            </w:r>
          </w:p>
        </w:tc>
      </w:tr>
      <w:tr w:rsidR="00C65CA5" w14:paraId="4687F976" w14:textId="77777777" w:rsidTr="00BF7D63">
        <w:tc>
          <w:tcPr>
            <w:tcW w:w="0" w:type="auto"/>
          </w:tcPr>
          <w:p w14:paraId="6D40CBEA" w14:textId="30C4FAAE" w:rsidR="00C65CA5" w:rsidRDefault="00C65CA5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Disciplinary Excellence</w:t>
            </w:r>
          </w:p>
        </w:tc>
        <w:tc>
          <w:tcPr>
            <w:tcW w:w="0" w:type="auto"/>
          </w:tcPr>
          <w:p w14:paraId="4B751042" w14:textId="360ED975" w:rsidR="00CA7696" w:rsidRDefault="00CA7696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Programme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A3129">
              <w:rPr>
                <w:rFonts w:ascii="Arial" w:hAnsi="Arial" w:cs="Arial"/>
                <w:sz w:val="24"/>
                <w:szCs w:val="24"/>
              </w:rPr>
              <w:t xml:space="preserve">substantial </w:t>
            </w:r>
            <w:r>
              <w:rPr>
                <w:rFonts w:ascii="Arial" w:hAnsi="Arial" w:cs="Arial"/>
                <w:sz w:val="24"/>
                <w:szCs w:val="24"/>
              </w:rPr>
              <w:t>design/redesign</w:t>
            </w:r>
          </w:p>
          <w:p w14:paraId="1A3D8CE9" w14:textId="4EF9A875" w:rsidR="00CA7696" w:rsidRDefault="00CA7696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Module </w:t>
            </w:r>
            <w:r w:rsidR="00AA3129">
              <w:rPr>
                <w:rFonts w:ascii="Arial" w:hAnsi="Arial" w:cs="Arial"/>
                <w:sz w:val="24"/>
                <w:szCs w:val="24"/>
              </w:rPr>
              <w:t xml:space="preserve">substantial </w:t>
            </w:r>
            <w:r>
              <w:rPr>
                <w:rFonts w:ascii="Arial" w:hAnsi="Arial" w:cs="Arial"/>
                <w:sz w:val="24"/>
                <w:szCs w:val="24"/>
              </w:rPr>
              <w:t>design/redesign</w:t>
            </w:r>
          </w:p>
          <w:p w14:paraId="27139912" w14:textId="57E3710E" w:rsidR="00C65CA5" w:rsidRDefault="00CA7696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 writing</w:t>
            </w:r>
          </w:p>
          <w:p w14:paraId="1E831461" w14:textId="77777777" w:rsidR="00CA7696" w:rsidRDefault="00CA7696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Teaching resources creation</w:t>
            </w:r>
          </w:p>
          <w:p w14:paraId="2C86B2D9" w14:textId="7DA902F5" w:rsidR="00CA7696" w:rsidRDefault="00CA7696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Pedagogy research</w:t>
            </w:r>
          </w:p>
        </w:tc>
      </w:tr>
      <w:tr w:rsidR="00C65CA5" w14:paraId="0788601F" w14:textId="77777777" w:rsidTr="00BF7D63">
        <w:tc>
          <w:tcPr>
            <w:tcW w:w="0" w:type="auto"/>
          </w:tcPr>
          <w:p w14:paraId="2ED59020" w14:textId="26B9635A" w:rsidR="00C65CA5" w:rsidRDefault="00C65CA5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Interdisciplinarity</w:t>
            </w:r>
          </w:p>
        </w:tc>
        <w:tc>
          <w:tcPr>
            <w:tcW w:w="0" w:type="auto"/>
          </w:tcPr>
          <w:p w14:paraId="39E3C5C0" w14:textId="77777777" w:rsidR="00C65CA5" w:rsidRDefault="00A83977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Programme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design/redesign</w:t>
            </w:r>
          </w:p>
          <w:p w14:paraId="6979FA68" w14:textId="71366B96" w:rsidR="003C48FF" w:rsidRDefault="003C48FF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Module design/redesign</w:t>
            </w:r>
          </w:p>
        </w:tc>
      </w:tr>
      <w:tr w:rsidR="00C65CA5" w14:paraId="3AD5CF37" w14:textId="77777777" w:rsidTr="00BF7D63">
        <w:tc>
          <w:tcPr>
            <w:tcW w:w="0" w:type="auto"/>
          </w:tcPr>
          <w:p w14:paraId="7073C2DB" w14:textId="08373FA7" w:rsidR="00C65CA5" w:rsidRDefault="00C65CA5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Internationalisation</w:t>
            </w:r>
            <w:proofErr w:type="spellEnd"/>
          </w:p>
        </w:tc>
        <w:tc>
          <w:tcPr>
            <w:tcW w:w="0" w:type="auto"/>
          </w:tcPr>
          <w:p w14:paraId="18C78AFF" w14:textId="77777777" w:rsidR="00C65CA5" w:rsidRDefault="00A83977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Programme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design/redesign</w:t>
            </w:r>
          </w:p>
          <w:p w14:paraId="15DC2DCD" w14:textId="61ED18E0" w:rsidR="00A83977" w:rsidRDefault="00A83977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resources to support recruitment</w:t>
            </w:r>
          </w:p>
        </w:tc>
      </w:tr>
      <w:tr w:rsidR="00C65CA5" w14:paraId="0E0F41B1" w14:textId="77777777" w:rsidTr="00BF7D63">
        <w:tc>
          <w:tcPr>
            <w:tcW w:w="0" w:type="auto"/>
          </w:tcPr>
          <w:p w14:paraId="45CA36D5" w14:textId="654D50DA" w:rsidR="00C65CA5" w:rsidRDefault="00CA7696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Student Research</w:t>
            </w:r>
          </w:p>
        </w:tc>
        <w:tc>
          <w:tcPr>
            <w:tcW w:w="0" w:type="auto"/>
          </w:tcPr>
          <w:p w14:paraId="377B3E3B" w14:textId="4FE37CA8" w:rsidR="00C65CA5" w:rsidRDefault="009A2405" w:rsidP="0000000E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resources to foster research led teaching</w:t>
            </w:r>
          </w:p>
        </w:tc>
      </w:tr>
    </w:tbl>
    <w:p w14:paraId="4DCAA3D7" w14:textId="0861643D" w:rsidR="00BC563B" w:rsidRDefault="00BC563B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</w:p>
    <w:p w14:paraId="68BBD182" w14:textId="4FCA4BD5" w:rsidR="002D4427" w:rsidRDefault="00BC563B" w:rsidP="003C48F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tbl>
      <w:tblPr>
        <w:tblStyle w:val="GridTable4-Accent5"/>
        <w:tblW w:w="0" w:type="auto"/>
        <w:tblLook w:val="0620" w:firstRow="1" w:lastRow="0" w:firstColumn="0" w:lastColumn="0" w:noHBand="1" w:noVBand="1"/>
      </w:tblPr>
      <w:tblGrid>
        <w:gridCol w:w="3226"/>
        <w:gridCol w:w="5784"/>
      </w:tblGrid>
      <w:tr w:rsidR="009A2405" w14:paraId="1911F899" w14:textId="77777777" w:rsidTr="00A67F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0" w:type="auto"/>
          </w:tcPr>
          <w:p w14:paraId="39A061E9" w14:textId="03883CFB" w:rsidR="00CA7696" w:rsidRDefault="00CA7696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Further Key Themes</w:t>
            </w:r>
          </w:p>
        </w:tc>
        <w:tc>
          <w:tcPr>
            <w:tcW w:w="0" w:type="auto"/>
          </w:tcPr>
          <w:p w14:paraId="58D907ED" w14:textId="7459A422" w:rsidR="00CA7696" w:rsidRDefault="00873A9C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 Suggestions</w:t>
            </w:r>
          </w:p>
        </w:tc>
      </w:tr>
      <w:tr w:rsidR="009A2405" w14:paraId="409FC2AB" w14:textId="77777777" w:rsidTr="00A67F1C">
        <w:tc>
          <w:tcPr>
            <w:tcW w:w="0" w:type="auto"/>
          </w:tcPr>
          <w:p w14:paraId="617AD5D4" w14:textId="087D61AE" w:rsidR="00CA7696" w:rsidRDefault="00CA7696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Student Engagement</w:t>
            </w:r>
          </w:p>
        </w:tc>
        <w:tc>
          <w:tcPr>
            <w:tcW w:w="0" w:type="auto"/>
          </w:tcPr>
          <w:p w14:paraId="0B203147" w14:textId="0EF26E8F" w:rsidR="00CA7696" w:rsidRDefault="009A2405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e</w:t>
            </w:r>
            <w:r w:rsidR="00873A9C">
              <w:rPr>
                <w:rFonts w:ascii="Arial" w:hAnsi="Arial" w:cs="Arial"/>
                <w:sz w:val="24"/>
                <w:szCs w:val="24"/>
              </w:rPr>
              <w:t>ngagement strategies as cohorts change in size and nature</w:t>
            </w:r>
          </w:p>
          <w:p w14:paraId="65FED0E3" w14:textId="77777777" w:rsidR="00873A9C" w:rsidRDefault="00873A9C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student engagement resources</w:t>
            </w:r>
          </w:p>
          <w:p w14:paraId="406A1476" w14:textId="7B6A18A0" w:rsidR="0029145B" w:rsidRDefault="0029145B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resources to foster student wellbeing</w:t>
            </w:r>
          </w:p>
        </w:tc>
      </w:tr>
      <w:tr w:rsidR="00770EA1" w14:paraId="29D57854" w14:textId="77777777" w:rsidTr="00A67F1C">
        <w:tc>
          <w:tcPr>
            <w:tcW w:w="0" w:type="auto"/>
          </w:tcPr>
          <w:p w14:paraId="6029CE21" w14:textId="716E92E5" w:rsidR="00770EA1" w:rsidRDefault="00770EA1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Education for Sustainable Development</w:t>
            </w:r>
          </w:p>
        </w:tc>
        <w:tc>
          <w:tcPr>
            <w:tcW w:w="0" w:type="auto"/>
          </w:tcPr>
          <w:p w14:paraId="3ED5C438" w14:textId="08D17400" w:rsidR="00770EA1" w:rsidRDefault="00770EA1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Creation of resources to support sustainability in the curriculum</w:t>
            </w:r>
          </w:p>
        </w:tc>
      </w:tr>
      <w:tr w:rsidR="009A2405" w14:paraId="6C76A7F6" w14:textId="77777777" w:rsidTr="00A67F1C">
        <w:tc>
          <w:tcPr>
            <w:tcW w:w="0" w:type="auto"/>
          </w:tcPr>
          <w:p w14:paraId="4BFBDEC1" w14:textId="093A30C0" w:rsidR="00CA7696" w:rsidRDefault="00CA7696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Enterprise</w:t>
            </w:r>
          </w:p>
        </w:tc>
        <w:tc>
          <w:tcPr>
            <w:tcW w:w="0" w:type="auto"/>
          </w:tcPr>
          <w:p w14:paraId="555F989F" w14:textId="7D69BF74" w:rsidR="00A83977" w:rsidRDefault="00A83977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 with communities</w:t>
            </w:r>
            <w:r w:rsidR="00C755FC">
              <w:rPr>
                <w:rFonts w:ascii="Arial" w:hAnsi="Arial" w:cs="Arial"/>
                <w:sz w:val="24"/>
                <w:szCs w:val="24"/>
              </w:rPr>
              <w:t xml:space="preserve"> and regional </w:t>
            </w:r>
            <w:proofErr w:type="spellStart"/>
            <w:r w:rsidR="00C755FC">
              <w:rPr>
                <w:rFonts w:ascii="Arial" w:hAnsi="Arial" w:cs="Arial"/>
                <w:sz w:val="24"/>
                <w:szCs w:val="24"/>
              </w:rPr>
              <w:t>organisations</w:t>
            </w:r>
            <w:proofErr w:type="spellEnd"/>
          </w:p>
          <w:p w14:paraId="4B9AD73D" w14:textId="7E1AC42A" w:rsidR="00CA7696" w:rsidRDefault="00A83977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 with employers</w:t>
            </w:r>
            <w:r w:rsidR="0029145B">
              <w:rPr>
                <w:rFonts w:ascii="Arial" w:hAnsi="Arial" w:cs="Arial"/>
                <w:sz w:val="24"/>
                <w:szCs w:val="24"/>
              </w:rPr>
              <w:t xml:space="preserve"> and alumni on careers resources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89D7AA4" w14:textId="3545FA89" w:rsidR="009A2405" w:rsidRDefault="009A2405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Work with cultural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organisations</w:t>
            </w:r>
            <w:proofErr w:type="spellEnd"/>
          </w:p>
        </w:tc>
      </w:tr>
      <w:tr w:rsidR="009A2405" w14:paraId="7AF06117" w14:textId="77777777" w:rsidTr="00A67F1C">
        <w:tc>
          <w:tcPr>
            <w:tcW w:w="0" w:type="auto"/>
          </w:tcPr>
          <w:p w14:paraId="1F168606" w14:textId="65532212" w:rsidR="00CA7696" w:rsidRDefault="00CA7696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Innovation</w:t>
            </w:r>
          </w:p>
        </w:tc>
        <w:tc>
          <w:tcPr>
            <w:tcW w:w="0" w:type="auto"/>
          </w:tcPr>
          <w:p w14:paraId="1979D974" w14:textId="7DC7C9DA" w:rsidR="00CA7696" w:rsidRDefault="009A2405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Development of resources to support </w:t>
            </w:r>
            <w:r w:rsidR="0029145B">
              <w:rPr>
                <w:rFonts w:ascii="Arial" w:hAnsi="Arial" w:cs="Arial"/>
                <w:sz w:val="24"/>
                <w:szCs w:val="24"/>
              </w:rPr>
              <w:t xml:space="preserve">online; </w:t>
            </w:r>
            <w:r>
              <w:rPr>
                <w:rFonts w:ascii="Arial" w:hAnsi="Arial" w:cs="Arial"/>
                <w:sz w:val="24"/>
                <w:szCs w:val="24"/>
              </w:rPr>
              <w:t xml:space="preserve">blended; hybrid and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hyflex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learning</w:t>
            </w:r>
            <w:r w:rsidR="0029145B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id="4"/>
            </w:r>
          </w:p>
          <w:p w14:paraId="3E205F2F" w14:textId="6D016E02" w:rsidR="0029145B" w:rsidRDefault="009A2405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Development of </w:t>
            </w:r>
            <w:r w:rsidR="0029145B">
              <w:rPr>
                <w:rFonts w:ascii="Arial" w:hAnsi="Arial" w:cs="Arial"/>
                <w:sz w:val="24"/>
                <w:szCs w:val="24"/>
              </w:rPr>
              <w:t xml:space="preserve">online; </w:t>
            </w:r>
            <w:r>
              <w:rPr>
                <w:rFonts w:ascii="Arial" w:hAnsi="Arial" w:cs="Arial"/>
                <w:sz w:val="24"/>
                <w:szCs w:val="24"/>
              </w:rPr>
              <w:t xml:space="preserve">blended; hybrid and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hyflex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programmes</w:t>
            </w:r>
            <w:proofErr w:type="spellEnd"/>
          </w:p>
        </w:tc>
      </w:tr>
      <w:tr w:rsidR="009A2405" w14:paraId="7FCE70A9" w14:textId="77777777" w:rsidTr="00A67F1C">
        <w:tc>
          <w:tcPr>
            <w:tcW w:w="0" w:type="auto"/>
          </w:tcPr>
          <w:p w14:paraId="72C9B972" w14:textId="7D2BA8AA" w:rsidR="00CA7696" w:rsidRDefault="0029145B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Equality; Diversity and </w:t>
            </w:r>
            <w:r w:rsidR="00873A9C">
              <w:rPr>
                <w:rFonts w:ascii="Arial" w:hAnsi="Arial" w:cs="Arial"/>
                <w:sz w:val="24"/>
                <w:szCs w:val="24"/>
              </w:rPr>
              <w:t>Inclusivity</w:t>
            </w:r>
          </w:p>
        </w:tc>
        <w:tc>
          <w:tcPr>
            <w:tcW w:w="0" w:type="auto"/>
          </w:tcPr>
          <w:p w14:paraId="1D0C2238" w14:textId="77777777" w:rsidR="00CA7696" w:rsidRDefault="00873A9C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Decolonisation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of the curriculum</w:t>
            </w:r>
          </w:p>
          <w:p w14:paraId="2A9591FE" w14:textId="77777777" w:rsidR="00873A9C" w:rsidRDefault="00873A9C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Attainment gap research and strategies</w:t>
            </w:r>
          </w:p>
          <w:p w14:paraId="292387E5" w14:textId="27FFF5A5" w:rsidR="00873A9C" w:rsidRDefault="00873A9C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outreach</w:t>
            </w:r>
            <w:r w:rsidR="00A8397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resources</w:t>
            </w:r>
          </w:p>
          <w:p w14:paraId="217F8B57" w14:textId="55FD0C07" w:rsidR="00A83977" w:rsidRDefault="00A83977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resources to support widening participation</w:t>
            </w:r>
          </w:p>
          <w:p w14:paraId="2EE5A776" w14:textId="77777777" w:rsidR="00873A9C" w:rsidRDefault="00A83977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Development of resources to meet </w:t>
            </w:r>
            <w:r w:rsidR="00873A9C">
              <w:rPr>
                <w:rFonts w:ascii="Arial" w:hAnsi="Arial" w:cs="Arial"/>
                <w:sz w:val="24"/>
                <w:szCs w:val="24"/>
              </w:rPr>
              <w:t xml:space="preserve">Athena SWAN </w:t>
            </w:r>
            <w:r>
              <w:rPr>
                <w:rFonts w:ascii="Arial" w:hAnsi="Arial" w:cs="Arial"/>
                <w:sz w:val="24"/>
                <w:szCs w:val="24"/>
              </w:rPr>
              <w:t>challenges</w:t>
            </w:r>
          </w:p>
          <w:p w14:paraId="3FDC41A0" w14:textId="35827A4E" w:rsidR="005B16A9" w:rsidRDefault="005B16A9" w:rsidP="00A67F1C">
            <w:pPr>
              <w:tabs>
                <w:tab w:val="left" w:pos="426"/>
                <w:tab w:val="left" w:pos="851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Development of accessible resources</w:t>
            </w:r>
          </w:p>
        </w:tc>
      </w:tr>
    </w:tbl>
    <w:p w14:paraId="0C49D2BA" w14:textId="25A4FD64" w:rsidR="00FE4216" w:rsidRDefault="00FE4216" w:rsidP="0000000E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</w:p>
    <w:p w14:paraId="4599B919" w14:textId="77777777" w:rsidR="00FE4216" w:rsidRDefault="00FE42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53F822A" w14:textId="0C324E04" w:rsidR="00FE4216" w:rsidRPr="00FE4216" w:rsidRDefault="00FE4216" w:rsidP="00FE4216">
      <w:pPr>
        <w:pStyle w:val="xparagraph"/>
        <w:shd w:val="clear" w:color="auto" w:fill="FFFFFF"/>
        <w:spacing w:before="0" w:beforeAutospacing="0" w:after="0" w:afterAutospacing="0" w:line="276" w:lineRule="auto"/>
        <w:textAlignment w:val="baseline"/>
        <w:rPr>
          <w:rFonts w:ascii="Arial" w:hAnsi="Arial" w:cs="Arial"/>
          <w:color w:val="201F1E"/>
        </w:rPr>
      </w:pP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lastRenderedPageBreak/>
        <w:t>The application</w:t>
      </w:r>
      <w:r w:rsidR="00DD4F40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forms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for </w:t>
      </w:r>
      <w:r w:rsidR="00FE4C8E">
        <w:rPr>
          <w:rStyle w:val="xnormaltextrun"/>
          <w:rFonts w:ascii="Arial" w:hAnsi="Arial" w:cs="Arial"/>
          <w:color w:val="201F1E"/>
          <w:bdr w:val="none" w:sz="0" w:space="0" w:color="auto" w:frame="1"/>
        </w:rPr>
        <w:t>academic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leave </w:t>
      </w:r>
      <w:r w:rsidR="00DD4F40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and WARF 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>ask applicants to complete a</w:t>
      </w:r>
      <w:r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short statement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outlining the objectives of the </w:t>
      </w:r>
      <w:r w:rsidR="00FE4C8E">
        <w:rPr>
          <w:rStyle w:val="xnormaltextrun"/>
          <w:rFonts w:ascii="Arial" w:hAnsi="Arial" w:cs="Arial"/>
          <w:color w:val="201F1E"/>
          <w:bdr w:val="none" w:sz="0" w:space="0" w:color="auto" w:frame="1"/>
        </w:rPr>
        <w:t>academic</w:t>
      </w:r>
      <w:r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leave and detailing publications or other outputs. At the end of the </w:t>
      </w:r>
      <w:r w:rsidR="00FE4C8E">
        <w:rPr>
          <w:rStyle w:val="xnormaltextrun"/>
          <w:rFonts w:ascii="Arial" w:hAnsi="Arial" w:cs="Arial"/>
          <w:color w:val="201F1E"/>
          <w:bdr w:val="none" w:sz="0" w:space="0" w:color="auto" w:frame="1"/>
        </w:rPr>
        <w:t>academic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leave</w:t>
      </w:r>
      <w:r w:rsidR="00DD4F40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or WARF period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applicants will need to complete a short report summarising whether the objectives </w:t>
      </w:r>
      <w:r w:rsidR="00D02124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claimed 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were met. </w:t>
      </w:r>
    </w:p>
    <w:p w14:paraId="30715AFA" w14:textId="77777777" w:rsidR="00FE4216" w:rsidRPr="00FE4216" w:rsidRDefault="00FE4216" w:rsidP="00FE4216">
      <w:pPr>
        <w:pStyle w:val="xparagraph"/>
        <w:shd w:val="clear" w:color="auto" w:fill="FFFFFF"/>
        <w:spacing w:before="0" w:beforeAutospacing="0" w:after="0" w:afterAutospacing="0" w:line="276" w:lineRule="auto"/>
        <w:textAlignment w:val="baseline"/>
        <w:rPr>
          <w:rFonts w:ascii="Arial" w:hAnsi="Arial" w:cs="Arial"/>
          <w:color w:val="201F1E"/>
        </w:rPr>
      </w:pPr>
      <w:r w:rsidRPr="00FE4216">
        <w:rPr>
          <w:rFonts w:ascii="Arial" w:hAnsi="Arial" w:cs="Arial"/>
          <w:color w:val="201F1E"/>
          <w:bdr w:val="none" w:sz="0" w:space="0" w:color="auto" w:frame="1"/>
        </w:rPr>
        <w:t> </w:t>
      </w:r>
    </w:p>
    <w:p w14:paraId="07BBFADF" w14:textId="22875D76" w:rsidR="00FE4216" w:rsidRPr="00FE4216" w:rsidRDefault="00FE4216" w:rsidP="00FE4216">
      <w:pPr>
        <w:pStyle w:val="xparagraph"/>
        <w:shd w:val="clear" w:color="auto" w:fill="FFFFFF"/>
        <w:spacing w:before="0" w:beforeAutospacing="0" w:after="0" w:afterAutospacing="0" w:line="276" w:lineRule="auto"/>
        <w:textAlignment w:val="baseline"/>
        <w:rPr>
          <w:rFonts w:ascii="Arial" w:hAnsi="Arial" w:cs="Arial"/>
          <w:color w:val="201F1E"/>
        </w:rPr>
      </w:pPr>
      <w:r>
        <w:rPr>
          <w:rStyle w:val="xnormaltextrun"/>
          <w:rFonts w:ascii="Arial" w:hAnsi="Arial" w:cs="Arial"/>
          <w:color w:val="201F1E"/>
          <w:bdr w:val="none" w:sz="0" w:space="0" w:color="auto" w:frame="1"/>
        </w:rPr>
        <w:t>Note that t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he ability to apply for </w:t>
      </w:r>
      <w:r w:rsidR="00FE4C8E">
        <w:rPr>
          <w:rStyle w:val="xnormaltextrun"/>
          <w:rFonts w:ascii="Arial" w:hAnsi="Arial" w:cs="Arial"/>
          <w:color w:val="201F1E"/>
          <w:bdr w:val="none" w:sz="0" w:space="0" w:color="auto" w:frame="1"/>
        </w:rPr>
        <w:t>academic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leave </w:t>
      </w:r>
      <w:r w:rsidR="009A0EFE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or WARF 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does not mean that it will be granted as there are limits on the numbers of </w:t>
      </w:r>
      <w:r>
        <w:rPr>
          <w:rStyle w:val="xnormaltextrun"/>
          <w:rFonts w:ascii="Arial" w:hAnsi="Arial" w:cs="Arial"/>
          <w:color w:val="201F1E"/>
          <w:bdr w:val="none" w:sz="0" w:space="0" w:color="auto" w:frame="1"/>
        </w:rPr>
        <w:t>colleagues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who may be absent at any one time. However, applicants should expect to receive feedback on when they might expect to get </w:t>
      </w:r>
      <w:r w:rsidR="00FE4C8E">
        <w:rPr>
          <w:rStyle w:val="xnormaltextrun"/>
          <w:rFonts w:ascii="Arial" w:hAnsi="Arial" w:cs="Arial"/>
          <w:color w:val="201F1E"/>
          <w:bdr w:val="none" w:sz="0" w:space="0" w:color="auto" w:frame="1"/>
        </w:rPr>
        <w:t>academic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leave</w:t>
      </w:r>
      <w:r w:rsidR="009A0EFE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or WARF</w:t>
      </w:r>
      <w:r w:rsidRPr="00FE4216">
        <w:rPr>
          <w:rStyle w:val="xnormaltextrun"/>
          <w:rFonts w:ascii="Arial" w:hAnsi="Arial" w:cs="Arial"/>
          <w:color w:val="201F1E"/>
          <w:bdr w:val="none" w:sz="0" w:space="0" w:color="auto" w:frame="1"/>
        </w:rPr>
        <w:t xml:space="preserve"> and whether they need to modify any of their objectives.</w:t>
      </w:r>
    </w:p>
    <w:p w14:paraId="48CE1914" w14:textId="77777777" w:rsidR="00CA7696" w:rsidRDefault="00CA7696" w:rsidP="00FE4216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</w:p>
    <w:p w14:paraId="2E177426" w14:textId="77777777" w:rsidR="003B7319" w:rsidRDefault="003B7319" w:rsidP="00FE4216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</w:p>
    <w:p w14:paraId="1F896499" w14:textId="77777777" w:rsidR="00B712D1" w:rsidRDefault="0000000E" w:rsidP="00FE4216">
      <w:pPr>
        <w:tabs>
          <w:tab w:val="left" w:pos="426"/>
          <w:tab w:val="left" w:pos="851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WIHEA Teaching Reward and Recognition Learning Circle</w:t>
      </w:r>
      <w:r w:rsidR="00770EA1">
        <w:rPr>
          <w:rFonts w:ascii="Arial" w:hAnsi="Arial" w:cs="Arial"/>
          <w:sz w:val="24"/>
          <w:szCs w:val="24"/>
        </w:rPr>
        <w:t xml:space="preserve"> </w:t>
      </w:r>
    </w:p>
    <w:p w14:paraId="15ECF3D7" w14:textId="07F016C8" w:rsidR="00D477D8" w:rsidRPr="00D94C20" w:rsidRDefault="00DD4F40" w:rsidP="00FE4216">
      <w:pPr>
        <w:tabs>
          <w:tab w:val="left" w:pos="426"/>
          <w:tab w:val="left" w:pos="851"/>
        </w:tabs>
      </w:pPr>
      <w:r>
        <w:rPr>
          <w:rFonts w:ascii="Arial" w:hAnsi="Arial" w:cs="Arial"/>
          <w:sz w:val="24"/>
          <w:szCs w:val="24"/>
        </w:rPr>
        <w:t>August</w:t>
      </w:r>
      <w:r w:rsidR="0000000E">
        <w:rPr>
          <w:rFonts w:ascii="Arial" w:hAnsi="Arial" w:cs="Arial"/>
          <w:sz w:val="24"/>
          <w:szCs w:val="24"/>
        </w:rPr>
        <w:t xml:space="preserve"> 2022</w:t>
      </w:r>
    </w:p>
    <w:sectPr w:rsidR="00D477D8" w:rsidRPr="00D94C20" w:rsidSect="001F6CCF">
      <w:headerReference w:type="even" r:id="rId8"/>
      <w:headerReference w:type="default" r:id="rId9"/>
      <w:footerReference w:type="default" r:id="rId10"/>
      <w:pgSz w:w="11900" w:h="16840"/>
      <w:pgMar w:top="1080" w:right="1440" w:bottom="108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29BEA" w14:textId="77777777" w:rsidR="00BF41A2" w:rsidRDefault="00BF41A2" w:rsidP="0032312F">
      <w:pPr>
        <w:spacing w:after="0" w:line="240" w:lineRule="auto"/>
      </w:pPr>
      <w:r>
        <w:separator/>
      </w:r>
    </w:p>
  </w:endnote>
  <w:endnote w:type="continuationSeparator" w:id="0">
    <w:p w14:paraId="2C992FE3" w14:textId="77777777" w:rsidR="00BF41A2" w:rsidRDefault="00BF41A2" w:rsidP="00323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A1C24" w14:textId="77777777" w:rsidR="0032312F" w:rsidRDefault="003231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75DF8" w14:textId="77777777" w:rsidR="00BF41A2" w:rsidRDefault="00BF41A2" w:rsidP="0032312F">
      <w:pPr>
        <w:spacing w:after="0" w:line="240" w:lineRule="auto"/>
      </w:pPr>
      <w:r>
        <w:separator/>
      </w:r>
    </w:p>
  </w:footnote>
  <w:footnote w:type="continuationSeparator" w:id="0">
    <w:p w14:paraId="2BD2B83C" w14:textId="77777777" w:rsidR="00BF41A2" w:rsidRDefault="00BF41A2" w:rsidP="0032312F">
      <w:pPr>
        <w:spacing w:after="0" w:line="240" w:lineRule="auto"/>
      </w:pPr>
      <w:r>
        <w:continuationSeparator/>
      </w:r>
    </w:p>
  </w:footnote>
  <w:footnote w:id="1">
    <w:p w14:paraId="469206DC" w14:textId="0F65618A" w:rsidR="00867DFD" w:rsidRPr="00867DFD" w:rsidRDefault="00867DFD">
      <w:pPr>
        <w:pStyle w:val="FootnoteText"/>
        <w:rPr>
          <w:rFonts w:ascii="Arial" w:hAnsi="Arial" w:cs="Arial"/>
          <w:lang w:val="en-GB"/>
        </w:rPr>
      </w:pPr>
      <w:r w:rsidRPr="00867DFD">
        <w:rPr>
          <w:rStyle w:val="FootnoteReference"/>
          <w:rFonts w:ascii="Arial" w:hAnsi="Arial" w:cs="Arial"/>
        </w:rPr>
        <w:footnoteRef/>
      </w:r>
      <w:r w:rsidRPr="00867DFD">
        <w:rPr>
          <w:rFonts w:ascii="Arial" w:hAnsi="Arial" w:cs="Arial"/>
        </w:rPr>
        <w:t xml:space="preserve"> </w:t>
      </w:r>
      <w:r w:rsidRPr="00867DFD">
        <w:rPr>
          <w:rFonts w:ascii="Arial" w:hAnsi="Arial" w:cs="Arial"/>
          <w:lang w:val="en-GB"/>
        </w:rPr>
        <w:t>FP7 is associated with a Senior Teaching Fellow / Assistant Professor at the University of Warwick.</w:t>
      </w:r>
    </w:p>
  </w:footnote>
  <w:footnote w:id="2">
    <w:p w14:paraId="23F23976" w14:textId="4591F5B1" w:rsidR="00C755FC" w:rsidRPr="00C755FC" w:rsidRDefault="00C755FC">
      <w:pPr>
        <w:pStyle w:val="FootnoteText"/>
        <w:rPr>
          <w:rFonts w:ascii="Arial" w:hAnsi="Arial" w:cs="Arial"/>
          <w:lang w:val="en-GB"/>
        </w:rPr>
      </w:pPr>
      <w:r w:rsidRPr="00C755FC">
        <w:rPr>
          <w:rStyle w:val="FootnoteReference"/>
          <w:rFonts w:ascii="Arial" w:hAnsi="Arial" w:cs="Arial"/>
        </w:rPr>
        <w:footnoteRef/>
      </w:r>
      <w:r w:rsidRPr="00C755FC">
        <w:rPr>
          <w:rFonts w:ascii="Arial" w:hAnsi="Arial" w:cs="Arial"/>
        </w:rPr>
        <w:t xml:space="preserve"> </w:t>
      </w:r>
      <w:r w:rsidRPr="00C755FC">
        <w:rPr>
          <w:rFonts w:ascii="Arial" w:hAnsi="Arial" w:cs="Arial"/>
          <w:color w:val="201F1E"/>
          <w:shd w:val="clear" w:color="auto" w:fill="FFFFFF"/>
        </w:rPr>
        <w:t xml:space="preserve">Entitlement to </w:t>
      </w:r>
      <w:r w:rsidR="00FE4C8E">
        <w:rPr>
          <w:rFonts w:ascii="Arial" w:hAnsi="Arial" w:cs="Arial"/>
          <w:color w:val="201F1E"/>
          <w:shd w:val="clear" w:color="auto" w:fill="FFFFFF"/>
        </w:rPr>
        <w:t>academic</w:t>
      </w:r>
      <w:r w:rsidRPr="00C755FC">
        <w:rPr>
          <w:rFonts w:ascii="Arial" w:hAnsi="Arial" w:cs="Arial"/>
          <w:color w:val="201F1E"/>
          <w:shd w:val="clear" w:color="auto" w:fill="FFFFFF"/>
        </w:rPr>
        <w:t xml:space="preserve"> leave is accrued at the rate of one term for every six terms taught. For teaching focused </w:t>
      </w:r>
      <w:r>
        <w:rPr>
          <w:rFonts w:ascii="Arial" w:hAnsi="Arial" w:cs="Arial"/>
          <w:color w:val="201F1E"/>
          <w:shd w:val="clear" w:color="auto" w:fill="FFFFFF"/>
        </w:rPr>
        <w:t>colleagues</w:t>
      </w:r>
      <w:r w:rsidRPr="00C755FC">
        <w:rPr>
          <w:rFonts w:ascii="Arial" w:hAnsi="Arial" w:cs="Arial"/>
          <w:color w:val="201F1E"/>
          <w:shd w:val="clear" w:color="auto" w:fill="FFFFFF"/>
        </w:rPr>
        <w:t xml:space="preserve"> the accrual date started in September 2018. This means that anyone on a teaching focused contract at STF and above who was employed in September 2018 will have accumulated 9 terms of service in September 2021 and is therefore eligible to apply for one term of </w:t>
      </w:r>
      <w:r w:rsidR="00FE4C8E">
        <w:rPr>
          <w:rFonts w:ascii="Arial" w:hAnsi="Arial" w:cs="Arial"/>
          <w:color w:val="201F1E"/>
          <w:shd w:val="clear" w:color="auto" w:fill="FFFFFF"/>
        </w:rPr>
        <w:t>academic</w:t>
      </w:r>
      <w:r w:rsidRPr="00C755FC">
        <w:rPr>
          <w:rFonts w:ascii="Arial" w:hAnsi="Arial" w:cs="Arial"/>
          <w:color w:val="201F1E"/>
          <w:shd w:val="clear" w:color="auto" w:fill="FFFFFF"/>
        </w:rPr>
        <w:t xml:space="preserve"> leave.</w:t>
      </w:r>
    </w:p>
  </w:footnote>
  <w:footnote w:id="3">
    <w:p w14:paraId="55D0AA0B" w14:textId="3B175D73" w:rsidR="000D5E8F" w:rsidRPr="000D5E8F" w:rsidRDefault="000D5E8F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0D5E8F">
          <w:rPr>
            <w:rStyle w:val="Hyperlink"/>
          </w:rPr>
          <w:t>https://warwick.ac.uk/about/strategy/education/detail/strategicdirections/</w:t>
        </w:r>
      </w:hyperlink>
    </w:p>
  </w:footnote>
  <w:footnote w:id="4">
    <w:p w14:paraId="5B70BF84" w14:textId="1BDF1D50" w:rsidR="0029145B" w:rsidRPr="0029145B" w:rsidRDefault="0029145B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29145B">
          <w:rPr>
            <w:rStyle w:val="Hyperlink"/>
          </w:rPr>
          <w:t>https://www.qaa.ac.uk/docs/qaa/guidance/building-a-taxonomy-for-digital-learning.pdf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C1F37" w14:textId="37514E9F" w:rsidR="00E66E27" w:rsidRDefault="00410D10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752" behindDoc="0" locked="0" layoutInCell="1" allowOverlap="1" wp14:anchorId="6881AE1C" wp14:editId="301E7427">
          <wp:simplePos x="0" y="0"/>
          <wp:positionH relativeFrom="page">
            <wp:posOffset>-177685</wp:posOffset>
          </wp:positionH>
          <wp:positionV relativeFrom="paragraph">
            <wp:posOffset>0</wp:posOffset>
          </wp:positionV>
          <wp:extent cx="7952208" cy="1093833"/>
          <wp:effectExtent l="0" t="0" r="0" b="0"/>
          <wp:wrapSquare wrapText="bothSides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letter head blan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2208" cy="109383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527AB4" w14:textId="0303794E" w:rsidR="0032312F" w:rsidRDefault="003231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12EBF" w14:textId="29B0C2FA" w:rsidR="0032312F" w:rsidRDefault="00046FE9" w:rsidP="0032312F">
    <w:pPr>
      <w:pStyle w:val="Header"/>
      <w:ind w:left="-1800" w:right="-1800" w:firstLine="1800"/>
    </w:pPr>
    <w:r w:rsidRPr="00046FE9">
      <w:rPr>
        <w:noProof/>
        <w:vertAlign w:val="subscript"/>
        <w:lang w:val="en-GB" w:eastAsia="en-GB"/>
      </w:rPr>
      <w:drawing>
        <wp:anchor distT="0" distB="0" distL="114300" distR="114300" simplePos="0" relativeHeight="251659776" behindDoc="0" locked="0" layoutInCell="1" allowOverlap="1" wp14:anchorId="624A3798" wp14:editId="79E53EA2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730053" cy="1852551"/>
          <wp:effectExtent l="0" t="0" r="4445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29307 29308 29309 School of Modern Languages Stationery:29308_SML-LH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30053" cy="185255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F5038"/>
    <w:multiLevelType w:val="hybridMultilevel"/>
    <w:tmpl w:val="93F243B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88E4636"/>
    <w:multiLevelType w:val="hybridMultilevel"/>
    <w:tmpl w:val="E28CD00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12836017">
    <w:abstractNumId w:val="1"/>
  </w:num>
  <w:num w:numId="2" w16cid:durableId="3393567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304"/>
  <w:removePersonalInformation/>
  <w:removeDateAndTime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12F"/>
    <w:rsid w:val="0000000E"/>
    <w:rsid w:val="00003167"/>
    <w:rsid w:val="00046FE9"/>
    <w:rsid w:val="0008254A"/>
    <w:rsid w:val="000C544B"/>
    <w:rsid w:val="000D5E8F"/>
    <w:rsid w:val="00102A7E"/>
    <w:rsid w:val="001F6CCF"/>
    <w:rsid w:val="00253394"/>
    <w:rsid w:val="0029145B"/>
    <w:rsid w:val="002D4427"/>
    <w:rsid w:val="0032312F"/>
    <w:rsid w:val="00345752"/>
    <w:rsid w:val="00352A6D"/>
    <w:rsid w:val="0037048B"/>
    <w:rsid w:val="003B7319"/>
    <w:rsid w:val="003C1826"/>
    <w:rsid w:val="003C48FF"/>
    <w:rsid w:val="003E24E1"/>
    <w:rsid w:val="0040523B"/>
    <w:rsid w:val="00410D10"/>
    <w:rsid w:val="00417B41"/>
    <w:rsid w:val="00422B50"/>
    <w:rsid w:val="00454D71"/>
    <w:rsid w:val="0048306E"/>
    <w:rsid w:val="004C7C4F"/>
    <w:rsid w:val="00540290"/>
    <w:rsid w:val="00576075"/>
    <w:rsid w:val="005A2276"/>
    <w:rsid w:val="005B16A9"/>
    <w:rsid w:val="00624049"/>
    <w:rsid w:val="006310E1"/>
    <w:rsid w:val="0067395C"/>
    <w:rsid w:val="00674A27"/>
    <w:rsid w:val="00674A80"/>
    <w:rsid w:val="006B4755"/>
    <w:rsid w:val="006D7B7E"/>
    <w:rsid w:val="00730972"/>
    <w:rsid w:val="00746A4F"/>
    <w:rsid w:val="00752695"/>
    <w:rsid w:val="00770EA1"/>
    <w:rsid w:val="007F2EA1"/>
    <w:rsid w:val="00820A9E"/>
    <w:rsid w:val="00857E8F"/>
    <w:rsid w:val="00867DFD"/>
    <w:rsid w:val="00873A9C"/>
    <w:rsid w:val="0089659C"/>
    <w:rsid w:val="008A74C8"/>
    <w:rsid w:val="008B763C"/>
    <w:rsid w:val="00997387"/>
    <w:rsid w:val="009A0EFE"/>
    <w:rsid w:val="009A2405"/>
    <w:rsid w:val="009C488A"/>
    <w:rsid w:val="00A436BB"/>
    <w:rsid w:val="00A60A34"/>
    <w:rsid w:val="00A62EE9"/>
    <w:rsid w:val="00A83977"/>
    <w:rsid w:val="00AA3129"/>
    <w:rsid w:val="00AC7698"/>
    <w:rsid w:val="00AD5ED1"/>
    <w:rsid w:val="00AD7CDC"/>
    <w:rsid w:val="00B00091"/>
    <w:rsid w:val="00B712D1"/>
    <w:rsid w:val="00BB3AD8"/>
    <w:rsid w:val="00BB4629"/>
    <w:rsid w:val="00BC563B"/>
    <w:rsid w:val="00BD7219"/>
    <w:rsid w:val="00BE4599"/>
    <w:rsid w:val="00BF41A2"/>
    <w:rsid w:val="00C65CA5"/>
    <w:rsid w:val="00C755FC"/>
    <w:rsid w:val="00C76013"/>
    <w:rsid w:val="00C77019"/>
    <w:rsid w:val="00CA7696"/>
    <w:rsid w:val="00CA7961"/>
    <w:rsid w:val="00CD093D"/>
    <w:rsid w:val="00D02124"/>
    <w:rsid w:val="00D477D8"/>
    <w:rsid w:val="00D65F7F"/>
    <w:rsid w:val="00D94C20"/>
    <w:rsid w:val="00DD4F40"/>
    <w:rsid w:val="00E12C6B"/>
    <w:rsid w:val="00E64340"/>
    <w:rsid w:val="00E66E27"/>
    <w:rsid w:val="00E95B41"/>
    <w:rsid w:val="00F312C3"/>
    <w:rsid w:val="00F87877"/>
    <w:rsid w:val="00FE4216"/>
    <w:rsid w:val="00FE4C8E"/>
    <w:rsid w:val="00FE7E4E"/>
    <w:rsid w:val="00FF3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8DF4FD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5ED1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customStyle="1" w:styleId="RecipientAddress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AD5ED1"/>
    <w:rPr>
      <w:sz w:val="22"/>
      <w:szCs w:val="22"/>
    </w:rPr>
  </w:style>
  <w:style w:type="character" w:styleId="Strong">
    <w:name w:val="Strong"/>
    <w:basedOn w:val="DefaultParagraphFont"/>
    <w:uiPriority w:val="22"/>
    <w:qFormat/>
    <w:rsid w:val="0089659C"/>
    <w:rPr>
      <w:b/>
      <w:bCs/>
    </w:rPr>
  </w:style>
  <w:style w:type="paragraph" w:styleId="ListParagraph">
    <w:name w:val="List Paragraph"/>
    <w:basedOn w:val="Normal"/>
    <w:uiPriority w:val="34"/>
    <w:qFormat/>
    <w:rsid w:val="0000000E"/>
    <w:pPr>
      <w:spacing w:after="160" w:line="259" w:lineRule="auto"/>
      <w:ind w:left="720"/>
      <w:contextualSpacing/>
    </w:pPr>
    <w:rPr>
      <w:rFonts w:eastAsiaTheme="minorHAnsi"/>
      <w:lang w:val="en-GB"/>
    </w:rPr>
  </w:style>
  <w:style w:type="table" w:styleId="TableGrid">
    <w:name w:val="Table Grid"/>
    <w:basedOn w:val="TableNormal"/>
    <w:uiPriority w:val="39"/>
    <w:rsid w:val="0000000E"/>
    <w:rPr>
      <w:rFonts w:eastAsiaTheme="minorHAns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5">
    <w:name w:val="Grid Table 4 Accent 5"/>
    <w:basedOn w:val="TableNormal"/>
    <w:uiPriority w:val="49"/>
    <w:rsid w:val="00454D71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29145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9145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9145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29145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9145B"/>
    <w:rPr>
      <w:color w:val="605E5C"/>
      <w:shd w:val="clear" w:color="auto" w:fill="E1DFDD"/>
    </w:rPr>
  </w:style>
  <w:style w:type="paragraph" w:customStyle="1" w:styleId="xparagraph">
    <w:name w:val="x_paragraph"/>
    <w:basedOn w:val="Normal"/>
    <w:rsid w:val="00FE42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xnormaltextrun">
    <w:name w:val="x_normaltextrun"/>
    <w:basedOn w:val="DefaultParagraphFont"/>
    <w:rsid w:val="00FE4216"/>
  </w:style>
  <w:style w:type="character" w:customStyle="1" w:styleId="xeop">
    <w:name w:val="x_eop"/>
    <w:basedOn w:val="DefaultParagraphFont"/>
    <w:rsid w:val="00FE42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017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qaa.ac.uk/docs/qaa/guidance/building-a-taxonomy-for-digital-learning.pdf" TargetMode="External"/><Relationship Id="rId1" Type="http://schemas.openxmlformats.org/officeDocument/2006/relationships/hyperlink" Target="https://warwick.ac.uk/about/strategy/education/detail/strategicdirection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4A3A627-9BA4-40F1-ACA2-94596AC1C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606</Words>
  <Characters>3455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2</cp:revision>
  <cp:lastPrinted>2023-06-26T12:45:00Z</cp:lastPrinted>
  <dcterms:created xsi:type="dcterms:W3CDTF">2023-06-26T12:45:00Z</dcterms:created>
  <dcterms:modified xsi:type="dcterms:W3CDTF">2023-06-26T12:47:00Z</dcterms:modified>
</cp:coreProperties>
</file>