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D986DE" w14:textId="2502C7D0" w:rsidR="00822797" w:rsidRDefault="00822797" w:rsidP="00822797">
      <w:pPr>
        <w:ind w:left="1560"/>
        <w:jc w:val="center"/>
        <w:rPr>
          <w:rFonts w:asciiTheme="majorHAnsi" w:hAnsiTheme="majorHAnsi" w:cs="Arial"/>
          <w:b/>
          <w:sz w:val="24"/>
          <w:szCs w:val="24"/>
        </w:rPr>
      </w:pPr>
    </w:p>
    <w:p w14:paraId="76B84B9A" w14:textId="1D4704B4" w:rsidR="004A2EA7" w:rsidRPr="00777BB0" w:rsidRDefault="004A2EA7" w:rsidP="00822797">
      <w:pPr>
        <w:ind w:left="1560"/>
        <w:jc w:val="center"/>
        <w:rPr>
          <w:rFonts w:asciiTheme="majorHAnsi" w:hAnsiTheme="majorHAnsi" w:cs="Arial"/>
          <w:b/>
          <w:sz w:val="24"/>
          <w:szCs w:val="24"/>
          <w:u w:val="single"/>
        </w:rPr>
      </w:pPr>
      <w:r w:rsidRPr="00777BB0">
        <w:rPr>
          <w:rFonts w:asciiTheme="majorHAnsi" w:hAnsiTheme="majorHAnsi" w:cs="Arial"/>
          <w:b/>
          <w:sz w:val="24"/>
          <w:szCs w:val="24"/>
          <w:u w:val="single"/>
        </w:rPr>
        <w:t xml:space="preserve">WIHEA Learning Circle – </w:t>
      </w:r>
      <w:r w:rsidR="00BD3301">
        <w:rPr>
          <w:rFonts w:asciiTheme="majorHAnsi" w:hAnsiTheme="majorHAnsi" w:cs="Arial"/>
          <w:sz w:val="24"/>
          <w:szCs w:val="24"/>
          <w:u w:val="single"/>
        </w:rPr>
        <w:t>Teaching Reward and Recognition (TR&amp;R)</w:t>
      </w:r>
    </w:p>
    <w:p w14:paraId="13A3AAFB" w14:textId="35BC23BE" w:rsidR="004A2EA7" w:rsidRDefault="004A2EA7" w:rsidP="00822797">
      <w:pPr>
        <w:ind w:left="1560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TERMS OF REFERENCE</w:t>
      </w:r>
    </w:p>
    <w:p w14:paraId="174B67BF" w14:textId="6FD66A06" w:rsidR="004A2EA7" w:rsidRDefault="004A2EA7" w:rsidP="00822797">
      <w:pPr>
        <w:ind w:left="1560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C86C148" w14:textId="293FCA99" w:rsidR="00330924" w:rsidRPr="00330924" w:rsidRDefault="004A2EA7" w:rsidP="00330924">
      <w:pPr>
        <w:pStyle w:val="ListParagraph"/>
        <w:numPr>
          <w:ilvl w:val="0"/>
          <w:numId w:val="2"/>
        </w:numPr>
        <w:jc w:val="center"/>
        <w:rPr>
          <w:rFonts w:asciiTheme="majorHAnsi" w:hAnsiTheme="majorHAnsi" w:cs="Arial"/>
          <w:b/>
          <w:sz w:val="24"/>
          <w:szCs w:val="24"/>
        </w:rPr>
      </w:pPr>
      <w:r w:rsidRPr="00330924">
        <w:rPr>
          <w:rFonts w:asciiTheme="majorHAnsi" w:hAnsiTheme="majorHAnsi" w:cs="Arial"/>
          <w:b/>
          <w:sz w:val="24"/>
          <w:szCs w:val="24"/>
        </w:rPr>
        <w:t xml:space="preserve">Please provide a description of the Learning Circle and </w:t>
      </w:r>
      <w:r w:rsidR="00330924" w:rsidRPr="00330924">
        <w:rPr>
          <w:rFonts w:asciiTheme="majorHAnsi" w:hAnsiTheme="majorHAnsi" w:cs="Arial"/>
          <w:b/>
          <w:sz w:val="24"/>
          <w:szCs w:val="24"/>
        </w:rPr>
        <w:t>main aim</w:t>
      </w:r>
      <w:r w:rsidR="00330924">
        <w:rPr>
          <w:rFonts w:asciiTheme="majorHAnsi" w:hAnsiTheme="majorHAnsi" w:cs="Arial"/>
          <w:b/>
          <w:sz w:val="24"/>
          <w:szCs w:val="24"/>
        </w:rPr>
        <w:t>.</w:t>
      </w:r>
    </w:p>
    <w:p w14:paraId="04C407F6" w14:textId="34FCBE4A" w:rsidR="00330924" w:rsidRDefault="00330924" w:rsidP="00330924">
      <w:pPr>
        <w:ind w:left="1560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9E74540" w14:textId="488C3206" w:rsidR="00BD3301" w:rsidRPr="00BD3301" w:rsidRDefault="00BD3301" w:rsidP="00BD3301">
      <w:pPr>
        <w:ind w:left="1560"/>
        <w:rPr>
          <w:rFonts w:asciiTheme="majorHAnsi" w:hAnsiTheme="majorHAnsi" w:cs="Arial"/>
          <w:sz w:val="24"/>
          <w:szCs w:val="24"/>
        </w:rPr>
      </w:pPr>
      <w:r w:rsidRPr="00BD3301">
        <w:rPr>
          <w:rFonts w:asciiTheme="majorHAnsi" w:hAnsiTheme="majorHAnsi" w:cs="Arial"/>
          <w:sz w:val="24"/>
          <w:szCs w:val="24"/>
        </w:rPr>
        <w:t>The Teaching Recognition and Reward (TR&amp;R) Learning Cir</w:t>
      </w:r>
      <w:r>
        <w:rPr>
          <w:rFonts w:asciiTheme="majorHAnsi" w:hAnsiTheme="majorHAnsi" w:cs="Arial"/>
          <w:sz w:val="24"/>
          <w:szCs w:val="24"/>
        </w:rPr>
        <w:t>c</w:t>
      </w:r>
      <w:r w:rsidRPr="00BD3301">
        <w:rPr>
          <w:rFonts w:asciiTheme="majorHAnsi" w:hAnsiTheme="majorHAnsi" w:cs="Arial"/>
          <w:sz w:val="24"/>
          <w:szCs w:val="24"/>
        </w:rPr>
        <w:t>le aims to be able to inform institutional deliberations on issues of:</w:t>
      </w:r>
      <w:r>
        <w:rPr>
          <w:rFonts w:asciiTheme="majorHAnsi" w:hAnsiTheme="majorHAnsi" w:cs="Arial"/>
          <w:sz w:val="24"/>
          <w:szCs w:val="24"/>
        </w:rPr>
        <w:t xml:space="preserve"> </w:t>
      </w:r>
      <w:r w:rsidRPr="00BD3301">
        <w:rPr>
          <w:rFonts w:asciiTheme="majorHAnsi" w:hAnsiTheme="majorHAnsi" w:cs="Arial"/>
          <w:sz w:val="24"/>
          <w:szCs w:val="24"/>
        </w:rPr>
        <w:t>Parity of research and teaching</w:t>
      </w:r>
      <w:r>
        <w:rPr>
          <w:rFonts w:asciiTheme="majorHAnsi" w:hAnsiTheme="majorHAnsi" w:cs="Arial"/>
          <w:sz w:val="24"/>
          <w:szCs w:val="24"/>
        </w:rPr>
        <w:t xml:space="preserve">; </w:t>
      </w:r>
      <w:r w:rsidRPr="00BD3301">
        <w:rPr>
          <w:rFonts w:asciiTheme="majorHAnsi" w:hAnsiTheme="majorHAnsi" w:cs="Arial"/>
          <w:sz w:val="24"/>
          <w:szCs w:val="24"/>
        </w:rPr>
        <w:t>Teaching career development</w:t>
      </w:r>
      <w:r>
        <w:rPr>
          <w:rFonts w:asciiTheme="majorHAnsi" w:hAnsiTheme="majorHAnsi" w:cs="Arial"/>
          <w:sz w:val="24"/>
          <w:szCs w:val="24"/>
        </w:rPr>
        <w:t xml:space="preserve">; </w:t>
      </w:r>
      <w:r w:rsidRPr="00BD3301">
        <w:rPr>
          <w:rFonts w:asciiTheme="majorHAnsi" w:hAnsiTheme="majorHAnsi" w:cs="Arial"/>
          <w:sz w:val="24"/>
          <w:szCs w:val="24"/>
        </w:rPr>
        <w:t>Recognition and reward of teaching activity</w:t>
      </w:r>
      <w:r>
        <w:rPr>
          <w:rFonts w:asciiTheme="majorHAnsi" w:hAnsiTheme="majorHAnsi" w:cs="Arial"/>
          <w:sz w:val="24"/>
          <w:szCs w:val="24"/>
        </w:rPr>
        <w:t xml:space="preserve">. </w:t>
      </w:r>
    </w:p>
    <w:p w14:paraId="0FAE4ADD" w14:textId="6E35019B" w:rsidR="004A2EA7" w:rsidRPr="00330924" w:rsidRDefault="00330924" w:rsidP="00556E0D">
      <w:pPr>
        <w:pStyle w:val="ListParagraph"/>
        <w:numPr>
          <w:ilvl w:val="0"/>
          <w:numId w:val="2"/>
        </w:numPr>
        <w:jc w:val="center"/>
        <w:rPr>
          <w:rFonts w:asciiTheme="majorHAnsi" w:hAnsiTheme="majorHAnsi" w:cs="Arial"/>
          <w:b/>
          <w:sz w:val="24"/>
          <w:szCs w:val="24"/>
        </w:rPr>
      </w:pPr>
      <w:r w:rsidRPr="00330924">
        <w:rPr>
          <w:rFonts w:asciiTheme="majorHAnsi" w:hAnsiTheme="majorHAnsi" w:cs="Arial"/>
          <w:b/>
          <w:sz w:val="24"/>
          <w:szCs w:val="24"/>
        </w:rPr>
        <w:t>Agreed Common Goals</w:t>
      </w:r>
      <w:r w:rsidR="004A2EA7" w:rsidRPr="00330924">
        <w:rPr>
          <w:rFonts w:asciiTheme="majorHAnsi" w:hAnsiTheme="majorHAnsi" w:cs="Arial"/>
          <w:b/>
          <w:sz w:val="24"/>
          <w:szCs w:val="24"/>
        </w:rPr>
        <w:t xml:space="preserve"> </w:t>
      </w:r>
      <w:r w:rsidRPr="00330924">
        <w:rPr>
          <w:rFonts w:asciiTheme="majorHAnsi" w:hAnsiTheme="majorHAnsi" w:cs="Arial"/>
          <w:b/>
          <w:sz w:val="24"/>
          <w:szCs w:val="24"/>
        </w:rPr>
        <w:t>(as developed by the Circle)</w:t>
      </w:r>
      <w:r>
        <w:rPr>
          <w:rFonts w:asciiTheme="majorHAnsi" w:hAnsiTheme="majorHAnsi" w:cs="Arial"/>
          <w:b/>
          <w:sz w:val="24"/>
          <w:szCs w:val="24"/>
        </w:rPr>
        <w:t>.</w:t>
      </w:r>
    </w:p>
    <w:p w14:paraId="5DB013B7" w14:textId="4053661D" w:rsidR="00330924" w:rsidRPr="00330924" w:rsidRDefault="00330924" w:rsidP="00330924">
      <w:pPr>
        <w:ind w:left="1560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C9973A" w14:textId="3CFE8FC9" w:rsidR="00B40007" w:rsidRPr="007B77AB" w:rsidRDefault="00BD3301" w:rsidP="00BD3301">
      <w:pPr>
        <w:ind w:left="1560"/>
        <w:rPr>
          <w:rFonts w:asciiTheme="majorHAnsi" w:hAnsiTheme="majorHAnsi" w:cs="Arial"/>
          <w:sz w:val="24"/>
          <w:szCs w:val="24"/>
        </w:rPr>
      </w:pPr>
      <w:r w:rsidRPr="00BD3301">
        <w:rPr>
          <w:rFonts w:asciiTheme="majorHAnsi" w:hAnsiTheme="majorHAnsi" w:cs="Arial"/>
          <w:sz w:val="24"/>
          <w:szCs w:val="24"/>
        </w:rPr>
        <w:t xml:space="preserve">This learning circle aims to provide scholarly evidence-based advice and input to the institutional consideration of these issues. It will achieve this by a systematic review and critical appraisal of the corpus of research conducted in this field in recent decades and, to provide a focus to this intention. We aim to help inform all aspects of recognition and reward of the full diversity of teaching activities, and to </w:t>
      </w:r>
      <w:r w:rsidRPr="007B77AB">
        <w:rPr>
          <w:rFonts w:asciiTheme="majorHAnsi" w:hAnsiTheme="majorHAnsi" w:cs="Arial"/>
          <w:sz w:val="24"/>
          <w:szCs w:val="24"/>
        </w:rPr>
        <w:t>support and enthuse the promotion and adoption of excellent teaching practices across the institution</w:t>
      </w:r>
      <w:r w:rsidR="00B40007">
        <w:rPr>
          <w:rFonts w:asciiTheme="majorHAnsi" w:hAnsiTheme="majorHAnsi" w:cs="Arial"/>
          <w:sz w:val="24"/>
          <w:szCs w:val="24"/>
        </w:rPr>
        <w:t xml:space="preserve">. </w:t>
      </w:r>
      <w:r w:rsidR="00B40007" w:rsidRPr="00B40007">
        <w:rPr>
          <w:rFonts w:asciiTheme="majorHAnsi" w:hAnsiTheme="majorHAnsi" w:cs="Arial"/>
          <w:sz w:val="24"/>
          <w:szCs w:val="24"/>
        </w:rPr>
        <w:t xml:space="preserve">The circle will aim to promote a seamless integration of teaching and research within the institution by opening a dialogue with research colleagues on how best to translate research outputs to </w:t>
      </w:r>
      <w:r w:rsidR="007443E8">
        <w:rPr>
          <w:rFonts w:asciiTheme="majorHAnsi" w:hAnsiTheme="majorHAnsi" w:cs="Arial"/>
          <w:sz w:val="24"/>
          <w:szCs w:val="24"/>
        </w:rPr>
        <w:t>‘</w:t>
      </w:r>
      <w:r w:rsidR="00B40007" w:rsidRPr="00B40007">
        <w:rPr>
          <w:rFonts w:asciiTheme="majorHAnsi" w:hAnsiTheme="majorHAnsi" w:cs="Arial"/>
          <w:sz w:val="24"/>
          <w:szCs w:val="24"/>
        </w:rPr>
        <w:t>teachable</w:t>
      </w:r>
      <w:r w:rsidR="007443E8">
        <w:rPr>
          <w:rFonts w:asciiTheme="majorHAnsi" w:hAnsiTheme="majorHAnsi" w:cs="Arial"/>
          <w:sz w:val="24"/>
          <w:szCs w:val="24"/>
        </w:rPr>
        <w:t xml:space="preserve">’ </w:t>
      </w:r>
      <w:r w:rsidR="00B40007" w:rsidRPr="00B40007">
        <w:rPr>
          <w:rFonts w:asciiTheme="majorHAnsi" w:hAnsiTheme="majorHAnsi" w:cs="Arial"/>
          <w:sz w:val="24"/>
          <w:szCs w:val="24"/>
        </w:rPr>
        <w:t>outputs at the right level of student, challenges around pedagogic innovation and student engagement, teaching delivery, curriculum development, and other forms of activity that impacts the student learning experience</w:t>
      </w:r>
      <w:r w:rsidR="00B40007">
        <w:rPr>
          <w:rFonts w:asciiTheme="majorHAnsi" w:hAnsiTheme="majorHAnsi" w:cs="Arial"/>
          <w:sz w:val="24"/>
          <w:szCs w:val="24"/>
        </w:rPr>
        <w:t>.</w:t>
      </w:r>
    </w:p>
    <w:p w14:paraId="49330292" w14:textId="44F6734E" w:rsidR="001E53FB" w:rsidRDefault="00BD3301" w:rsidP="001E53FB">
      <w:pPr>
        <w:ind w:left="1560"/>
        <w:rPr>
          <w:rFonts w:asciiTheme="majorHAnsi" w:hAnsiTheme="majorHAnsi" w:cs="Arial"/>
          <w:sz w:val="24"/>
          <w:szCs w:val="24"/>
        </w:rPr>
      </w:pPr>
      <w:r w:rsidRPr="007B77AB">
        <w:rPr>
          <w:rFonts w:asciiTheme="majorHAnsi" w:hAnsiTheme="majorHAnsi" w:cs="Arial"/>
          <w:sz w:val="24"/>
          <w:szCs w:val="24"/>
        </w:rPr>
        <w:t>It is a further intention</w:t>
      </w:r>
      <w:r w:rsidR="001E53FB" w:rsidRPr="007B77AB">
        <w:rPr>
          <w:rFonts w:asciiTheme="majorHAnsi" w:hAnsiTheme="majorHAnsi" w:cs="Arial"/>
          <w:sz w:val="24"/>
          <w:szCs w:val="24"/>
        </w:rPr>
        <w:t xml:space="preserve"> to use the corpus of evidence collected on the current situation at the institution and the sector as whole to open productive dialogue with different levels of leadership.</w:t>
      </w:r>
    </w:p>
    <w:p w14:paraId="66E027D9" w14:textId="05DC378D" w:rsidR="00330924" w:rsidRDefault="00330924" w:rsidP="00330924">
      <w:pPr>
        <w:pStyle w:val="ListParagraph"/>
        <w:numPr>
          <w:ilvl w:val="0"/>
          <w:numId w:val="2"/>
        </w:numPr>
        <w:jc w:val="center"/>
        <w:rPr>
          <w:rFonts w:asciiTheme="majorHAnsi" w:hAnsiTheme="majorHAnsi" w:cs="Arial"/>
          <w:b/>
          <w:sz w:val="24"/>
          <w:szCs w:val="24"/>
        </w:rPr>
      </w:pPr>
      <w:r w:rsidRPr="00330924">
        <w:rPr>
          <w:rFonts w:asciiTheme="majorHAnsi" w:hAnsiTheme="majorHAnsi" w:cs="Arial"/>
          <w:b/>
          <w:sz w:val="24"/>
          <w:szCs w:val="24"/>
        </w:rPr>
        <w:t xml:space="preserve">Intended outcomes to achieve by the end of the </w:t>
      </w:r>
      <w:r w:rsidR="001E53FB">
        <w:rPr>
          <w:rFonts w:asciiTheme="majorHAnsi" w:hAnsiTheme="majorHAnsi" w:cs="Arial"/>
          <w:b/>
          <w:sz w:val="24"/>
          <w:szCs w:val="24"/>
        </w:rPr>
        <w:t>2023</w:t>
      </w:r>
      <w:r w:rsidR="00556E0D">
        <w:rPr>
          <w:rFonts w:asciiTheme="majorHAnsi" w:hAnsiTheme="majorHAnsi" w:cs="Arial"/>
          <w:b/>
          <w:sz w:val="24"/>
          <w:szCs w:val="24"/>
        </w:rPr>
        <w:t>/2</w:t>
      </w:r>
      <w:r w:rsidR="001E53FB">
        <w:rPr>
          <w:rFonts w:asciiTheme="majorHAnsi" w:hAnsiTheme="majorHAnsi" w:cs="Arial"/>
          <w:b/>
          <w:sz w:val="24"/>
          <w:szCs w:val="24"/>
        </w:rPr>
        <w:t>4</w:t>
      </w:r>
      <w:r w:rsidRPr="00330924">
        <w:rPr>
          <w:rFonts w:asciiTheme="majorHAnsi" w:hAnsiTheme="majorHAnsi" w:cs="Arial"/>
          <w:b/>
          <w:sz w:val="24"/>
          <w:szCs w:val="24"/>
        </w:rPr>
        <w:t xml:space="preserve"> academic year</w:t>
      </w:r>
      <w:r>
        <w:rPr>
          <w:rFonts w:asciiTheme="majorHAnsi" w:hAnsiTheme="majorHAnsi" w:cs="Arial"/>
          <w:b/>
          <w:sz w:val="24"/>
          <w:szCs w:val="24"/>
        </w:rPr>
        <w:t>.</w:t>
      </w:r>
    </w:p>
    <w:p w14:paraId="2A8108E9" w14:textId="77777777" w:rsidR="00BD3301" w:rsidRDefault="00BD3301" w:rsidP="00BD3301">
      <w:pPr>
        <w:ind w:left="1560"/>
        <w:rPr>
          <w:rFonts w:asciiTheme="majorHAnsi" w:hAnsiTheme="majorHAnsi" w:cs="Arial"/>
          <w:b/>
          <w:sz w:val="24"/>
          <w:szCs w:val="24"/>
        </w:rPr>
      </w:pPr>
    </w:p>
    <w:p w14:paraId="7F3AE9CC" w14:textId="53AB9384" w:rsidR="001E53FB" w:rsidRPr="00210A5E" w:rsidRDefault="001E53FB" w:rsidP="00151B63">
      <w:pPr>
        <w:pStyle w:val="ListParagraph"/>
        <w:numPr>
          <w:ilvl w:val="0"/>
          <w:numId w:val="3"/>
        </w:numPr>
        <w:rPr>
          <w:rFonts w:asciiTheme="majorHAnsi" w:hAnsiTheme="majorHAnsi" w:cs="Arial"/>
          <w:sz w:val="24"/>
          <w:szCs w:val="24"/>
        </w:rPr>
      </w:pPr>
      <w:r w:rsidRPr="00210A5E">
        <w:rPr>
          <w:rFonts w:asciiTheme="majorHAnsi" w:hAnsiTheme="majorHAnsi" w:cs="Arial"/>
          <w:sz w:val="24"/>
          <w:szCs w:val="24"/>
        </w:rPr>
        <w:t xml:space="preserve">Comparing Warwick promotions criteria with other comparable institutions. In 2009, the Advance HE </w:t>
      </w:r>
      <w:proofErr w:type="gramStart"/>
      <w:r w:rsidRPr="00210A5E">
        <w:rPr>
          <w:rFonts w:asciiTheme="majorHAnsi" w:hAnsiTheme="majorHAnsi" w:cs="Arial"/>
          <w:sz w:val="24"/>
          <w:szCs w:val="24"/>
        </w:rPr>
        <w:t>report</w:t>
      </w:r>
      <w:proofErr w:type="gramEnd"/>
      <w:r w:rsidRPr="00210A5E">
        <w:rPr>
          <w:rFonts w:asciiTheme="majorHAnsi" w:hAnsiTheme="majorHAnsi" w:cs="Arial"/>
          <w:sz w:val="24"/>
          <w:szCs w:val="24"/>
        </w:rPr>
        <w:t xml:space="preserve"> (‘Reward and Recognition of Teaching in Higher Education’) recommended that “Universities and colleges should record data concerning academic promotions in a systematic way that will enable comparisons to be made between </w:t>
      </w:r>
      <w:r w:rsidRPr="00210A5E">
        <w:rPr>
          <w:rFonts w:asciiTheme="majorHAnsi" w:hAnsiTheme="majorHAnsi" w:cs="Arial"/>
          <w:sz w:val="24"/>
          <w:szCs w:val="24"/>
        </w:rPr>
        <w:lastRenderedPageBreak/>
        <w:t xml:space="preserve">institutions”. </w:t>
      </w:r>
      <w:r w:rsidR="00556E0D" w:rsidRPr="00210A5E">
        <w:rPr>
          <w:rFonts w:asciiTheme="majorHAnsi" w:hAnsiTheme="majorHAnsi" w:cs="Arial"/>
          <w:sz w:val="24"/>
          <w:szCs w:val="24"/>
        </w:rPr>
        <w:t>We will submit a WIHEA project proposal for a</w:t>
      </w:r>
      <w:r w:rsidR="00556E0D" w:rsidRPr="00210A5E">
        <w:rPr>
          <w:rFonts w:cs="Arial"/>
          <w:bCs/>
          <w:sz w:val="24"/>
          <w:szCs w:val="24"/>
        </w:rPr>
        <w:t xml:space="preserve"> project that </w:t>
      </w:r>
      <w:r w:rsidRPr="00210A5E">
        <w:rPr>
          <w:rFonts w:cs="Arial"/>
          <w:bCs/>
          <w:sz w:val="24"/>
          <w:szCs w:val="24"/>
        </w:rPr>
        <w:t xml:space="preserve">engages students </w:t>
      </w:r>
      <w:r w:rsidR="00210A5E" w:rsidRPr="00210A5E">
        <w:rPr>
          <w:rFonts w:cs="Arial"/>
          <w:bCs/>
          <w:sz w:val="24"/>
          <w:szCs w:val="24"/>
        </w:rPr>
        <w:t>in a project collating this information from comparable institutions</w:t>
      </w:r>
      <w:r w:rsidRPr="00210A5E">
        <w:rPr>
          <w:rFonts w:cs="Arial"/>
          <w:bCs/>
          <w:sz w:val="24"/>
          <w:szCs w:val="24"/>
        </w:rPr>
        <w:t xml:space="preserve">, co-creating </w:t>
      </w:r>
      <w:r w:rsidR="00210A5E">
        <w:rPr>
          <w:rFonts w:cs="Arial"/>
          <w:bCs/>
          <w:sz w:val="24"/>
          <w:szCs w:val="24"/>
        </w:rPr>
        <w:t>resources to demonstrate Warwick’s position in comparison with other institutions and highlighting areas of potential development.</w:t>
      </w:r>
    </w:p>
    <w:p w14:paraId="24F9A7F1" w14:textId="6819A5D6" w:rsidR="00556E0D" w:rsidRPr="00210A5E" w:rsidRDefault="00966283" w:rsidP="00210A5E">
      <w:pPr>
        <w:pStyle w:val="ListParagraph"/>
        <w:numPr>
          <w:ilvl w:val="0"/>
          <w:numId w:val="3"/>
        </w:numPr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Terminology.</w:t>
      </w:r>
      <w:r w:rsidR="00210A5E">
        <w:rPr>
          <w:rFonts w:asciiTheme="majorHAnsi" w:hAnsiTheme="majorHAnsi" w:cs="Arial"/>
          <w:sz w:val="24"/>
          <w:szCs w:val="24"/>
        </w:rPr>
        <w:t xml:space="preserve"> Further to recording previous achievements in this area, look to add new professorial exemplar promotion applications on webpages to demonstrate the variety of experiences and paths to promotion. Additionally, undertake a status check to see how </w:t>
      </w:r>
      <w:r w:rsidR="00556E0D" w:rsidRPr="00210A5E">
        <w:rPr>
          <w:rFonts w:asciiTheme="majorHAnsi" w:hAnsiTheme="majorHAnsi" w:cs="Arial"/>
          <w:sz w:val="24"/>
          <w:szCs w:val="24"/>
        </w:rPr>
        <w:t>the use of terminology used to refer to teaching focused staff</w:t>
      </w:r>
      <w:r w:rsidR="00210A5E">
        <w:rPr>
          <w:rFonts w:asciiTheme="majorHAnsi" w:hAnsiTheme="majorHAnsi" w:cs="Arial"/>
          <w:sz w:val="24"/>
          <w:szCs w:val="24"/>
        </w:rPr>
        <w:t xml:space="preserve">, </w:t>
      </w:r>
      <w:r w:rsidR="00556E0D" w:rsidRPr="00210A5E">
        <w:rPr>
          <w:rFonts w:asciiTheme="majorHAnsi" w:hAnsiTheme="majorHAnsi" w:cs="Arial"/>
          <w:sz w:val="24"/>
          <w:szCs w:val="24"/>
        </w:rPr>
        <w:t xml:space="preserve">both in recruitment and existing staff, </w:t>
      </w:r>
      <w:r w:rsidR="00210A5E">
        <w:rPr>
          <w:rFonts w:asciiTheme="majorHAnsi" w:hAnsiTheme="majorHAnsi" w:cs="Arial"/>
          <w:sz w:val="24"/>
          <w:szCs w:val="24"/>
        </w:rPr>
        <w:t>is being implemented across the institution and to identify areas of good practice.</w:t>
      </w:r>
    </w:p>
    <w:p w14:paraId="4C597A5A" w14:textId="0D5B1BC4" w:rsidR="009C5A6A" w:rsidRDefault="009C5A6A" w:rsidP="00BD3301">
      <w:pPr>
        <w:pStyle w:val="ListParagraph"/>
        <w:numPr>
          <w:ilvl w:val="0"/>
          <w:numId w:val="3"/>
        </w:numPr>
        <w:rPr>
          <w:rFonts w:asciiTheme="majorHAnsi" w:hAnsiTheme="majorHAnsi" w:cs="Arial"/>
          <w:sz w:val="24"/>
          <w:szCs w:val="24"/>
        </w:rPr>
      </w:pPr>
      <w:r w:rsidRPr="009C5A6A">
        <w:rPr>
          <w:rFonts w:asciiTheme="majorHAnsi" w:hAnsiTheme="majorHAnsi" w:cs="Arial"/>
          <w:sz w:val="24"/>
          <w:szCs w:val="24"/>
        </w:rPr>
        <w:t xml:space="preserve">“Pathway to Professor”. This project builds on the interviews the group conducted in Summer 2023 with current teaching-focused professors. The interviews are </w:t>
      </w:r>
      <w:r>
        <w:rPr>
          <w:rFonts w:asciiTheme="majorHAnsi" w:hAnsiTheme="majorHAnsi" w:cs="Arial"/>
          <w:sz w:val="24"/>
          <w:szCs w:val="24"/>
        </w:rPr>
        <w:t xml:space="preserve">currently </w:t>
      </w:r>
      <w:r w:rsidRPr="009C5A6A">
        <w:rPr>
          <w:rFonts w:asciiTheme="majorHAnsi" w:hAnsiTheme="majorHAnsi" w:cs="Arial"/>
          <w:sz w:val="24"/>
          <w:szCs w:val="24"/>
        </w:rPr>
        <w:t>being analysed and will enable the production of resources that provide examples of good practice for career planning, inspire new ideas and fresh approaches that help create and navigate a plan to professor. It will also provide support for those conducting PDRs. The intention is to combine these resources with the newly founded Teaching-focused Professor network</w:t>
      </w:r>
      <w:r>
        <w:rPr>
          <w:rFonts w:asciiTheme="majorHAnsi" w:hAnsiTheme="majorHAnsi" w:cs="Arial"/>
          <w:sz w:val="24"/>
          <w:szCs w:val="24"/>
        </w:rPr>
        <w:t>.</w:t>
      </w:r>
    </w:p>
    <w:p w14:paraId="570DE774" w14:textId="77777777" w:rsidR="009C5A6A" w:rsidRDefault="009C5A6A" w:rsidP="009C5A6A">
      <w:pPr>
        <w:pStyle w:val="ListParagraph"/>
        <w:ind w:left="1920"/>
        <w:rPr>
          <w:rFonts w:asciiTheme="majorHAnsi" w:hAnsiTheme="majorHAnsi" w:cs="Arial"/>
          <w:sz w:val="24"/>
          <w:szCs w:val="24"/>
        </w:rPr>
      </w:pPr>
    </w:p>
    <w:p w14:paraId="64AE73D7" w14:textId="3C4AE1C6" w:rsidR="00330924" w:rsidRPr="00330924" w:rsidRDefault="004E0AC6" w:rsidP="00924C1B">
      <w:pPr>
        <w:ind w:right="851" w:firstLine="1418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Prepared</w:t>
      </w:r>
      <w:r w:rsidR="00330924" w:rsidRPr="00330924">
        <w:rPr>
          <w:rFonts w:asciiTheme="majorHAnsi" w:hAnsiTheme="majorHAnsi" w:cstheme="majorHAnsi"/>
        </w:rPr>
        <w:t xml:space="preserve"> by:</w:t>
      </w:r>
    </w:p>
    <w:p w14:paraId="753D441F" w14:textId="096BB6A7" w:rsidR="00330924" w:rsidRPr="00330924" w:rsidRDefault="00BD3301" w:rsidP="00BD3301">
      <w:pPr>
        <w:ind w:right="851" w:firstLine="1418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b/>
        </w:rPr>
        <w:t xml:space="preserve">Learning Circle </w:t>
      </w:r>
      <w:r w:rsidR="00330924" w:rsidRPr="00330924">
        <w:rPr>
          <w:rFonts w:asciiTheme="majorHAnsi" w:hAnsiTheme="majorHAnsi" w:cstheme="majorHAnsi"/>
          <w:b/>
        </w:rPr>
        <w:t>Co-Lead</w:t>
      </w:r>
      <w:r>
        <w:rPr>
          <w:rFonts w:asciiTheme="majorHAnsi" w:hAnsiTheme="majorHAnsi" w:cstheme="majorHAnsi"/>
          <w:b/>
        </w:rPr>
        <w:t xml:space="preserve">s: </w:t>
      </w:r>
      <w:r w:rsidR="009C5A6A">
        <w:rPr>
          <w:rFonts w:asciiTheme="majorHAnsi" w:hAnsiTheme="majorHAnsi" w:cstheme="majorHAnsi"/>
        </w:rPr>
        <w:t>Ali Ahmad and Simon Peplow</w:t>
      </w:r>
    </w:p>
    <w:p w14:paraId="2CEBAB1A" w14:textId="7F7F4983" w:rsidR="00330924" w:rsidRPr="00330924" w:rsidRDefault="00330924" w:rsidP="00924C1B">
      <w:pPr>
        <w:ind w:right="851" w:firstLine="1418"/>
        <w:rPr>
          <w:rFonts w:asciiTheme="majorHAnsi" w:hAnsiTheme="majorHAnsi" w:cstheme="majorHAnsi"/>
        </w:rPr>
      </w:pPr>
      <w:r w:rsidRPr="00330924">
        <w:rPr>
          <w:rFonts w:asciiTheme="majorHAnsi" w:hAnsiTheme="majorHAnsi" w:cstheme="majorHAnsi"/>
          <w:b/>
        </w:rPr>
        <w:t>Date:</w:t>
      </w:r>
      <w:r w:rsidRPr="00330924">
        <w:rPr>
          <w:rFonts w:asciiTheme="majorHAnsi" w:hAnsiTheme="majorHAnsi" w:cstheme="majorHAnsi"/>
        </w:rPr>
        <w:t xml:space="preserve"> </w:t>
      </w:r>
      <w:r w:rsidR="009C5A6A">
        <w:rPr>
          <w:rFonts w:asciiTheme="majorHAnsi" w:hAnsiTheme="majorHAnsi" w:cstheme="majorHAnsi"/>
        </w:rPr>
        <w:t>1</w:t>
      </w:r>
      <w:r w:rsidR="007B77AB">
        <w:rPr>
          <w:rFonts w:asciiTheme="majorHAnsi" w:hAnsiTheme="majorHAnsi" w:cstheme="majorHAnsi"/>
        </w:rPr>
        <w:t>3</w:t>
      </w:r>
      <w:r w:rsidR="00556E0D">
        <w:rPr>
          <w:rFonts w:asciiTheme="majorHAnsi" w:hAnsiTheme="majorHAnsi" w:cstheme="majorHAnsi"/>
        </w:rPr>
        <w:t>/</w:t>
      </w:r>
      <w:r w:rsidR="009C5A6A">
        <w:rPr>
          <w:rFonts w:asciiTheme="majorHAnsi" w:hAnsiTheme="majorHAnsi" w:cstheme="majorHAnsi"/>
        </w:rPr>
        <w:t>02</w:t>
      </w:r>
      <w:r w:rsidR="00556E0D">
        <w:rPr>
          <w:rFonts w:asciiTheme="majorHAnsi" w:hAnsiTheme="majorHAnsi" w:cstheme="majorHAnsi"/>
        </w:rPr>
        <w:t>/2</w:t>
      </w:r>
      <w:r w:rsidR="009C5A6A">
        <w:rPr>
          <w:rFonts w:asciiTheme="majorHAnsi" w:hAnsiTheme="majorHAnsi" w:cstheme="majorHAnsi"/>
        </w:rPr>
        <w:t>4</w:t>
      </w:r>
    </w:p>
    <w:sectPr w:rsidR="00330924" w:rsidRPr="00330924" w:rsidSect="006B4755">
      <w:headerReference w:type="even" r:id="rId11"/>
      <w:headerReference w:type="default" r:id="rId12"/>
      <w:footerReference w:type="default" r:id="rId13"/>
      <w:pgSz w:w="11900" w:h="16840"/>
      <w:pgMar w:top="2552" w:right="843" w:bottom="2127" w:left="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51ED5B" w14:textId="77777777" w:rsidR="00202B78" w:rsidRDefault="00202B78" w:rsidP="0032312F">
      <w:pPr>
        <w:spacing w:after="0" w:line="240" w:lineRule="auto"/>
      </w:pPr>
      <w:r>
        <w:separator/>
      </w:r>
    </w:p>
  </w:endnote>
  <w:endnote w:type="continuationSeparator" w:id="0">
    <w:p w14:paraId="20230BF7" w14:textId="77777777" w:rsidR="00202B78" w:rsidRDefault="00202B78" w:rsidP="003231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B38B3A" w14:textId="1129639F" w:rsidR="0032312F" w:rsidRDefault="00924C1B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4D0E7E33" wp14:editId="1D8D85EC">
              <wp:simplePos x="0" y="0"/>
              <wp:positionH relativeFrom="column">
                <wp:posOffset>5598795</wp:posOffset>
              </wp:positionH>
              <wp:positionV relativeFrom="paragraph">
                <wp:posOffset>-113665</wp:posOffset>
              </wp:positionV>
              <wp:extent cx="2374265" cy="1378634"/>
              <wp:effectExtent l="0" t="0" r="635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4265" cy="1378634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663C19" w14:textId="77777777" w:rsidR="00924C1B" w:rsidRPr="0099590E" w:rsidRDefault="00924C1B" w:rsidP="00924C1B">
                          <w:pPr>
                            <w:spacing w:after="0" w:line="240" w:lineRule="auto"/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</w:pPr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  <w:t>WIHEA, 2</w:t>
                          </w:r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  <w:vertAlign w:val="superscript"/>
                            </w:rPr>
                            <w:t>nd</w:t>
                          </w:r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  <w:t xml:space="preserve"> Floor, </w:t>
                          </w:r>
                        </w:p>
                        <w:p w14:paraId="30E24125" w14:textId="4A715983" w:rsidR="00924C1B" w:rsidRPr="0099590E" w:rsidRDefault="00924C1B" w:rsidP="00924C1B">
                          <w:pPr>
                            <w:spacing w:after="0" w:line="240" w:lineRule="auto"/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</w:pPr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  <w:t>Room SH2.15, Senate House</w:t>
                          </w:r>
                        </w:p>
                        <w:p w14:paraId="1646B741" w14:textId="34418A5F" w:rsidR="00924C1B" w:rsidRPr="0099590E" w:rsidRDefault="00924C1B" w:rsidP="00924C1B">
                          <w:pPr>
                            <w:spacing w:after="0" w:line="240" w:lineRule="auto"/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</w:pPr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  <w:t>University of Warwick, CV4 7AL</w:t>
                          </w:r>
                        </w:p>
                        <w:p w14:paraId="31F0F2AF" w14:textId="6ED98339" w:rsidR="00924C1B" w:rsidRPr="0099590E" w:rsidRDefault="00924C1B" w:rsidP="00924C1B">
                          <w:pPr>
                            <w:spacing w:after="0" w:line="240" w:lineRule="auto"/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</w:pPr>
                          <w:proofErr w:type="gramStart"/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  <w:t>E  WIHEA@warwick.ac.uk</w:t>
                          </w:r>
                          <w:proofErr w:type="gramEnd"/>
                        </w:p>
                        <w:p w14:paraId="039AF4A7" w14:textId="77777777" w:rsidR="00924C1B" w:rsidRPr="0099590E" w:rsidRDefault="00924C1B" w:rsidP="00924C1B">
                          <w:pPr>
                            <w:spacing w:after="0" w:line="240" w:lineRule="auto"/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</w:pPr>
                          <w:proofErr w:type="gramStart"/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  <w:t>T  +</w:t>
                          </w:r>
                          <w:proofErr w:type="gramEnd"/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  <w:t>44 (0)24 7652 8871</w:t>
                          </w:r>
                        </w:p>
                        <w:p w14:paraId="6AA84C4F" w14:textId="77777777" w:rsidR="00924C1B" w:rsidRPr="0099590E" w:rsidRDefault="00924C1B" w:rsidP="00924C1B">
                          <w:pPr>
                            <w:spacing w:after="0" w:line="240" w:lineRule="auto"/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</w:pPr>
                        </w:p>
                        <w:p w14:paraId="29BB8A9D" w14:textId="558461E4" w:rsidR="0032312F" w:rsidRPr="0099590E" w:rsidRDefault="00924C1B" w:rsidP="00924C1B">
                          <w:pPr>
                            <w:spacing w:after="0" w:line="240" w:lineRule="auto"/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</w:pPr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  <w:t>www.warwick.ac.uk/wihea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0E7E3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40.85pt;margin-top:-8.95pt;width:186.95pt;height:108.55pt;z-index:251665408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BkDwIAAPcDAAAOAAAAZHJzL2Uyb0RvYy54bWysU9uO2yAQfa/Uf0C8N06cy2atOKtttqkq&#10;bS/Sth+AMY5RgaFAYqdf3wF7s2n7VpUHxDDDmZkzh81drxU5CeclmJLOJlNKhOFQS3Mo6bev+zdr&#10;SnxgpmYKjCjpWXh6t339atPZQuTQgqqFIwhifNHZkrYh2CLLPG+FZn4CVhh0NuA0C2i6Q1Y71iG6&#10;Vlk+na6yDlxtHXDhPd4+DE66TfhNI3j43DReBKJKirWFtLu0V3HPthtWHByzreRjGewfqtBMGkx6&#10;gXpggZGjk39BackdeGjChIPOoGkkF6kH7GY2/aObp5ZZkXpBcry90OT/Hyz/dHqyXxwJ/VvocYCp&#10;CW8fgX/3xMCuZeYg7p2DrhWsxsSzSFnWWV+MTyPVvvARpOo+Qo1DZscACahvnI6sYJ8E0XEA5wvp&#10;og+E42U+v1nkqyUlHH2z+c16NV+kHKx4fm6dD+8FaBIPJXU41QTPTo8+xHJY8RwSs3lQst5LpZLh&#10;DtVOOXJiqIB9WiP6b2HKkK6kt8t8mZANxPdJHFoGVKiSuqTraVyDZiId70ydQgKTajhjJcqM/ERK&#10;BnJCX/UYGHmqoD4jUw4GJeLPwUML7iclHaqwpP7HkTlBifpgkO3b2WIRZZuMxfImR8Nde6prDzMc&#10;oUoaKBmOu5CkHnkwcI9TaWTi66WSsVZUV6Jx/AlRvtd2inr5r9tfAAAA//8DAFBLAwQUAAYACAAA&#10;ACEAHelj3OAAAAAMAQAADwAAAGRycy9kb3ducmV2LnhtbEyPy2rDMBBF94X+g5hCd4lsQ+JHLYdS&#10;MC14laQfIFvjB7ZGxlIc9++rrNrdDHO4c25+2vTEVlzsYEhAuA+AITVGDdQJ+L6WuwSYdZKUnAyh&#10;gB+0cCqen3KZKXOnM64X1zEfQjaTAnrn5oxz2/Sopd2bGcnfWrNo6fy6dFwt8u7D9cSjIDhyLQfy&#10;H3o540ePzXi5aQFfVVO2UaXb1Y2hHqtz/Vm2sRCvL9v7GzCHm/uD4aHv1aHwTrW5kbJsEpAkYexR&#10;AbswToE9iOhwOAKr/ZSmEfAi5/9LFL8AAAD//wMAUEsBAi0AFAAGAAgAAAAhALaDOJL+AAAA4QEA&#10;ABMAAAAAAAAAAAAAAAAAAAAAAFtDb250ZW50X1R5cGVzXS54bWxQSwECLQAUAAYACAAAACEAOP0h&#10;/9YAAACUAQAACwAAAAAAAAAAAAAAAAAvAQAAX3JlbHMvLnJlbHNQSwECLQAUAAYACAAAACEAncXg&#10;ZA8CAAD3AwAADgAAAAAAAAAAAAAAAAAuAgAAZHJzL2Uyb0RvYy54bWxQSwECLQAUAAYACAAAACEA&#10;Helj3OAAAAAMAQAADwAAAAAAAAAAAAAAAABpBAAAZHJzL2Rvd25yZXYueG1sUEsFBgAAAAAEAAQA&#10;8wAAAHYFAAAAAA==&#10;" stroked="f">
              <v:textbox>
                <w:txbxContent>
                  <w:p w14:paraId="51663C19" w14:textId="77777777" w:rsidR="00924C1B" w:rsidRPr="0099590E" w:rsidRDefault="00924C1B" w:rsidP="00924C1B">
                    <w:pPr>
                      <w:spacing w:after="0" w:line="240" w:lineRule="auto"/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</w:pPr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  <w:t>WIHEA, 2</w:t>
                    </w:r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  <w:vertAlign w:val="superscript"/>
                      </w:rPr>
                      <w:t>nd</w:t>
                    </w:r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  <w:t xml:space="preserve"> Floor, </w:t>
                    </w:r>
                  </w:p>
                  <w:p w14:paraId="30E24125" w14:textId="4A715983" w:rsidR="00924C1B" w:rsidRPr="0099590E" w:rsidRDefault="00924C1B" w:rsidP="00924C1B">
                    <w:pPr>
                      <w:spacing w:after="0" w:line="240" w:lineRule="auto"/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</w:pPr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  <w:t>Room SH2.15, Senate House</w:t>
                    </w:r>
                  </w:p>
                  <w:p w14:paraId="1646B741" w14:textId="34418A5F" w:rsidR="00924C1B" w:rsidRPr="0099590E" w:rsidRDefault="00924C1B" w:rsidP="00924C1B">
                    <w:pPr>
                      <w:spacing w:after="0" w:line="240" w:lineRule="auto"/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</w:pPr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  <w:t>University of Warwick, CV4 7AL</w:t>
                    </w:r>
                  </w:p>
                  <w:p w14:paraId="31F0F2AF" w14:textId="6ED98339" w:rsidR="00924C1B" w:rsidRPr="0099590E" w:rsidRDefault="00924C1B" w:rsidP="00924C1B">
                    <w:pPr>
                      <w:spacing w:after="0" w:line="240" w:lineRule="auto"/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</w:pPr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  <w:t>E  WIHEA@warwick.ac.uk</w:t>
                    </w:r>
                  </w:p>
                  <w:p w14:paraId="039AF4A7" w14:textId="77777777" w:rsidR="00924C1B" w:rsidRPr="0099590E" w:rsidRDefault="00924C1B" w:rsidP="00924C1B">
                    <w:pPr>
                      <w:spacing w:after="0" w:line="240" w:lineRule="auto"/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</w:pPr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  <w:t>T  +44 (0)24 7652 8871</w:t>
                    </w:r>
                  </w:p>
                  <w:p w14:paraId="6AA84C4F" w14:textId="77777777" w:rsidR="00924C1B" w:rsidRPr="0099590E" w:rsidRDefault="00924C1B" w:rsidP="00924C1B">
                    <w:pPr>
                      <w:spacing w:after="0" w:line="240" w:lineRule="auto"/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</w:pPr>
                  </w:p>
                  <w:p w14:paraId="29BB8A9D" w14:textId="558461E4" w:rsidR="0032312F" w:rsidRPr="0099590E" w:rsidRDefault="00924C1B" w:rsidP="00924C1B">
                    <w:pPr>
                      <w:spacing w:after="0" w:line="240" w:lineRule="auto"/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</w:pPr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  <w:t>www.warwick.ac.uk/wihea</w:t>
                    </w:r>
                  </w:p>
                </w:txbxContent>
              </v:textbox>
            </v:shape>
          </w:pict>
        </mc:Fallback>
      </mc:AlternateContent>
    </w:r>
    <w:r w:rsidR="0032312F"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65578C7C" wp14:editId="6AB56C74">
              <wp:simplePos x="0" y="0"/>
              <wp:positionH relativeFrom="page">
                <wp:posOffset>7039610</wp:posOffset>
              </wp:positionH>
              <wp:positionV relativeFrom="page">
                <wp:posOffset>9271000</wp:posOffset>
              </wp:positionV>
              <wp:extent cx="475615" cy="298450"/>
              <wp:effectExtent l="3810" t="0" r="3175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5615" cy="298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B83DB2" w14:textId="6BAC4E36" w:rsidR="0032312F" w:rsidRPr="007261F2" w:rsidRDefault="0032312F" w:rsidP="002108F5">
                          <w:pPr>
                            <w:rPr>
                              <w:color w:val="FFFFFF" w:themeColor="background1"/>
                              <w:szCs w:val="24"/>
                            </w:rPr>
                          </w:pP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fldChar w:fldCharType="begin"/>
                          </w: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instrText xml:space="preserve"> PAGE   \* MERGEFORMAT </w:instrText>
                          </w: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DB79D7" w:rsidRPr="00DB79D7">
                            <w:rPr>
                              <w:rFonts w:ascii="Calibri" w:hAnsi="Calibri"/>
                              <w:b/>
                              <w:noProof/>
                              <w:color w:val="FFFFFF" w:themeColor="background1"/>
                            </w:rPr>
                            <w:t>1</w:t>
                          </w: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578C7C" id="Text Box 5" o:spid="_x0000_s1027" type="#_x0000_t202" style="position:absolute;margin-left:554.3pt;margin-top:730pt;width:37.45pt;height:23.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1yv4wEAAKcDAAAOAAAAZHJzL2Uyb0RvYy54bWysU9tu2zAMfR+wfxD0vjgOkl6MOEXXosOA&#10;bh3Q7QNkWbKF2aJGKbGzrx8lu2m2vQ17EURSPjznkN7ejH3HDgq9AVvyfLHkTFkJtbFNyb99fXh3&#10;xZkPwtaiA6tKflSe3+zevtkOrlAraKGrFTICsb4YXMnbEFyRZV62qhd+AU5ZKmrAXgQKsclqFAOh&#10;9122Wi4vsgGwdghSeU/Z+6nIdwlfayXDk9ZeBdaVnLiFdGI6q3hmu60oGhSuNXKmIf6BRS+MpaYn&#10;qHsRBNuj+QuqNxLBgw4LCX0GWhupkgZSky//UPPcCqeSFjLHu5NN/v/Bys+HZ/cFWRjfw0gDTCK8&#10;ewT53TMLd62wjbpFhKFVoqbGebQsG5wv5k+j1b7wEaQaPkFNQxb7AAlo1NhHV0gnI3QawPFkuhoD&#10;k5RcX24u8g1nkkqr66v1Jg0lE8XLxw59+KCgZ/FScqSZJnBxePQhkhHFy5PYy8KD6bo0187+lqCH&#10;MZPIR74T8zBWIzP1rCxqqaA+khqEaVtou+nSAv7kbKBNKbn/sReoOOs+WnLkOl+v42qlYL25XFGA&#10;55XqvCKsJKiSB86m612Y1nHv0DQtdZpmYOGWXNQmKXxlNdOnbUjC582N63Yep1ev/9fuFwAAAP//&#10;AwBQSwMEFAAGAAgAAAAhAH5iJ3jgAAAADwEAAA8AAABkcnMvZG93bnJldi54bWxMj8FOwzAQRO9I&#10;/IO1SNyoHWhCCHEqBOIKaqGVuLnxNomI11HsNuHv2Z7gNqN9mp0pV7PrxQnH0HnSkCwUCKTa244a&#10;DZ8frzc5iBANWdN7Qg0/GGBVXV6UprB+ojWeNrERHEKhMBraGIdCylC36ExY+AGJbwc/OhPZjo20&#10;o5k43PXyVqlMOtMRf2jNgM8t1t+bo9OwfTt87ZbqvXlx6TD5WUlyD1Lr66v56RFExDn+wXCuz9Wh&#10;4k57fyQbRM8+UXnGLKtlpnjWmUnyuxTEnlWq7hXIqpT/d1S/AAAA//8DAFBLAQItABQABgAIAAAA&#10;IQC2gziS/gAAAOEBAAATAAAAAAAAAAAAAAAAAAAAAABbQ29udGVudF9UeXBlc10ueG1sUEsBAi0A&#10;FAAGAAgAAAAhADj9If/WAAAAlAEAAAsAAAAAAAAAAAAAAAAALwEAAF9yZWxzLy5yZWxzUEsBAi0A&#10;FAAGAAgAAAAhABJXXK/jAQAApwMAAA4AAAAAAAAAAAAAAAAALgIAAGRycy9lMm9Eb2MueG1sUEsB&#10;Ai0AFAAGAAgAAAAhAH5iJ3jgAAAADwEAAA8AAAAAAAAAAAAAAAAAPQQAAGRycy9kb3ducmV2Lnht&#10;bFBLBQYAAAAABAAEAPMAAABKBQAAAAA=&#10;" filled="f" stroked="f">
              <v:textbox>
                <w:txbxContent>
                  <w:p w14:paraId="0CB83DB2" w14:textId="6BAC4E36" w:rsidR="0032312F" w:rsidRPr="007261F2" w:rsidRDefault="0032312F" w:rsidP="002108F5">
                    <w:pPr>
                      <w:rPr>
                        <w:color w:val="FFFFFF" w:themeColor="background1"/>
                        <w:szCs w:val="24"/>
                      </w:rPr>
                    </w:pP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fldChar w:fldCharType="begin"/>
                    </w: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instrText xml:space="preserve"> PAGE   \* MERGEFORMAT </w:instrText>
                    </w: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fldChar w:fldCharType="separate"/>
                    </w:r>
                    <w:r w:rsidR="00DB79D7" w:rsidRPr="00DB79D7">
                      <w:rPr>
                        <w:rFonts w:ascii="Calibri" w:hAnsi="Calibri"/>
                        <w:b/>
                        <w:noProof/>
                        <w:color w:val="FFFFFF" w:themeColor="background1"/>
                      </w:rPr>
                      <w:t>1</w:t>
                    </w: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14F109B0" w14:textId="314A79A4" w:rsidR="0032312F" w:rsidRDefault="0032312F">
    <w:pPr>
      <w:pStyle w:val="Footer"/>
    </w:pPr>
  </w:p>
  <w:p w14:paraId="7E0D61B3" w14:textId="77777777" w:rsidR="0032312F" w:rsidRDefault="0032312F">
    <w:pPr>
      <w:pStyle w:val="Footer"/>
    </w:pPr>
  </w:p>
  <w:p w14:paraId="626A1C24" w14:textId="77777777" w:rsidR="0032312F" w:rsidRDefault="003231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0ABD19" w14:textId="77777777" w:rsidR="00202B78" w:rsidRDefault="00202B78" w:rsidP="0032312F">
      <w:pPr>
        <w:spacing w:after="0" w:line="240" w:lineRule="auto"/>
      </w:pPr>
      <w:r>
        <w:separator/>
      </w:r>
    </w:p>
  </w:footnote>
  <w:footnote w:type="continuationSeparator" w:id="0">
    <w:p w14:paraId="0EF7F2CE" w14:textId="77777777" w:rsidR="00202B78" w:rsidRDefault="00202B78" w:rsidP="003231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LightShading-Accent1"/>
      <w:tblW w:w="5000" w:type="pct"/>
      <w:tblInd w:w="205" w:type="dxa"/>
      <w:tblBorders>
        <w:top w:val="single" w:sz="8" w:space="0" w:color="8DB3E2" w:themeColor="text2" w:themeTint="66"/>
        <w:left w:val="single" w:sz="8" w:space="0" w:color="8DB3E2" w:themeColor="text2" w:themeTint="66"/>
        <w:bottom w:val="thickThinLargeGap" w:sz="12" w:space="0" w:color="8DB3E2" w:themeColor="text2" w:themeTint="66"/>
        <w:right w:val="single" w:sz="8" w:space="0" w:color="8DB3E2" w:themeColor="text2" w:themeTint="66"/>
      </w:tblBorders>
      <w:shd w:val="clear" w:color="auto" w:fill="8DB3E2" w:themeFill="text2" w:themeFillTint="66"/>
      <w:tblCellMar>
        <w:left w:w="115" w:type="dxa"/>
        <w:right w:w="115" w:type="dxa"/>
      </w:tblCellMar>
      <w:tblLook w:val="0600" w:firstRow="0" w:lastRow="0" w:firstColumn="0" w:lastColumn="0" w:noHBand="1" w:noVBand="1"/>
    </w:tblPr>
    <w:tblGrid>
      <w:gridCol w:w="11037"/>
    </w:tblGrid>
    <w:tr w:rsidR="0032312F" w14:paraId="07EC4652" w14:textId="77777777" w:rsidTr="004A5169">
      <w:trPr>
        <w:trHeight w:val="97"/>
      </w:trPr>
      <w:tc>
        <w:tcPr>
          <w:tcW w:w="9270" w:type="dxa"/>
          <w:shd w:val="clear" w:color="auto" w:fill="8DB3E2" w:themeFill="text2" w:themeFillTint="66"/>
        </w:tcPr>
        <w:p w14:paraId="3C4D98D0" w14:textId="2065FCF6" w:rsidR="0032312F" w:rsidRDefault="0032312F" w:rsidP="000C3F4C">
          <w:r w:rsidRPr="00124693">
            <w:rPr>
              <w:rFonts w:ascii="Calibri" w:hAnsi="Calibri"/>
              <w:b/>
              <w:color w:val="FFFFFF" w:themeColor="background1"/>
              <w:sz w:val="24"/>
              <w:szCs w:val="24"/>
            </w:rPr>
            <w:fldChar w:fldCharType="begin"/>
          </w:r>
          <w:r w:rsidRPr="00124693">
            <w:rPr>
              <w:rFonts w:ascii="Calibri" w:hAnsi="Calibri"/>
              <w:b/>
              <w:color w:val="FFFFFF" w:themeColor="background1"/>
              <w:sz w:val="24"/>
              <w:szCs w:val="24"/>
            </w:rPr>
            <w:instrText xml:space="preserve"> PAGE   \* MERGEFORMAT </w:instrText>
          </w:r>
          <w:r w:rsidRPr="00124693">
            <w:rPr>
              <w:rFonts w:ascii="Calibri" w:hAnsi="Calibri"/>
              <w:b/>
              <w:color w:val="FFFFFF" w:themeColor="background1"/>
              <w:sz w:val="24"/>
              <w:szCs w:val="24"/>
            </w:rPr>
            <w:fldChar w:fldCharType="separate"/>
          </w:r>
          <w:r w:rsidR="00DB79D7" w:rsidRPr="00DB79D7">
            <w:rPr>
              <w:rFonts w:ascii="Calibri" w:hAnsi="Calibri"/>
              <w:b/>
              <w:noProof/>
              <w:color w:val="FFFFFF" w:themeColor="background1"/>
            </w:rPr>
            <w:t>2</w:t>
          </w:r>
          <w:r w:rsidRPr="00124693">
            <w:rPr>
              <w:rFonts w:ascii="Calibri" w:hAnsi="Calibri"/>
              <w:b/>
              <w:color w:val="FFFFFF" w:themeColor="background1"/>
              <w:sz w:val="24"/>
              <w:szCs w:val="24"/>
            </w:rPr>
            <w:fldChar w:fldCharType="end"/>
          </w:r>
        </w:p>
      </w:tc>
    </w:tr>
  </w:tbl>
  <w:p w14:paraId="0E527AB4" w14:textId="77777777" w:rsidR="0032312F" w:rsidRDefault="0032312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12EBF" w14:textId="3588D09D" w:rsidR="0032312F" w:rsidRDefault="00046FE9" w:rsidP="0032312F">
    <w:pPr>
      <w:pStyle w:val="Header"/>
      <w:ind w:left="-1800" w:right="-1800" w:firstLine="1800"/>
    </w:pPr>
    <w:r w:rsidRPr="00046FE9">
      <w:rPr>
        <w:noProof/>
        <w:vertAlign w:val="subscript"/>
        <w:lang w:val="en-GB" w:eastAsia="en-GB"/>
      </w:rPr>
      <w:drawing>
        <wp:inline distT="0" distB="0" distL="0" distR="0" wp14:anchorId="050A7200" wp14:editId="464D20D0">
          <wp:extent cx="7713976" cy="1785412"/>
          <wp:effectExtent l="0" t="0" r="8255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29307 29308 29309 School of Modern Languages Stationery:29308_SML-LH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713976" cy="178541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37068"/>
    <w:multiLevelType w:val="hybridMultilevel"/>
    <w:tmpl w:val="10D4F620"/>
    <w:lvl w:ilvl="0" w:tplc="7F6245DA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640" w:hanging="360"/>
      </w:pPr>
    </w:lvl>
    <w:lvl w:ilvl="2" w:tplc="0809001B" w:tentative="1">
      <w:start w:val="1"/>
      <w:numFmt w:val="lowerRoman"/>
      <w:lvlText w:val="%3."/>
      <w:lvlJc w:val="right"/>
      <w:pPr>
        <w:ind w:left="3360" w:hanging="180"/>
      </w:pPr>
    </w:lvl>
    <w:lvl w:ilvl="3" w:tplc="0809000F" w:tentative="1">
      <w:start w:val="1"/>
      <w:numFmt w:val="decimal"/>
      <w:lvlText w:val="%4."/>
      <w:lvlJc w:val="left"/>
      <w:pPr>
        <w:ind w:left="4080" w:hanging="360"/>
      </w:pPr>
    </w:lvl>
    <w:lvl w:ilvl="4" w:tplc="08090019" w:tentative="1">
      <w:start w:val="1"/>
      <w:numFmt w:val="lowerLetter"/>
      <w:lvlText w:val="%5."/>
      <w:lvlJc w:val="left"/>
      <w:pPr>
        <w:ind w:left="4800" w:hanging="360"/>
      </w:pPr>
    </w:lvl>
    <w:lvl w:ilvl="5" w:tplc="0809001B" w:tentative="1">
      <w:start w:val="1"/>
      <w:numFmt w:val="lowerRoman"/>
      <w:lvlText w:val="%6."/>
      <w:lvlJc w:val="right"/>
      <w:pPr>
        <w:ind w:left="5520" w:hanging="180"/>
      </w:pPr>
    </w:lvl>
    <w:lvl w:ilvl="6" w:tplc="0809000F" w:tentative="1">
      <w:start w:val="1"/>
      <w:numFmt w:val="decimal"/>
      <w:lvlText w:val="%7."/>
      <w:lvlJc w:val="left"/>
      <w:pPr>
        <w:ind w:left="6240" w:hanging="360"/>
      </w:pPr>
    </w:lvl>
    <w:lvl w:ilvl="7" w:tplc="08090019" w:tentative="1">
      <w:start w:val="1"/>
      <w:numFmt w:val="lowerLetter"/>
      <w:lvlText w:val="%8."/>
      <w:lvlJc w:val="left"/>
      <w:pPr>
        <w:ind w:left="6960" w:hanging="360"/>
      </w:pPr>
    </w:lvl>
    <w:lvl w:ilvl="8" w:tplc="0809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" w15:restartNumberingAfterBreak="0">
    <w:nsid w:val="24341854"/>
    <w:multiLevelType w:val="hybridMultilevel"/>
    <w:tmpl w:val="06C037FA"/>
    <w:lvl w:ilvl="0" w:tplc="0809000F">
      <w:start w:val="1"/>
      <w:numFmt w:val="decimal"/>
      <w:lvlText w:val="%1."/>
      <w:lvlJc w:val="left"/>
      <w:pPr>
        <w:ind w:left="2280" w:hanging="360"/>
      </w:pPr>
    </w:lvl>
    <w:lvl w:ilvl="1" w:tplc="08090019" w:tentative="1">
      <w:start w:val="1"/>
      <w:numFmt w:val="lowerLetter"/>
      <w:lvlText w:val="%2."/>
      <w:lvlJc w:val="left"/>
      <w:pPr>
        <w:ind w:left="3000" w:hanging="360"/>
      </w:pPr>
    </w:lvl>
    <w:lvl w:ilvl="2" w:tplc="0809001B" w:tentative="1">
      <w:start w:val="1"/>
      <w:numFmt w:val="lowerRoman"/>
      <w:lvlText w:val="%3."/>
      <w:lvlJc w:val="right"/>
      <w:pPr>
        <w:ind w:left="3720" w:hanging="180"/>
      </w:pPr>
    </w:lvl>
    <w:lvl w:ilvl="3" w:tplc="0809000F" w:tentative="1">
      <w:start w:val="1"/>
      <w:numFmt w:val="decimal"/>
      <w:lvlText w:val="%4."/>
      <w:lvlJc w:val="left"/>
      <w:pPr>
        <w:ind w:left="4440" w:hanging="360"/>
      </w:pPr>
    </w:lvl>
    <w:lvl w:ilvl="4" w:tplc="08090019" w:tentative="1">
      <w:start w:val="1"/>
      <w:numFmt w:val="lowerLetter"/>
      <w:lvlText w:val="%5."/>
      <w:lvlJc w:val="left"/>
      <w:pPr>
        <w:ind w:left="5160" w:hanging="360"/>
      </w:pPr>
    </w:lvl>
    <w:lvl w:ilvl="5" w:tplc="0809001B" w:tentative="1">
      <w:start w:val="1"/>
      <w:numFmt w:val="lowerRoman"/>
      <w:lvlText w:val="%6."/>
      <w:lvlJc w:val="right"/>
      <w:pPr>
        <w:ind w:left="5880" w:hanging="180"/>
      </w:pPr>
    </w:lvl>
    <w:lvl w:ilvl="6" w:tplc="0809000F" w:tentative="1">
      <w:start w:val="1"/>
      <w:numFmt w:val="decimal"/>
      <w:lvlText w:val="%7."/>
      <w:lvlJc w:val="left"/>
      <w:pPr>
        <w:ind w:left="6600" w:hanging="360"/>
      </w:pPr>
    </w:lvl>
    <w:lvl w:ilvl="7" w:tplc="08090019" w:tentative="1">
      <w:start w:val="1"/>
      <w:numFmt w:val="lowerLetter"/>
      <w:lvlText w:val="%8."/>
      <w:lvlJc w:val="left"/>
      <w:pPr>
        <w:ind w:left="7320" w:hanging="360"/>
      </w:pPr>
    </w:lvl>
    <w:lvl w:ilvl="8" w:tplc="08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2" w15:restartNumberingAfterBreak="0">
    <w:nsid w:val="33870E40"/>
    <w:multiLevelType w:val="hybridMultilevel"/>
    <w:tmpl w:val="B7B64862"/>
    <w:lvl w:ilvl="0" w:tplc="7F6245DA">
      <w:start w:val="1"/>
      <w:numFmt w:val="decimal"/>
      <w:lvlText w:val="%1."/>
      <w:lvlJc w:val="left"/>
      <w:pPr>
        <w:ind w:left="34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000" w:hanging="360"/>
      </w:pPr>
    </w:lvl>
    <w:lvl w:ilvl="2" w:tplc="0809001B">
      <w:start w:val="1"/>
      <w:numFmt w:val="lowerRoman"/>
      <w:lvlText w:val="%3."/>
      <w:lvlJc w:val="right"/>
      <w:pPr>
        <w:ind w:left="3720" w:hanging="180"/>
      </w:pPr>
    </w:lvl>
    <w:lvl w:ilvl="3" w:tplc="0809000F" w:tentative="1">
      <w:start w:val="1"/>
      <w:numFmt w:val="decimal"/>
      <w:lvlText w:val="%4."/>
      <w:lvlJc w:val="left"/>
      <w:pPr>
        <w:ind w:left="4440" w:hanging="360"/>
      </w:pPr>
    </w:lvl>
    <w:lvl w:ilvl="4" w:tplc="08090019" w:tentative="1">
      <w:start w:val="1"/>
      <w:numFmt w:val="lowerLetter"/>
      <w:lvlText w:val="%5."/>
      <w:lvlJc w:val="left"/>
      <w:pPr>
        <w:ind w:left="5160" w:hanging="360"/>
      </w:pPr>
    </w:lvl>
    <w:lvl w:ilvl="5" w:tplc="0809001B" w:tentative="1">
      <w:start w:val="1"/>
      <w:numFmt w:val="lowerRoman"/>
      <w:lvlText w:val="%6."/>
      <w:lvlJc w:val="right"/>
      <w:pPr>
        <w:ind w:left="5880" w:hanging="180"/>
      </w:pPr>
    </w:lvl>
    <w:lvl w:ilvl="6" w:tplc="0809000F" w:tentative="1">
      <w:start w:val="1"/>
      <w:numFmt w:val="decimal"/>
      <w:lvlText w:val="%7."/>
      <w:lvlJc w:val="left"/>
      <w:pPr>
        <w:ind w:left="6600" w:hanging="360"/>
      </w:pPr>
    </w:lvl>
    <w:lvl w:ilvl="7" w:tplc="08090019" w:tentative="1">
      <w:start w:val="1"/>
      <w:numFmt w:val="lowerLetter"/>
      <w:lvlText w:val="%8."/>
      <w:lvlJc w:val="left"/>
      <w:pPr>
        <w:ind w:left="7320" w:hanging="360"/>
      </w:pPr>
    </w:lvl>
    <w:lvl w:ilvl="8" w:tplc="08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3" w15:restartNumberingAfterBreak="0">
    <w:nsid w:val="41CD21A7"/>
    <w:multiLevelType w:val="hybridMultilevel"/>
    <w:tmpl w:val="12D01FD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8D3658"/>
    <w:multiLevelType w:val="hybridMultilevel"/>
    <w:tmpl w:val="F81623E2"/>
    <w:lvl w:ilvl="0" w:tplc="7F6245DA">
      <w:start w:val="1"/>
      <w:numFmt w:val="decimal"/>
      <w:lvlText w:val="%1."/>
      <w:lvlJc w:val="left"/>
      <w:pPr>
        <w:ind w:left="324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760" w:hanging="360"/>
      </w:pPr>
    </w:lvl>
    <w:lvl w:ilvl="2" w:tplc="0809001B">
      <w:start w:val="1"/>
      <w:numFmt w:val="lowerRoman"/>
      <w:lvlText w:val="%3."/>
      <w:lvlJc w:val="right"/>
      <w:pPr>
        <w:ind w:left="3480" w:hanging="180"/>
      </w:pPr>
    </w:lvl>
    <w:lvl w:ilvl="3" w:tplc="0809000F" w:tentative="1">
      <w:start w:val="1"/>
      <w:numFmt w:val="decimal"/>
      <w:lvlText w:val="%4."/>
      <w:lvlJc w:val="left"/>
      <w:pPr>
        <w:ind w:left="4200" w:hanging="360"/>
      </w:pPr>
    </w:lvl>
    <w:lvl w:ilvl="4" w:tplc="08090019" w:tentative="1">
      <w:start w:val="1"/>
      <w:numFmt w:val="lowerLetter"/>
      <w:lvlText w:val="%5."/>
      <w:lvlJc w:val="left"/>
      <w:pPr>
        <w:ind w:left="4920" w:hanging="360"/>
      </w:pPr>
    </w:lvl>
    <w:lvl w:ilvl="5" w:tplc="0809001B" w:tentative="1">
      <w:start w:val="1"/>
      <w:numFmt w:val="lowerRoman"/>
      <w:lvlText w:val="%6."/>
      <w:lvlJc w:val="right"/>
      <w:pPr>
        <w:ind w:left="5640" w:hanging="180"/>
      </w:pPr>
    </w:lvl>
    <w:lvl w:ilvl="6" w:tplc="0809000F" w:tentative="1">
      <w:start w:val="1"/>
      <w:numFmt w:val="decimal"/>
      <w:lvlText w:val="%7."/>
      <w:lvlJc w:val="left"/>
      <w:pPr>
        <w:ind w:left="6360" w:hanging="360"/>
      </w:pPr>
    </w:lvl>
    <w:lvl w:ilvl="7" w:tplc="08090019" w:tentative="1">
      <w:start w:val="1"/>
      <w:numFmt w:val="lowerLetter"/>
      <w:lvlText w:val="%8."/>
      <w:lvlJc w:val="left"/>
      <w:pPr>
        <w:ind w:left="7080" w:hanging="360"/>
      </w:pPr>
    </w:lvl>
    <w:lvl w:ilvl="8" w:tplc="0809001B" w:tentative="1">
      <w:start w:val="1"/>
      <w:numFmt w:val="lowerRoman"/>
      <w:lvlText w:val="%9."/>
      <w:lvlJc w:val="right"/>
      <w:pPr>
        <w:ind w:left="7800" w:hanging="180"/>
      </w:pPr>
    </w:lvl>
  </w:abstractNum>
  <w:num w:numId="1" w16cid:durableId="1951811428">
    <w:abstractNumId w:val="3"/>
  </w:num>
  <w:num w:numId="2" w16cid:durableId="1158837709">
    <w:abstractNumId w:val="1"/>
  </w:num>
  <w:num w:numId="3" w16cid:durableId="1912999973">
    <w:abstractNumId w:val="0"/>
  </w:num>
  <w:num w:numId="4" w16cid:durableId="229004388">
    <w:abstractNumId w:val="2"/>
  </w:num>
  <w:num w:numId="5" w16cid:durableId="47129590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312F"/>
    <w:rsid w:val="00046FE9"/>
    <w:rsid w:val="001E53FB"/>
    <w:rsid w:val="00202B78"/>
    <w:rsid w:val="00210A5E"/>
    <w:rsid w:val="0032312F"/>
    <w:rsid w:val="00330924"/>
    <w:rsid w:val="003C1826"/>
    <w:rsid w:val="004A2EA7"/>
    <w:rsid w:val="004E0AC6"/>
    <w:rsid w:val="00556E0D"/>
    <w:rsid w:val="00576075"/>
    <w:rsid w:val="005A2276"/>
    <w:rsid w:val="006B4755"/>
    <w:rsid w:val="006D7B7E"/>
    <w:rsid w:val="007443E8"/>
    <w:rsid w:val="00746A4F"/>
    <w:rsid w:val="00777BB0"/>
    <w:rsid w:val="007B77AB"/>
    <w:rsid w:val="00822797"/>
    <w:rsid w:val="00857E8F"/>
    <w:rsid w:val="0089659C"/>
    <w:rsid w:val="00924C1B"/>
    <w:rsid w:val="00925D7B"/>
    <w:rsid w:val="00966283"/>
    <w:rsid w:val="0099590E"/>
    <w:rsid w:val="009C488A"/>
    <w:rsid w:val="009C5A6A"/>
    <w:rsid w:val="00A62EE9"/>
    <w:rsid w:val="00AD5ED1"/>
    <w:rsid w:val="00B40007"/>
    <w:rsid w:val="00BB3AD8"/>
    <w:rsid w:val="00BD3301"/>
    <w:rsid w:val="00D477D8"/>
    <w:rsid w:val="00DB79D7"/>
    <w:rsid w:val="00F87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8DF4FD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5ED1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2312F"/>
    <w:pPr>
      <w:tabs>
        <w:tab w:val="center" w:pos="4320"/>
        <w:tab w:val="right" w:pos="8640"/>
      </w:tabs>
      <w:spacing w:after="0" w:line="240" w:lineRule="auto"/>
    </w:pPr>
    <w:rPr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32312F"/>
  </w:style>
  <w:style w:type="paragraph" w:styleId="Footer">
    <w:name w:val="footer"/>
    <w:basedOn w:val="Normal"/>
    <w:link w:val="FooterChar"/>
    <w:uiPriority w:val="99"/>
    <w:unhideWhenUsed/>
    <w:rsid w:val="0032312F"/>
    <w:pPr>
      <w:tabs>
        <w:tab w:val="center" w:pos="4320"/>
        <w:tab w:val="right" w:pos="8640"/>
      </w:tabs>
      <w:spacing w:after="0" w:line="240" w:lineRule="auto"/>
    </w:pPr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32312F"/>
  </w:style>
  <w:style w:type="table" w:styleId="LightShading-Accent1">
    <w:name w:val="Light Shading Accent 1"/>
    <w:basedOn w:val="TableNormal"/>
    <w:uiPriority w:val="60"/>
    <w:rsid w:val="0032312F"/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32312F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312F"/>
    <w:rPr>
      <w:rFonts w:ascii="Lucida Grande" w:hAnsi="Lucida Grande" w:cs="Lucida Grande"/>
      <w:sz w:val="18"/>
      <w:szCs w:val="18"/>
    </w:rPr>
  </w:style>
  <w:style w:type="paragraph" w:styleId="Closing">
    <w:name w:val="Closing"/>
    <w:basedOn w:val="Normal"/>
    <w:link w:val="ClosingChar"/>
    <w:uiPriority w:val="5"/>
    <w:unhideWhenUsed/>
    <w:rsid w:val="00AD5ED1"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sid w:val="00AD5ED1"/>
    <w:rPr>
      <w:sz w:val="22"/>
      <w:szCs w:val="22"/>
    </w:rPr>
  </w:style>
  <w:style w:type="paragraph" w:customStyle="1" w:styleId="RecipientAddress">
    <w:name w:val="Recipient Address"/>
    <w:basedOn w:val="NoSpacing"/>
    <w:uiPriority w:val="3"/>
    <w:rsid w:val="00AD5ED1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AD5ED1"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AD5ED1"/>
    <w:rPr>
      <w:b/>
      <w:sz w:val="22"/>
      <w:szCs w:val="22"/>
    </w:rPr>
  </w:style>
  <w:style w:type="character" w:styleId="PlaceholderText">
    <w:name w:val="Placeholder Text"/>
    <w:basedOn w:val="DefaultParagraphFont"/>
    <w:uiPriority w:val="99"/>
    <w:unhideWhenUsed/>
    <w:rsid w:val="00AD5ED1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AD5ED1"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sid w:val="00AD5ED1"/>
    <w:rPr>
      <w:sz w:val="22"/>
      <w:szCs w:val="22"/>
    </w:rPr>
  </w:style>
  <w:style w:type="paragraph" w:styleId="NoSpacing">
    <w:name w:val="No Spacing"/>
    <w:uiPriority w:val="1"/>
    <w:qFormat/>
    <w:rsid w:val="00AD5ED1"/>
    <w:rPr>
      <w:sz w:val="22"/>
      <w:szCs w:val="22"/>
    </w:rPr>
  </w:style>
  <w:style w:type="character" w:styleId="Strong">
    <w:name w:val="Strong"/>
    <w:basedOn w:val="DefaultParagraphFont"/>
    <w:uiPriority w:val="22"/>
    <w:qFormat/>
    <w:rsid w:val="0089659C"/>
    <w:rPr>
      <w:b/>
      <w:bCs/>
    </w:rPr>
  </w:style>
  <w:style w:type="paragraph" w:styleId="ListParagraph">
    <w:name w:val="List Paragraph"/>
    <w:basedOn w:val="Normal"/>
    <w:uiPriority w:val="34"/>
    <w:qFormat/>
    <w:rsid w:val="00822797"/>
    <w:pPr>
      <w:spacing w:after="0" w:line="240" w:lineRule="auto"/>
      <w:ind w:left="720"/>
    </w:pPr>
    <w:rPr>
      <w:rFonts w:ascii="Calibri" w:eastAsiaTheme="minorHAnsi" w:hAnsi="Calibri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29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4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85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493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81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47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8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2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37EF5E0-F6FF-4B72-AFFA-121E076FEA7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932AE91-FF70-4833-BD6F-5F563DC744F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B8AA15-27BA-43B7-BC71-45B89A85AD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4379189-6C43-4A87-931A-91011735C5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500</Words>
  <Characters>2852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Craig Hincks</dc:creator>
  <cp:lastModifiedBy>Peplow, Simon</cp:lastModifiedBy>
  <cp:revision>7</cp:revision>
  <cp:lastPrinted>2019-10-30T10:31:00Z</cp:lastPrinted>
  <dcterms:created xsi:type="dcterms:W3CDTF">2022-10-21T10:29:00Z</dcterms:created>
  <dcterms:modified xsi:type="dcterms:W3CDTF">2024-02-16T10:28:00Z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