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986DE" w14:textId="2502C7D0" w:rsidR="00822797" w:rsidRDefault="00822797" w:rsidP="00822797">
      <w:pPr>
        <w:ind w:left="1560"/>
        <w:jc w:val="center"/>
        <w:rPr>
          <w:rFonts w:asciiTheme="majorHAnsi" w:hAnsiTheme="majorHAnsi" w:cs="Arial"/>
          <w:b/>
          <w:sz w:val="24"/>
          <w:szCs w:val="24"/>
        </w:rPr>
      </w:pPr>
    </w:p>
    <w:p w14:paraId="76B84B9A" w14:textId="1D4704B4" w:rsidR="004A2EA7" w:rsidRPr="00777BB0" w:rsidRDefault="004A2EA7" w:rsidP="00822797">
      <w:pPr>
        <w:ind w:left="1560"/>
        <w:jc w:val="center"/>
        <w:rPr>
          <w:rFonts w:asciiTheme="majorHAnsi" w:hAnsiTheme="majorHAnsi" w:cs="Arial"/>
          <w:b/>
          <w:sz w:val="24"/>
          <w:szCs w:val="24"/>
          <w:u w:val="single"/>
        </w:rPr>
      </w:pPr>
      <w:r w:rsidRPr="00777BB0">
        <w:rPr>
          <w:rFonts w:asciiTheme="majorHAnsi" w:hAnsiTheme="majorHAnsi" w:cs="Arial"/>
          <w:b/>
          <w:sz w:val="24"/>
          <w:szCs w:val="24"/>
          <w:u w:val="single"/>
        </w:rPr>
        <w:t xml:space="preserve">WIHEA Learning Circle – </w:t>
      </w:r>
      <w:r w:rsidR="00BD3301">
        <w:rPr>
          <w:rFonts w:asciiTheme="majorHAnsi" w:hAnsiTheme="majorHAnsi" w:cs="Arial"/>
          <w:sz w:val="24"/>
          <w:szCs w:val="24"/>
          <w:u w:val="single"/>
        </w:rPr>
        <w:t>Teaching Reward and Recognition (TR&amp;R)</w:t>
      </w:r>
    </w:p>
    <w:p w14:paraId="13A3AAFB" w14:textId="35BC23BE" w:rsidR="004A2EA7" w:rsidRDefault="004A2EA7" w:rsidP="00822797">
      <w:pPr>
        <w:ind w:left="1560"/>
        <w:jc w:val="center"/>
        <w:rPr>
          <w:rFonts w:asciiTheme="majorHAnsi" w:hAnsiTheme="majorHAnsi" w:cs="Arial"/>
          <w:b/>
          <w:sz w:val="24"/>
          <w:szCs w:val="24"/>
        </w:rPr>
      </w:pPr>
      <w:r>
        <w:rPr>
          <w:rFonts w:asciiTheme="majorHAnsi" w:hAnsiTheme="majorHAnsi" w:cs="Arial"/>
          <w:b/>
          <w:sz w:val="24"/>
          <w:szCs w:val="24"/>
        </w:rPr>
        <w:t>TERMS OF REFERENCE</w:t>
      </w:r>
    </w:p>
    <w:p w14:paraId="174B67BF" w14:textId="6FD66A06" w:rsidR="004A2EA7" w:rsidRDefault="004A2EA7" w:rsidP="00822797">
      <w:pPr>
        <w:ind w:left="1560"/>
        <w:jc w:val="center"/>
        <w:rPr>
          <w:rFonts w:asciiTheme="majorHAnsi" w:hAnsiTheme="majorHAnsi" w:cs="Arial"/>
          <w:b/>
          <w:sz w:val="24"/>
          <w:szCs w:val="24"/>
        </w:rPr>
      </w:pPr>
    </w:p>
    <w:p w14:paraId="2C86C148" w14:textId="293FCA99" w:rsidR="00330924" w:rsidRPr="00330924" w:rsidRDefault="004A2EA7" w:rsidP="00330924">
      <w:pPr>
        <w:pStyle w:val="ListParagraph"/>
        <w:numPr>
          <w:ilvl w:val="0"/>
          <w:numId w:val="2"/>
        </w:numPr>
        <w:jc w:val="center"/>
        <w:rPr>
          <w:rFonts w:asciiTheme="majorHAnsi" w:hAnsiTheme="majorHAnsi" w:cs="Arial"/>
          <w:b/>
          <w:sz w:val="24"/>
          <w:szCs w:val="24"/>
        </w:rPr>
      </w:pPr>
      <w:r w:rsidRPr="00330924">
        <w:rPr>
          <w:rFonts w:asciiTheme="majorHAnsi" w:hAnsiTheme="majorHAnsi" w:cs="Arial"/>
          <w:b/>
          <w:sz w:val="24"/>
          <w:szCs w:val="24"/>
        </w:rPr>
        <w:t xml:space="preserve">Please provide a description of the Learning Circle and </w:t>
      </w:r>
      <w:r w:rsidR="00330924" w:rsidRPr="00330924">
        <w:rPr>
          <w:rFonts w:asciiTheme="majorHAnsi" w:hAnsiTheme="majorHAnsi" w:cs="Arial"/>
          <w:b/>
          <w:sz w:val="24"/>
          <w:szCs w:val="24"/>
        </w:rPr>
        <w:t>main aim</w:t>
      </w:r>
      <w:r w:rsidR="00330924">
        <w:rPr>
          <w:rFonts w:asciiTheme="majorHAnsi" w:hAnsiTheme="majorHAnsi" w:cs="Arial"/>
          <w:b/>
          <w:sz w:val="24"/>
          <w:szCs w:val="24"/>
        </w:rPr>
        <w:t>.</w:t>
      </w:r>
    </w:p>
    <w:p w14:paraId="04C407F6" w14:textId="34FCBE4A" w:rsidR="00330924" w:rsidRDefault="00330924" w:rsidP="00330924">
      <w:pPr>
        <w:ind w:left="1560"/>
        <w:jc w:val="center"/>
        <w:rPr>
          <w:rFonts w:asciiTheme="majorHAnsi" w:hAnsiTheme="majorHAnsi" w:cs="Arial"/>
          <w:b/>
          <w:sz w:val="24"/>
          <w:szCs w:val="24"/>
        </w:rPr>
      </w:pPr>
    </w:p>
    <w:p w14:paraId="59E74540" w14:textId="488C3206" w:rsidR="00BD3301" w:rsidRPr="00BD3301" w:rsidRDefault="00BD3301" w:rsidP="00BD3301">
      <w:pPr>
        <w:ind w:left="1560"/>
        <w:rPr>
          <w:rFonts w:asciiTheme="majorHAnsi" w:hAnsiTheme="majorHAnsi" w:cs="Arial"/>
          <w:sz w:val="24"/>
          <w:szCs w:val="24"/>
        </w:rPr>
      </w:pPr>
      <w:r w:rsidRPr="00BD3301">
        <w:rPr>
          <w:rFonts w:asciiTheme="majorHAnsi" w:hAnsiTheme="majorHAnsi" w:cs="Arial"/>
          <w:sz w:val="24"/>
          <w:szCs w:val="24"/>
        </w:rPr>
        <w:t>The Teaching Recognition and Reward (TR&amp;R) Learning Cir</w:t>
      </w:r>
      <w:r>
        <w:rPr>
          <w:rFonts w:asciiTheme="majorHAnsi" w:hAnsiTheme="majorHAnsi" w:cs="Arial"/>
          <w:sz w:val="24"/>
          <w:szCs w:val="24"/>
        </w:rPr>
        <w:t>c</w:t>
      </w:r>
      <w:r w:rsidRPr="00BD3301">
        <w:rPr>
          <w:rFonts w:asciiTheme="majorHAnsi" w:hAnsiTheme="majorHAnsi" w:cs="Arial"/>
          <w:sz w:val="24"/>
          <w:szCs w:val="24"/>
        </w:rPr>
        <w:t>le aims to be able to inform institutional deliberations on issues of:</w:t>
      </w:r>
      <w:r>
        <w:rPr>
          <w:rFonts w:asciiTheme="majorHAnsi" w:hAnsiTheme="majorHAnsi" w:cs="Arial"/>
          <w:sz w:val="24"/>
          <w:szCs w:val="24"/>
        </w:rPr>
        <w:t xml:space="preserve"> </w:t>
      </w:r>
      <w:r w:rsidRPr="00BD3301">
        <w:rPr>
          <w:rFonts w:asciiTheme="majorHAnsi" w:hAnsiTheme="majorHAnsi" w:cs="Arial"/>
          <w:sz w:val="24"/>
          <w:szCs w:val="24"/>
        </w:rPr>
        <w:t>Parity of research and teaching</w:t>
      </w:r>
      <w:r>
        <w:rPr>
          <w:rFonts w:asciiTheme="majorHAnsi" w:hAnsiTheme="majorHAnsi" w:cs="Arial"/>
          <w:sz w:val="24"/>
          <w:szCs w:val="24"/>
        </w:rPr>
        <w:t xml:space="preserve">; </w:t>
      </w:r>
      <w:r w:rsidRPr="00BD3301">
        <w:rPr>
          <w:rFonts w:asciiTheme="majorHAnsi" w:hAnsiTheme="majorHAnsi" w:cs="Arial"/>
          <w:sz w:val="24"/>
          <w:szCs w:val="24"/>
        </w:rPr>
        <w:t>Teaching career development</w:t>
      </w:r>
      <w:r>
        <w:rPr>
          <w:rFonts w:asciiTheme="majorHAnsi" w:hAnsiTheme="majorHAnsi" w:cs="Arial"/>
          <w:sz w:val="24"/>
          <w:szCs w:val="24"/>
        </w:rPr>
        <w:t xml:space="preserve">; </w:t>
      </w:r>
      <w:r w:rsidRPr="00BD3301">
        <w:rPr>
          <w:rFonts w:asciiTheme="majorHAnsi" w:hAnsiTheme="majorHAnsi" w:cs="Arial"/>
          <w:sz w:val="24"/>
          <w:szCs w:val="24"/>
        </w:rPr>
        <w:t>Recognition and reward of teaching activity</w:t>
      </w:r>
      <w:r>
        <w:rPr>
          <w:rFonts w:asciiTheme="majorHAnsi" w:hAnsiTheme="majorHAnsi" w:cs="Arial"/>
          <w:sz w:val="24"/>
          <w:szCs w:val="24"/>
        </w:rPr>
        <w:t xml:space="preserve">. </w:t>
      </w:r>
    </w:p>
    <w:p w14:paraId="0FAE4ADD" w14:textId="6E35019B" w:rsidR="004A2EA7" w:rsidRPr="00330924" w:rsidRDefault="00330924" w:rsidP="00330924">
      <w:pPr>
        <w:pStyle w:val="ListParagraph"/>
        <w:numPr>
          <w:ilvl w:val="0"/>
          <w:numId w:val="2"/>
        </w:numPr>
        <w:jc w:val="center"/>
        <w:rPr>
          <w:rFonts w:asciiTheme="majorHAnsi" w:hAnsiTheme="majorHAnsi" w:cs="Arial"/>
          <w:b/>
          <w:sz w:val="24"/>
          <w:szCs w:val="24"/>
        </w:rPr>
      </w:pPr>
      <w:r w:rsidRPr="00330924">
        <w:rPr>
          <w:rFonts w:asciiTheme="majorHAnsi" w:hAnsiTheme="majorHAnsi" w:cs="Arial"/>
          <w:b/>
          <w:sz w:val="24"/>
          <w:szCs w:val="24"/>
        </w:rPr>
        <w:t>Agreed Common Goals</w:t>
      </w:r>
      <w:r w:rsidR="004A2EA7" w:rsidRPr="00330924">
        <w:rPr>
          <w:rFonts w:asciiTheme="majorHAnsi" w:hAnsiTheme="majorHAnsi" w:cs="Arial"/>
          <w:b/>
          <w:sz w:val="24"/>
          <w:szCs w:val="24"/>
        </w:rPr>
        <w:t xml:space="preserve"> </w:t>
      </w:r>
      <w:r w:rsidRPr="00330924">
        <w:rPr>
          <w:rFonts w:asciiTheme="majorHAnsi" w:hAnsiTheme="majorHAnsi" w:cs="Arial"/>
          <w:b/>
          <w:sz w:val="24"/>
          <w:szCs w:val="24"/>
        </w:rPr>
        <w:t>(as developed by the Circle)</w:t>
      </w:r>
      <w:r>
        <w:rPr>
          <w:rFonts w:asciiTheme="majorHAnsi" w:hAnsiTheme="majorHAnsi" w:cs="Arial"/>
          <w:b/>
          <w:sz w:val="24"/>
          <w:szCs w:val="24"/>
        </w:rPr>
        <w:t>.</w:t>
      </w:r>
    </w:p>
    <w:p w14:paraId="5DB013B7" w14:textId="4053661D" w:rsidR="00330924" w:rsidRPr="00330924" w:rsidRDefault="00330924" w:rsidP="00330924">
      <w:pPr>
        <w:ind w:left="1560"/>
        <w:jc w:val="center"/>
        <w:rPr>
          <w:rFonts w:asciiTheme="majorHAnsi" w:hAnsiTheme="majorHAnsi" w:cs="Arial"/>
          <w:b/>
          <w:sz w:val="24"/>
          <w:szCs w:val="24"/>
        </w:rPr>
      </w:pPr>
    </w:p>
    <w:p w14:paraId="248BE34C" w14:textId="77777777" w:rsidR="00BD3301" w:rsidRPr="00BD3301" w:rsidRDefault="00BD3301" w:rsidP="00BD3301">
      <w:pPr>
        <w:ind w:left="1560"/>
        <w:rPr>
          <w:rFonts w:asciiTheme="majorHAnsi" w:hAnsiTheme="majorHAnsi" w:cs="Arial"/>
          <w:sz w:val="24"/>
          <w:szCs w:val="24"/>
        </w:rPr>
      </w:pPr>
      <w:r w:rsidRPr="00BD3301">
        <w:rPr>
          <w:rFonts w:asciiTheme="majorHAnsi" w:hAnsiTheme="majorHAnsi" w:cs="Arial"/>
          <w:sz w:val="24"/>
          <w:szCs w:val="24"/>
        </w:rPr>
        <w:t>This learning circle aims to provide scholarly evidence-based advice and input to the institutional consideration of these issues. It will achieve this by a systematic review and critical appraisal of the corpus of research conducted in this field in recent decades and, to provide a focus to this intention. We aim to help inform all aspects of recognition and reward of the full diversity of teaching activities, and to support and enthuse the promotion and adoption of excellent teaching practices across the institution.</w:t>
      </w:r>
      <w:bookmarkStart w:id="0" w:name="_GoBack"/>
      <w:bookmarkEnd w:id="0"/>
    </w:p>
    <w:p w14:paraId="60A5DA1D" w14:textId="77777777" w:rsidR="00BD3301" w:rsidRPr="00BD3301" w:rsidRDefault="00BD3301" w:rsidP="00BD3301">
      <w:pPr>
        <w:ind w:left="1560"/>
        <w:rPr>
          <w:rFonts w:asciiTheme="majorHAnsi" w:hAnsiTheme="majorHAnsi" w:cs="Arial"/>
          <w:sz w:val="24"/>
          <w:szCs w:val="24"/>
        </w:rPr>
      </w:pPr>
      <w:r w:rsidRPr="00BD3301">
        <w:rPr>
          <w:rFonts w:asciiTheme="majorHAnsi" w:hAnsiTheme="majorHAnsi" w:cs="Arial"/>
          <w:sz w:val="24"/>
          <w:szCs w:val="24"/>
        </w:rPr>
        <w:t>It is a further intention to engage the WIHEA Fellowship in focus groups to gather structured data that may best represent the current situation across the institution as well as the aspirations of the teaching academy.</w:t>
      </w:r>
    </w:p>
    <w:p w14:paraId="66E027D9" w14:textId="1C26490F" w:rsidR="00330924" w:rsidRDefault="00330924" w:rsidP="00330924">
      <w:pPr>
        <w:pStyle w:val="ListParagraph"/>
        <w:numPr>
          <w:ilvl w:val="0"/>
          <w:numId w:val="2"/>
        </w:numPr>
        <w:jc w:val="center"/>
        <w:rPr>
          <w:rFonts w:asciiTheme="majorHAnsi" w:hAnsiTheme="majorHAnsi" w:cs="Arial"/>
          <w:b/>
          <w:sz w:val="24"/>
          <w:szCs w:val="24"/>
        </w:rPr>
      </w:pPr>
      <w:r w:rsidRPr="00330924">
        <w:rPr>
          <w:rFonts w:asciiTheme="majorHAnsi" w:hAnsiTheme="majorHAnsi" w:cs="Arial"/>
          <w:b/>
          <w:sz w:val="24"/>
          <w:szCs w:val="24"/>
        </w:rPr>
        <w:t>Intended outcomes to achieve by the end of the 2019/20 academic year</w:t>
      </w:r>
      <w:r>
        <w:rPr>
          <w:rFonts w:asciiTheme="majorHAnsi" w:hAnsiTheme="majorHAnsi" w:cs="Arial"/>
          <w:b/>
          <w:sz w:val="24"/>
          <w:szCs w:val="24"/>
        </w:rPr>
        <w:t>.</w:t>
      </w:r>
    </w:p>
    <w:p w14:paraId="2A8108E9" w14:textId="77777777" w:rsidR="00BD3301" w:rsidRDefault="00BD3301" w:rsidP="00BD3301">
      <w:pPr>
        <w:ind w:left="1560"/>
        <w:rPr>
          <w:rFonts w:asciiTheme="majorHAnsi" w:hAnsiTheme="majorHAnsi" w:cs="Arial"/>
          <w:b/>
          <w:sz w:val="24"/>
          <w:szCs w:val="24"/>
        </w:rPr>
      </w:pPr>
    </w:p>
    <w:p w14:paraId="200DA451" w14:textId="40BCFA24" w:rsidR="00BD3301" w:rsidRPr="00BD3301" w:rsidRDefault="00BD3301" w:rsidP="00BD3301">
      <w:pPr>
        <w:pStyle w:val="ListParagraph"/>
        <w:numPr>
          <w:ilvl w:val="0"/>
          <w:numId w:val="3"/>
        </w:numPr>
        <w:rPr>
          <w:rFonts w:asciiTheme="majorHAnsi" w:hAnsiTheme="majorHAnsi" w:cs="Arial"/>
          <w:sz w:val="24"/>
          <w:szCs w:val="24"/>
        </w:rPr>
      </w:pPr>
      <w:r w:rsidRPr="00BD3301">
        <w:rPr>
          <w:rFonts w:asciiTheme="majorHAnsi" w:hAnsiTheme="majorHAnsi" w:cs="Arial"/>
          <w:sz w:val="24"/>
          <w:szCs w:val="24"/>
        </w:rPr>
        <w:t xml:space="preserve">Promotions: We will review the promotions process with a focus on experiences of teaching-focussed staff and areas for development, including support and mentoring.  </w:t>
      </w:r>
    </w:p>
    <w:p w14:paraId="2B4A5E9E" w14:textId="77777777" w:rsidR="00BD3301" w:rsidRDefault="00BD3301" w:rsidP="001B3C4F">
      <w:pPr>
        <w:pStyle w:val="ListParagraph"/>
        <w:numPr>
          <w:ilvl w:val="0"/>
          <w:numId w:val="3"/>
        </w:numPr>
        <w:rPr>
          <w:rFonts w:asciiTheme="majorHAnsi" w:hAnsiTheme="majorHAnsi" w:cs="Arial"/>
          <w:sz w:val="24"/>
          <w:szCs w:val="24"/>
        </w:rPr>
      </w:pPr>
      <w:r w:rsidRPr="00BD3301">
        <w:rPr>
          <w:rFonts w:asciiTheme="majorHAnsi" w:hAnsiTheme="majorHAnsi" w:cs="Arial"/>
          <w:sz w:val="24"/>
          <w:szCs w:val="24"/>
        </w:rPr>
        <w:lastRenderedPageBreak/>
        <w:t xml:space="preserve">Study leave: We will revisit how the changes to study leave have been promoted to teaching staff and the uptake of this activity by teaching-focussed staff. </w:t>
      </w:r>
    </w:p>
    <w:p w14:paraId="3A1CC379" w14:textId="373EEE0D" w:rsidR="00BD3301" w:rsidRDefault="00BD3301" w:rsidP="00BD3301">
      <w:pPr>
        <w:pStyle w:val="ListParagraph"/>
        <w:numPr>
          <w:ilvl w:val="0"/>
          <w:numId w:val="3"/>
        </w:numPr>
        <w:rPr>
          <w:rFonts w:asciiTheme="majorHAnsi" w:hAnsiTheme="majorHAnsi" w:cs="Arial"/>
          <w:sz w:val="24"/>
          <w:szCs w:val="24"/>
        </w:rPr>
      </w:pPr>
      <w:r>
        <w:rPr>
          <w:rFonts w:asciiTheme="majorHAnsi" w:hAnsiTheme="majorHAnsi" w:cs="Arial"/>
          <w:sz w:val="24"/>
          <w:szCs w:val="24"/>
        </w:rPr>
        <w:t xml:space="preserve">Understanding Teaching Excellence at Warwick. We will submit a </w:t>
      </w:r>
      <w:r w:rsidRPr="00BD3301">
        <w:rPr>
          <w:rFonts w:asciiTheme="majorHAnsi" w:hAnsiTheme="majorHAnsi" w:cs="Arial"/>
          <w:sz w:val="24"/>
          <w:szCs w:val="24"/>
        </w:rPr>
        <w:t>WIHEA Project proposal</w:t>
      </w:r>
      <w:r>
        <w:rPr>
          <w:rFonts w:asciiTheme="majorHAnsi" w:hAnsiTheme="majorHAnsi" w:cs="Arial"/>
          <w:sz w:val="24"/>
          <w:szCs w:val="24"/>
        </w:rPr>
        <w:t xml:space="preserve"> to investigate</w:t>
      </w:r>
      <w:r w:rsidRPr="00BD3301">
        <w:rPr>
          <w:rFonts w:asciiTheme="majorHAnsi" w:hAnsiTheme="majorHAnsi" w:cs="Arial"/>
          <w:sz w:val="24"/>
          <w:szCs w:val="24"/>
        </w:rPr>
        <w:t xml:space="preserve"> teaching excellence and student perceptions</w:t>
      </w:r>
      <w:r>
        <w:rPr>
          <w:rFonts w:asciiTheme="majorHAnsi" w:hAnsiTheme="majorHAnsi" w:cs="Arial"/>
          <w:sz w:val="24"/>
          <w:szCs w:val="24"/>
        </w:rPr>
        <w:t xml:space="preserve"> of teaching excellence, in conjunction with the Students’ Union</w:t>
      </w:r>
      <w:r w:rsidRPr="00BD3301">
        <w:rPr>
          <w:rFonts w:asciiTheme="majorHAnsi" w:hAnsiTheme="majorHAnsi" w:cs="Arial"/>
          <w:sz w:val="24"/>
          <w:szCs w:val="24"/>
        </w:rPr>
        <w:t xml:space="preserve">. </w:t>
      </w:r>
      <w:r>
        <w:rPr>
          <w:rFonts w:asciiTheme="majorHAnsi" w:hAnsiTheme="majorHAnsi" w:cs="Arial"/>
          <w:sz w:val="24"/>
          <w:szCs w:val="24"/>
        </w:rPr>
        <w:t xml:space="preserve">If successful, the outcomes of this project will feed into proposals for departmental teaching awards and will also involve colleagues working on WATE. </w:t>
      </w:r>
    </w:p>
    <w:p w14:paraId="4C97682B" w14:textId="7C83CAC6" w:rsidR="00330924" w:rsidRPr="00BD3301" w:rsidRDefault="00BD3301" w:rsidP="00BD3301">
      <w:pPr>
        <w:pStyle w:val="ListParagraph"/>
        <w:numPr>
          <w:ilvl w:val="0"/>
          <w:numId w:val="3"/>
        </w:numPr>
        <w:rPr>
          <w:rFonts w:asciiTheme="majorHAnsi" w:hAnsiTheme="majorHAnsi" w:cs="Arial"/>
          <w:sz w:val="24"/>
          <w:szCs w:val="24"/>
        </w:rPr>
      </w:pPr>
      <w:r w:rsidRPr="00BD3301">
        <w:rPr>
          <w:rFonts w:asciiTheme="majorHAnsi" w:hAnsiTheme="majorHAnsi" w:cs="Arial"/>
          <w:sz w:val="24"/>
          <w:szCs w:val="24"/>
        </w:rPr>
        <w:t xml:space="preserve">Probation is an area to focus on going forward. This includes what professional development opportunities are available to short-term contract workers.  </w:t>
      </w:r>
    </w:p>
    <w:p w14:paraId="42CFDBD8" w14:textId="425299E3" w:rsidR="00330924" w:rsidRPr="00BD3301" w:rsidRDefault="00330924" w:rsidP="00924C1B">
      <w:pPr>
        <w:ind w:right="851" w:firstLine="1418"/>
      </w:pPr>
    </w:p>
    <w:p w14:paraId="043FD6D1" w14:textId="5E725EDF" w:rsidR="00330924" w:rsidRDefault="00330924" w:rsidP="00924C1B">
      <w:pPr>
        <w:ind w:right="851" w:firstLine="1418"/>
      </w:pPr>
    </w:p>
    <w:p w14:paraId="64AE73D7" w14:textId="3C4AE1C6" w:rsidR="00330924" w:rsidRPr="00330924" w:rsidRDefault="004E0AC6" w:rsidP="00924C1B">
      <w:pPr>
        <w:ind w:right="851" w:firstLine="1418"/>
        <w:rPr>
          <w:rFonts w:asciiTheme="majorHAnsi" w:hAnsiTheme="majorHAnsi" w:cstheme="majorHAnsi"/>
        </w:rPr>
      </w:pPr>
      <w:r>
        <w:rPr>
          <w:rFonts w:asciiTheme="majorHAnsi" w:hAnsiTheme="majorHAnsi" w:cstheme="majorHAnsi"/>
        </w:rPr>
        <w:t>Prepared</w:t>
      </w:r>
      <w:r w:rsidR="00330924" w:rsidRPr="00330924">
        <w:rPr>
          <w:rFonts w:asciiTheme="majorHAnsi" w:hAnsiTheme="majorHAnsi" w:cstheme="majorHAnsi"/>
        </w:rPr>
        <w:t xml:space="preserve"> by:</w:t>
      </w:r>
    </w:p>
    <w:p w14:paraId="753D441F" w14:textId="5C90A53A" w:rsidR="00330924" w:rsidRPr="00330924" w:rsidRDefault="00BD3301" w:rsidP="00BD3301">
      <w:pPr>
        <w:ind w:right="851" w:firstLine="1418"/>
        <w:rPr>
          <w:rFonts w:asciiTheme="majorHAnsi" w:hAnsiTheme="majorHAnsi" w:cstheme="majorHAnsi"/>
        </w:rPr>
      </w:pPr>
      <w:r>
        <w:rPr>
          <w:rFonts w:asciiTheme="majorHAnsi" w:hAnsiTheme="majorHAnsi" w:cstheme="majorHAnsi"/>
          <w:b/>
        </w:rPr>
        <w:t xml:space="preserve">Learning Circle </w:t>
      </w:r>
      <w:r w:rsidR="00330924" w:rsidRPr="00330924">
        <w:rPr>
          <w:rFonts w:asciiTheme="majorHAnsi" w:hAnsiTheme="majorHAnsi" w:cstheme="majorHAnsi"/>
          <w:b/>
        </w:rPr>
        <w:t>Co-Lead</w:t>
      </w:r>
      <w:r>
        <w:rPr>
          <w:rFonts w:asciiTheme="majorHAnsi" w:hAnsiTheme="majorHAnsi" w:cstheme="majorHAnsi"/>
          <w:b/>
        </w:rPr>
        <w:t xml:space="preserve">s: </w:t>
      </w:r>
      <w:r>
        <w:rPr>
          <w:rFonts w:asciiTheme="majorHAnsi" w:hAnsiTheme="majorHAnsi" w:cstheme="majorHAnsi"/>
        </w:rPr>
        <w:t xml:space="preserve">Lydia Plath and Jess Humphreys </w:t>
      </w:r>
    </w:p>
    <w:p w14:paraId="2CEBAB1A" w14:textId="7AEE40D7" w:rsidR="00330924" w:rsidRPr="00330924" w:rsidRDefault="00330924" w:rsidP="00924C1B">
      <w:pPr>
        <w:ind w:right="851" w:firstLine="1418"/>
        <w:rPr>
          <w:rFonts w:asciiTheme="majorHAnsi" w:hAnsiTheme="majorHAnsi" w:cstheme="majorHAnsi"/>
        </w:rPr>
      </w:pPr>
      <w:r w:rsidRPr="00330924">
        <w:rPr>
          <w:rFonts w:asciiTheme="majorHAnsi" w:hAnsiTheme="majorHAnsi" w:cstheme="majorHAnsi"/>
          <w:b/>
        </w:rPr>
        <w:t>Date:</w:t>
      </w:r>
      <w:r w:rsidRPr="00330924">
        <w:rPr>
          <w:rFonts w:asciiTheme="majorHAnsi" w:hAnsiTheme="majorHAnsi" w:cstheme="majorHAnsi"/>
        </w:rPr>
        <w:t xml:space="preserve"> </w:t>
      </w:r>
      <w:r w:rsidR="00BD3301">
        <w:rPr>
          <w:rFonts w:asciiTheme="majorHAnsi" w:hAnsiTheme="majorHAnsi" w:cstheme="majorHAnsi"/>
        </w:rPr>
        <w:t>26/9/19</w:t>
      </w:r>
    </w:p>
    <w:sectPr w:rsidR="00330924" w:rsidRPr="00330924" w:rsidSect="006B4755">
      <w:headerReference w:type="even" r:id="rId11"/>
      <w:headerReference w:type="default" r:id="rId12"/>
      <w:footerReference w:type="default" r:id="rId13"/>
      <w:pgSz w:w="11900" w:h="16840"/>
      <w:pgMar w:top="2552" w:right="843" w:bottom="2127"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1A07" w14:textId="77777777" w:rsidR="00A62EE9" w:rsidRDefault="00A62EE9" w:rsidP="0032312F">
      <w:pPr>
        <w:spacing w:after="0" w:line="240" w:lineRule="auto"/>
      </w:pPr>
      <w:r>
        <w:separator/>
      </w:r>
    </w:p>
  </w:endnote>
  <w:endnote w:type="continuationSeparator" w:id="0">
    <w:p w14:paraId="29F76BC5" w14:textId="77777777" w:rsidR="00A62EE9" w:rsidRDefault="00A62EE9" w:rsidP="0032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8B3A" w14:textId="1129639F" w:rsidR="0032312F" w:rsidRDefault="00924C1B">
    <w:pPr>
      <w:pStyle w:val="Footer"/>
    </w:pPr>
    <w:r>
      <w:rPr>
        <w:noProof/>
        <w:lang w:val="en-GB" w:eastAsia="en-GB"/>
      </w:rPr>
      <mc:AlternateContent>
        <mc:Choice Requires="wps">
          <w:drawing>
            <wp:anchor distT="0" distB="0" distL="114300" distR="114300" simplePos="0" relativeHeight="251665408" behindDoc="0" locked="0" layoutInCell="1" allowOverlap="1" wp14:anchorId="4D0E7E33" wp14:editId="1D8D85EC">
              <wp:simplePos x="0" y="0"/>
              <wp:positionH relativeFrom="column">
                <wp:posOffset>5598795</wp:posOffset>
              </wp:positionH>
              <wp:positionV relativeFrom="paragraph">
                <wp:posOffset>-113665</wp:posOffset>
              </wp:positionV>
              <wp:extent cx="2374265" cy="1378634"/>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8634"/>
                      </a:xfrm>
                      <a:prstGeom prst="rect">
                        <a:avLst/>
                      </a:prstGeom>
                      <a:solidFill>
                        <a:srgbClr val="FFFFFF"/>
                      </a:solidFill>
                      <a:ln w="9525">
                        <a:noFill/>
                        <a:miter lim="800000"/>
                        <a:headEnd/>
                        <a:tailEnd/>
                      </a:ln>
                    </wps:spPr>
                    <wps:txbx>
                      <w:txbxContent>
                        <w:p w14:paraId="51663C19"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WIHEA, 2</w:t>
                          </w:r>
                          <w:r w:rsidRPr="0099590E">
                            <w:rPr>
                              <w:rFonts w:asciiTheme="majorHAnsi" w:hAnsiTheme="majorHAnsi"/>
                              <w:color w:val="A6A6A6" w:themeColor="background1" w:themeShade="A6"/>
                              <w:sz w:val="20"/>
                              <w:szCs w:val="20"/>
                              <w:vertAlign w:val="superscript"/>
                            </w:rPr>
                            <w:t>nd</w:t>
                          </w:r>
                          <w:r w:rsidRPr="0099590E">
                            <w:rPr>
                              <w:rFonts w:asciiTheme="majorHAnsi" w:hAnsiTheme="majorHAnsi"/>
                              <w:color w:val="A6A6A6" w:themeColor="background1" w:themeShade="A6"/>
                              <w:sz w:val="20"/>
                              <w:szCs w:val="20"/>
                            </w:rPr>
                            <w:t xml:space="preserve"> Floor, </w:t>
                          </w:r>
                        </w:p>
                        <w:p w14:paraId="30E24125" w14:textId="4A715983"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Room SH2.15, Senate House</w:t>
                          </w:r>
                        </w:p>
                        <w:p w14:paraId="1646B741" w14:textId="34418A5F"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University of Warwick, CV4 7AL</w:t>
                          </w:r>
                        </w:p>
                        <w:p w14:paraId="31F0F2AF" w14:textId="6ED98339"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E  WIHEA@warwick.ac.uk</w:t>
                          </w:r>
                        </w:p>
                        <w:p w14:paraId="039AF4A7"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roofErr w:type="gramStart"/>
                          <w:r w:rsidRPr="0099590E">
                            <w:rPr>
                              <w:rFonts w:asciiTheme="majorHAnsi" w:hAnsiTheme="majorHAnsi"/>
                              <w:color w:val="A6A6A6" w:themeColor="background1" w:themeShade="A6"/>
                              <w:sz w:val="20"/>
                              <w:szCs w:val="20"/>
                            </w:rPr>
                            <w:t>T  +</w:t>
                          </w:r>
                          <w:proofErr w:type="gramEnd"/>
                          <w:r w:rsidRPr="0099590E">
                            <w:rPr>
                              <w:rFonts w:asciiTheme="majorHAnsi" w:hAnsiTheme="majorHAnsi"/>
                              <w:color w:val="A6A6A6" w:themeColor="background1" w:themeShade="A6"/>
                              <w:sz w:val="20"/>
                              <w:szCs w:val="20"/>
                            </w:rPr>
                            <w:t>44 (0)24 7652 8871</w:t>
                          </w:r>
                        </w:p>
                        <w:p w14:paraId="6AA84C4F"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
                        <w:p w14:paraId="29BB8A9D" w14:textId="558461E4" w:rsidR="0032312F"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www.warwick.ac.uk/wihea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0E7E33" id="_x0000_t202" coordsize="21600,21600" o:spt="202" path="m,l,21600r21600,l21600,xe">
              <v:stroke joinstyle="miter"/>
              <v:path gradientshapeok="t" o:connecttype="rect"/>
            </v:shapetype>
            <v:shape id="Text Box 2" o:spid="_x0000_s1026" type="#_x0000_t202" style="position:absolute;margin-left:440.85pt;margin-top:-8.95pt;width:186.95pt;height:108.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6Iw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xZLGcT6bpDVa+pFvnw0cBmsRDRR02P8Gz&#10;w4MPkQ4rX0Liax6UbLZSqWS4Xb1RjhwYDso2rTP6b2HKkL6iN7NilpANxPw0Q1oGHGQldUWXeVwx&#10;nZVRjg+mSefApDqdkYkyZ32iJCdxwlAPGBhFq6E5olIOTgOLHwwPHbhflPQ4rBX1P/fMCUrUJ4Nq&#10;34yn0zjdyZjOFgUa7tpTX3uY4QhV0UDJ6bgJ6UdEvgbusCutTHq9MjlzxSFMMp4/TJzyaztFvX7r&#10;9TMAAAD//wMAUEsDBBQABgAIAAAAIQAd6WPc4AAAAAwBAAAPAAAAZHJzL2Rvd25yZXYueG1sTI/L&#10;asMwEEX3hf6DmEJ3iWxD4kcth1IwLXiVpB8gW+MHtkbGUhz376us2t0Mc7hzbn7a9MRWXOxgSEC4&#10;D4AhNUYN1An4vpa7BJh1kpScDKGAH7RwKp6fcpkpc6czrhfXMR9CNpMCeufmjHPb9Kil3ZsZyd9a&#10;s2jp/Lp0XC3y7sP1xKMgOHItB/IfejnjR4/NeLlpAV9VU7ZRpdvVjaEeq3P9WbaxEK8v2/sbMIeb&#10;+4Phoe/VofBOtbmRsmwSkCRh7FEBuzBOgT2I6HA4Aqv9lKYR8CLn/0sUvwAAAP//AwBQSwECLQAU&#10;AAYACAAAACEAtoM4kv4AAADhAQAAEwAAAAAAAAAAAAAAAAAAAAAAW0NvbnRlbnRfVHlwZXNdLnht&#10;bFBLAQItABQABgAIAAAAIQA4/SH/1gAAAJQBAAALAAAAAAAAAAAAAAAAAC8BAABfcmVscy8ucmVs&#10;c1BLAQItABQABgAIAAAAIQBCY/D6IwIAAB4EAAAOAAAAAAAAAAAAAAAAAC4CAABkcnMvZTJvRG9j&#10;LnhtbFBLAQItABQABgAIAAAAIQAd6WPc4AAAAAwBAAAPAAAAAAAAAAAAAAAAAH0EAABkcnMvZG93&#10;bnJldi54bWxQSwUGAAAAAAQABADzAAAAigUAAAAA&#10;" stroked="f">
              <v:textbox>
                <w:txbxContent>
                  <w:p w14:paraId="51663C19"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WIHEA, 2</w:t>
                    </w:r>
                    <w:r w:rsidRPr="0099590E">
                      <w:rPr>
                        <w:rFonts w:asciiTheme="majorHAnsi" w:hAnsiTheme="majorHAnsi"/>
                        <w:color w:val="A6A6A6" w:themeColor="background1" w:themeShade="A6"/>
                        <w:sz w:val="20"/>
                        <w:szCs w:val="20"/>
                        <w:vertAlign w:val="superscript"/>
                      </w:rPr>
                      <w:t>nd</w:t>
                    </w:r>
                    <w:r w:rsidRPr="0099590E">
                      <w:rPr>
                        <w:rFonts w:asciiTheme="majorHAnsi" w:hAnsiTheme="majorHAnsi"/>
                        <w:color w:val="A6A6A6" w:themeColor="background1" w:themeShade="A6"/>
                        <w:sz w:val="20"/>
                        <w:szCs w:val="20"/>
                      </w:rPr>
                      <w:t xml:space="preserve"> Floor, </w:t>
                    </w:r>
                  </w:p>
                  <w:p w14:paraId="30E24125" w14:textId="4A715983"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Room SH2.15, Senate House</w:t>
                    </w:r>
                  </w:p>
                  <w:p w14:paraId="1646B741" w14:textId="34418A5F"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University of Warwick, CV4 7AL</w:t>
                    </w:r>
                  </w:p>
                  <w:p w14:paraId="31F0F2AF" w14:textId="6ED98339" w:rsidR="00924C1B"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E  WIHEA@warwick.ac.uk</w:t>
                    </w:r>
                  </w:p>
                  <w:p w14:paraId="039AF4A7"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roofErr w:type="gramStart"/>
                    <w:r w:rsidRPr="0099590E">
                      <w:rPr>
                        <w:rFonts w:asciiTheme="majorHAnsi" w:hAnsiTheme="majorHAnsi"/>
                        <w:color w:val="A6A6A6" w:themeColor="background1" w:themeShade="A6"/>
                        <w:sz w:val="20"/>
                        <w:szCs w:val="20"/>
                      </w:rPr>
                      <w:t>T  +</w:t>
                    </w:r>
                    <w:proofErr w:type="gramEnd"/>
                    <w:r w:rsidRPr="0099590E">
                      <w:rPr>
                        <w:rFonts w:asciiTheme="majorHAnsi" w:hAnsiTheme="majorHAnsi"/>
                        <w:color w:val="A6A6A6" w:themeColor="background1" w:themeShade="A6"/>
                        <w:sz w:val="20"/>
                        <w:szCs w:val="20"/>
                      </w:rPr>
                      <w:t>44 (0)24 7652 8871</w:t>
                    </w:r>
                  </w:p>
                  <w:p w14:paraId="6AA84C4F" w14:textId="77777777" w:rsidR="00924C1B" w:rsidRPr="0099590E" w:rsidRDefault="00924C1B" w:rsidP="00924C1B">
                    <w:pPr>
                      <w:spacing w:after="0" w:line="240" w:lineRule="auto"/>
                      <w:rPr>
                        <w:rFonts w:asciiTheme="majorHAnsi" w:hAnsiTheme="majorHAnsi"/>
                        <w:color w:val="A6A6A6" w:themeColor="background1" w:themeShade="A6"/>
                        <w:sz w:val="20"/>
                        <w:szCs w:val="20"/>
                      </w:rPr>
                    </w:pPr>
                  </w:p>
                  <w:p w14:paraId="29BB8A9D" w14:textId="558461E4" w:rsidR="0032312F" w:rsidRPr="0099590E" w:rsidRDefault="00924C1B" w:rsidP="00924C1B">
                    <w:pPr>
                      <w:spacing w:after="0" w:line="240" w:lineRule="auto"/>
                      <w:rPr>
                        <w:rFonts w:asciiTheme="majorHAnsi" w:hAnsiTheme="majorHAnsi"/>
                        <w:color w:val="A6A6A6" w:themeColor="background1" w:themeShade="A6"/>
                        <w:sz w:val="20"/>
                        <w:szCs w:val="20"/>
                      </w:rPr>
                    </w:pPr>
                    <w:r w:rsidRPr="0099590E">
                      <w:rPr>
                        <w:rFonts w:asciiTheme="majorHAnsi" w:hAnsiTheme="majorHAnsi"/>
                        <w:color w:val="A6A6A6" w:themeColor="background1" w:themeShade="A6"/>
                        <w:sz w:val="20"/>
                        <w:szCs w:val="20"/>
                      </w:rPr>
                      <w:t>www.warwick.ac.uk/wihea</w:t>
                    </w:r>
                  </w:p>
                </w:txbxContent>
              </v:textbox>
            </v:shape>
          </w:pict>
        </mc:Fallback>
      </mc:AlternateContent>
    </w:r>
    <w:r w:rsidR="0032312F">
      <w:rPr>
        <w:noProof/>
        <w:lang w:val="en-GB" w:eastAsia="en-GB"/>
      </w:rPr>
      <mc:AlternateContent>
        <mc:Choice Requires="wps">
          <w:drawing>
            <wp:anchor distT="0" distB="0" distL="114300" distR="114300" simplePos="0" relativeHeight="251663360" behindDoc="0" locked="0" layoutInCell="1" allowOverlap="1" wp14:anchorId="65578C7C" wp14:editId="6AB56C74">
              <wp:simplePos x="0" y="0"/>
              <wp:positionH relativeFrom="page">
                <wp:posOffset>7039610</wp:posOffset>
              </wp:positionH>
              <wp:positionV relativeFrom="page">
                <wp:posOffset>9271000</wp:posOffset>
              </wp:positionV>
              <wp:extent cx="475615" cy="298450"/>
              <wp:effectExtent l="3810" t="0" r="317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CB83DB2" w14:textId="6BAC4E36" w:rsidR="0032312F" w:rsidRPr="007261F2" w:rsidRDefault="0032312F" w:rsidP="002108F5">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DB79D7" w:rsidRPr="00DB79D7">
                            <w:rPr>
                              <w:rFonts w:ascii="Calibri" w:hAnsi="Calibri"/>
                              <w:b/>
                              <w:noProof/>
                              <w:color w:val="FFFFFF" w:themeColor="background1"/>
                            </w:rPr>
                            <w:t>1</w:t>
                          </w:r>
                          <w:r w:rsidRPr="007261F2">
                            <w:rPr>
                              <w:rFonts w:ascii="Calibri" w:hAnsi="Calibri"/>
                              <w:b/>
                              <w:color w:val="FFFFFF" w:themeColor="background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78C7C" id="_x0000_t202" coordsize="21600,21600" o:spt="202" path="m,l,21600r21600,l21600,xe">
              <v:stroke joinstyle="miter"/>
              <v:path gradientshapeok="t" o:connecttype="rect"/>
            </v:shapetype>
            <v:shape id="Text Box 5" o:spid="_x0000_s1027" type="#_x0000_t202" style="position:absolute;margin-left:554.3pt;margin-top:730pt;width:37.45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rVdSAIAAEsEAAAOAAAAZHJzL2Uyb0RvYy54bWysVMlu2zAQvRfoPxC8K1pK2ZYQOUjsuCiQ&#10;LkDSD6ApyhIqcViSjpQG/fcOqSxueyt6EchZ3sy8N9T5xTT05F4a24GqaHqWUCKVgLpTh4p+vdtF&#10;K0qs46rmPShZ0Qdp6cX67ZvzUZcygxb6WhqCIMqWo65o65wu49iKVg7cnoGWCp0NmIE7vJpDXBs+&#10;IvrQx1mSLOIRTK0NCGktWrezk64DftNI4T43jZWO9BXF3lz4mvDd+2+8PuflwXDdduKpDf4PXQy8&#10;U1j0BWrLHSdH0/0FNXTCgIXGnQkYYmiaTsgwA06TJn9Mc9tyLcMsSI7VLzTZ/wcrPt1/MaSrK5pR&#10;oviAEt3JyZErmEju2Rm1LTHoVmOYm9CMKodJrb4B8c0SBZuWq4O8NAbGVvIau0t9ZnySOuNYD7If&#10;P0KNZfjRQQCaGjN46pAMguio0sOLMr4VgUa2zBdpTolAV1asWB6Ui3n5nKyNde8lDMQfKmpQ+ADO&#10;72+s883w8jnE11Kw6/o+iN+r3wwYOFuwNKZ6n28iaPlYJMX16nrFIpYtriOW1HV0uduwaLFLl/n2&#10;3Xaz2aY/5506SUozllxlRbRbrJYRa1geFctkFSVpcVUsElaw7S4kYennooE7T9dMnJv2UxApEOt5&#10;3UP9gGQamDcaXyAeWjA/KBlxmytqvx+5kZT0HxQKUqSM+fUPF5YvM7yYU8/+1MOVQKiKOkrm48bN&#10;T+aoTXdosdK8AgouUcSmCwS/dvUkPW5s4P3pdfkncXoPUa//gPUvAAAA//8DAFBLAwQUAAYACAAA&#10;ACEAfmIneOAAAAAPAQAADwAAAGRycy9kb3ducmV2LnhtbEyPwU7DMBBE70j8g7VI3KgdaEIIcSoE&#10;4gpqoZW4ufE2iYjXUew24e/ZnuA2o32anSlXs+vFCcfQedKQLBQIpNrbjhoNnx+vNzmIEA1Z03tC&#10;DT8YYFVdXpSmsH6iNZ42sREcQqEwGtoYh0LKULfoTFj4AYlvBz86E9mOjbSjmTjc9fJWqUw60xF/&#10;aM2Azy3W35uj07B9O3ztluq9eXHpMPlZSXIPUuvrq/npEUTEOf7BcK7P1aHiTnt/JBtEzz5RecYs&#10;q2WmeNaZSfK7FMSeVaruFciqlP93VL8AAAD//wMAUEsBAi0AFAAGAAgAAAAhALaDOJL+AAAA4QEA&#10;ABMAAAAAAAAAAAAAAAAAAAAAAFtDb250ZW50X1R5cGVzXS54bWxQSwECLQAUAAYACAAAACEAOP0h&#10;/9YAAACUAQAACwAAAAAAAAAAAAAAAAAvAQAAX3JlbHMvLnJlbHNQSwECLQAUAAYACAAAACEASOa1&#10;XUgCAABLBAAADgAAAAAAAAAAAAAAAAAuAgAAZHJzL2Uyb0RvYy54bWxQSwECLQAUAAYACAAAACEA&#10;fmIneOAAAAAPAQAADwAAAAAAAAAAAAAAAACiBAAAZHJzL2Rvd25yZXYueG1sUEsFBgAAAAAEAAQA&#10;8wAAAK8FAAAAAA==&#10;" filled="f" stroked="f">
              <v:textbox>
                <w:txbxContent>
                  <w:p w14:paraId="0CB83DB2" w14:textId="6BAC4E36" w:rsidR="0032312F" w:rsidRPr="007261F2" w:rsidRDefault="0032312F" w:rsidP="002108F5">
                    <w:pPr>
                      <w:rPr>
                        <w:color w:val="FFFFFF" w:themeColor="background1"/>
                        <w:szCs w:val="24"/>
                      </w:rPr>
                    </w:pPr>
                    <w:r w:rsidRPr="007261F2">
                      <w:rPr>
                        <w:rFonts w:ascii="Calibri" w:hAnsi="Calibri"/>
                        <w:b/>
                        <w:color w:val="FFFFFF" w:themeColor="background1"/>
                        <w:sz w:val="24"/>
                        <w:szCs w:val="24"/>
                      </w:rPr>
                      <w:fldChar w:fldCharType="begin"/>
                    </w:r>
                    <w:r w:rsidRPr="007261F2">
                      <w:rPr>
                        <w:rFonts w:ascii="Calibri" w:hAnsi="Calibri"/>
                        <w:b/>
                        <w:color w:val="FFFFFF" w:themeColor="background1"/>
                        <w:sz w:val="24"/>
                        <w:szCs w:val="24"/>
                      </w:rPr>
                      <w:instrText xml:space="preserve"> PAGE   \* MERGEFORMAT </w:instrText>
                    </w:r>
                    <w:r w:rsidRPr="007261F2">
                      <w:rPr>
                        <w:rFonts w:ascii="Calibri" w:hAnsi="Calibri"/>
                        <w:b/>
                        <w:color w:val="FFFFFF" w:themeColor="background1"/>
                        <w:sz w:val="24"/>
                        <w:szCs w:val="24"/>
                      </w:rPr>
                      <w:fldChar w:fldCharType="separate"/>
                    </w:r>
                    <w:r w:rsidR="00DB79D7" w:rsidRPr="00DB79D7">
                      <w:rPr>
                        <w:rFonts w:ascii="Calibri" w:hAnsi="Calibri"/>
                        <w:b/>
                        <w:noProof/>
                        <w:color w:val="FFFFFF" w:themeColor="background1"/>
                      </w:rPr>
                      <w:t>1</w:t>
                    </w:r>
                    <w:r w:rsidRPr="007261F2">
                      <w:rPr>
                        <w:rFonts w:ascii="Calibri" w:hAnsi="Calibri"/>
                        <w:b/>
                        <w:color w:val="FFFFFF" w:themeColor="background1"/>
                        <w:sz w:val="24"/>
                        <w:szCs w:val="24"/>
                      </w:rPr>
                      <w:fldChar w:fldCharType="end"/>
                    </w:r>
                  </w:p>
                </w:txbxContent>
              </v:textbox>
              <w10:wrap anchorx="page" anchory="page"/>
            </v:shape>
          </w:pict>
        </mc:Fallback>
      </mc:AlternateContent>
    </w:r>
  </w:p>
  <w:p w14:paraId="14F109B0" w14:textId="314A79A4" w:rsidR="0032312F" w:rsidRDefault="0032312F">
    <w:pPr>
      <w:pStyle w:val="Footer"/>
    </w:pPr>
  </w:p>
  <w:p w14:paraId="7E0D61B3" w14:textId="77777777" w:rsidR="0032312F" w:rsidRDefault="0032312F">
    <w:pPr>
      <w:pStyle w:val="Footer"/>
    </w:pPr>
  </w:p>
  <w:p w14:paraId="626A1C24" w14:textId="77777777" w:rsidR="0032312F" w:rsidRDefault="0032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C4BC" w14:textId="77777777" w:rsidR="00A62EE9" w:rsidRDefault="00A62EE9" w:rsidP="0032312F">
      <w:pPr>
        <w:spacing w:after="0" w:line="240" w:lineRule="auto"/>
      </w:pPr>
      <w:r>
        <w:separator/>
      </w:r>
    </w:p>
  </w:footnote>
  <w:footnote w:type="continuationSeparator" w:id="0">
    <w:p w14:paraId="23564CFA" w14:textId="77777777" w:rsidR="00A62EE9" w:rsidRDefault="00A62EE9" w:rsidP="0032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5000"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1037"/>
    </w:tblGrid>
    <w:tr w:rsidR="0032312F" w14:paraId="07EC4652" w14:textId="77777777" w:rsidTr="004A5169">
      <w:trPr>
        <w:trHeight w:val="97"/>
      </w:trPr>
      <w:tc>
        <w:tcPr>
          <w:tcW w:w="9270" w:type="dxa"/>
          <w:shd w:val="clear" w:color="auto" w:fill="8DB3E2" w:themeFill="text2" w:themeFillTint="66"/>
        </w:tcPr>
        <w:p w14:paraId="3C4D98D0" w14:textId="2065FCF6" w:rsidR="0032312F" w:rsidRDefault="0032312F" w:rsidP="000C3F4C">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DB79D7" w:rsidRPr="00DB79D7">
            <w:rPr>
              <w:rFonts w:ascii="Calibri" w:hAnsi="Calibri"/>
              <w:b/>
              <w:noProof/>
              <w:color w:val="FFFFFF" w:themeColor="background1"/>
            </w:rPr>
            <w:t>2</w:t>
          </w:r>
          <w:r w:rsidRPr="00124693">
            <w:rPr>
              <w:rFonts w:ascii="Calibri" w:hAnsi="Calibri"/>
              <w:b/>
              <w:color w:val="FFFFFF" w:themeColor="background1"/>
              <w:sz w:val="24"/>
              <w:szCs w:val="24"/>
            </w:rPr>
            <w:fldChar w:fldCharType="end"/>
          </w:r>
        </w:p>
      </w:tc>
    </w:tr>
  </w:tbl>
  <w:p w14:paraId="0E527AB4" w14:textId="77777777" w:rsidR="0032312F" w:rsidRDefault="0032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2EBF" w14:textId="3588D09D" w:rsidR="0032312F" w:rsidRDefault="00046FE9" w:rsidP="0032312F">
    <w:pPr>
      <w:pStyle w:val="Header"/>
      <w:ind w:left="-1800" w:right="-1800" w:firstLine="1800"/>
    </w:pPr>
    <w:r w:rsidRPr="00046FE9">
      <w:rPr>
        <w:noProof/>
        <w:vertAlign w:val="subscript"/>
        <w:lang w:val="en-GB" w:eastAsia="en-GB"/>
      </w:rPr>
      <w:drawing>
        <wp:inline distT="0" distB="0" distL="0" distR="0" wp14:anchorId="050A7200" wp14:editId="464D20D0">
          <wp:extent cx="7713976" cy="178541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108:OSX Server 2:&gt; MAIN WORK AREA:Mark:TO ARCHIVE:  JULY 2015:29307 29308 29309 School of Modern Languages Stationery:29308_SML-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3976" cy="1785412"/>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068"/>
    <w:multiLevelType w:val="hybridMultilevel"/>
    <w:tmpl w:val="10D4F620"/>
    <w:lvl w:ilvl="0" w:tplc="7F6245DA">
      <w:start w:val="1"/>
      <w:numFmt w:val="decimal"/>
      <w:lvlText w:val="%1."/>
      <w:lvlJc w:val="left"/>
      <w:pPr>
        <w:ind w:left="1920"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24341854"/>
    <w:multiLevelType w:val="hybridMultilevel"/>
    <w:tmpl w:val="06C037FA"/>
    <w:lvl w:ilvl="0" w:tplc="0809000F">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 w15:restartNumberingAfterBreak="0">
    <w:nsid w:val="33870E40"/>
    <w:multiLevelType w:val="hybridMultilevel"/>
    <w:tmpl w:val="B7B64862"/>
    <w:lvl w:ilvl="0" w:tplc="7F6245DA">
      <w:start w:val="1"/>
      <w:numFmt w:val="decimal"/>
      <w:lvlText w:val="%1."/>
      <w:lvlJc w:val="left"/>
      <w:pPr>
        <w:ind w:left="3480" w:hanging="360"/>
      </w:pPr>
      <w:rPr>
        <w:rFonts w:hint="default"/>
      </w:rPr>
    </w:lvl>
    <w:lvl w:ilvl="1" w:tplc="08090019" w:tentative="1">
      <w:start w:val="1"/>
      <w:numFmt w:val="lowerLetter"/>
      <w:lvlText w:val="%2."/>
      <w:lvlJc w:val="left"/>
      <w:pPr>
        <w:ind w:left="3000" w:hanging="360"/>
      </w:pPr>
    </w:lvl>
    <w:lvl w:ilvl="2" w:tplc="0809001B">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 w15:restartNumberingAfterBreak="0">
    <w:nsid w:val="41CD21A7"/>
    <w:multiLevelType w:val="hybridMultilevel"/>
    <w:tmpl w:val="12D01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D3658"/>
    <w:multiLevelType w:val="hybridMultilevel"/>
    <w:tmpl w:val="F81623E2"/>
    <w:lvl w:ilvl="0" w:tplc="7F6245DA">
      <w:start w:val="1"/>
      <w:numFmt w:val="decimal"/>
      <w:lvlText w:val="%1."/>
      <w:lvlJc w:val="left"/>
      <w:pPr>
        <w:ind w:left="3240" w:hanging="360"/>
      </w:pPr>
      <w:rPr>
        <w:rFonts w:hint="default"/>
      </w:rPr>
    </w:lvl>
    <w:lvl w:ilvl="1" w:tplc="08090019">
      <w:start w:val="1"/>
      <w:numFmt w:val="lowerLetter"/>
      <w:lvlText w:val="%2."/>
      <w:lvlJc w:val="left"/>
      <w:pPr>
        <w:ind w:left="2760" w:hanging="360"/>
      </w:pPr>
    </w:lvl>
    <w:lvl w:ilvl="2" w:tplc="0809001B">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2F"/>
    <w:rsid w:val="00046FE9"/>
    <w:rsid w:val="0032312F"/>
    <w:rsid w:val="00330924"/>
    <w:rsid w:val="003C1826"/>
    <w:rsid w:val="004A2EA7"/>
    <w:rsid w:val="004E0AC6"/>
    <w:rsid w:val="00576075"/>
    <w:rsid w:val="005A2276"/>
    <w:rsid w:val="006B4755"/>
    <w:rsid w:val="006D7B7E"/>
    <w:rsid w:val="00746A4F"/>
    <w:rsid w:val="00777BB0"/>
    <w:rsid w:val="00822797"/>
    <w:rsid w:val="00857E8F"/>
    <w:rsid w:val="0089659C"/>
    <w:rsid w:val="00924C1B"/>
    <w:rsid w:val="0099590E"/>
    <w:rsid w:val="009C488A"/>
    <w:rsid w:val="00A62EE9"/>
    <w:rsid w:val="00AD5ED1"/>
    <w:rsid w:val="00BB3AD8"/>
    <w:rsid w:val="00BD3301"/>
    <w:rsid w:val="00D477D8"/>
    <w:rsid w:val="00DB79D7"/>
    <w:rsid w:val="00F8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DF4F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12F"/>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32312F"/>
  </w:style>
  <w:style w:type="paragraph" w:styleId="Footer">
    <w:name w:val="footer"/>
    <w:basedOn w:val="Normal"/>
    <w:link w:val="FooterChar"/>
    <w:uiPriority w:val="99"/>
    <w:unhideWhenUsed/>
    <w:rsid w:val="0032312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32312F"/>
  </w:style>
  <w:style w:type="table" w:styleId="LightShading-Accent1">
    <w:name w:val="Light Shading Accent 1"/>
    <w:basedOn w:val="TableNormal"/>
    <w:uiPriority w:val="60"/>
    <w:rsid w:val="0032312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231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12F"/>
    <w:rPr>
      <w:rFonts w:ascii="Lucida Grande" w:hAnsi="Lucida Grande" w:cs="Lucida Grande"/>
      <w:sz w:val="18"/>
      <w:szCs w:val="18"/>
    </w:rPr>
  </w:style>
  <w:style w:type="paragraph" w:styleId="Closing">
    <w:name w:val="Closing"/>
    <w:basedOn w:val="Normal"/>
    <w:link w:val="ClosingChar"/>
    <w:uiPriority w:val="5"/>
    <w:unhideWhenUsed/>
    <w:rsid w:val="00AD5ED1"/>
    <w:pPr>
      <w:spacing w:before="480" w:after="960"/>
      <w:contextualSpacing/>
    </w:pPr>
  </w:style>
  <w:style w:type="character" w:customStyle="1" w:styleId="ClosingChar">
    <w:name w:val="Closing Char"/>
    <w:basedOn w:val="DefaultParagraphFont"/>
    <w:link w:val="Closing"/>
    <w:uiPriority w:val="5"/>
    <w:rsid w:val="00AD5ED1"/>
    <w:rPr>
      <w:sz w:val="22"/>
      <w:szCs w:val="22"/>
    </w:rPr>
  </w:style>
  <w:style w:type="paragraph" w:customStyle="1" w:styleId="RecipientAddress">
    <w:name w:val="Recipient Address"/>
    <w:basedOn w:val="NoSpacing"/>
    <w:uiPriority w:val="3"/>
    <w:rsid w:val="00AD5ED1"/>
    <w:pPr>
      <w:spacing w:after="360"/>
      <w:contextualSpacing/>
    </w:pPr>
  </w:style>
  <w:style w:type="paragraph" w:styleId="Salutation">
    <w:name w:val="Salutation"/>
    <w:basedOn w:val="NoSpacing"/>
    <w:next w:val="Normal"/>
    <w:link w:val="SalutationChar"/>
    <w:uiPriority w:val="4"/>
    <w:unhideWhenUsed/>
    <w:rsid w:val="00AD5ED1"/>
    <w:pPr>
      <w:spacing w:before="480" w:after="320"/>
      <w:contextualSpacing/>
    </w:pPr>
    <w:rPr>
      <w:b/>
    </w:rPr>
  </w:style>
  <w:style w:type="character" w:customStyle="1" w:styleId="SalutationChar">
    <w:name w:val="Salutation Char"/>
    <w:basedOn w:val="DefaultParagraphFont"/>
    <w:link w:val="Salutation"/>
    <w:uiPriority w:val="4"/>
    <w:rsid w:val="00AD5ED1"/>
    <w:rPr>
      <w:b/>
      <w:sz w:val="22"/>
      <w:szCs w:val="22"/>
    </w:rPr>
  </w:style>
  <w:style w:type="character" w:styleId="PlaceholderText">
    <w:name w:val="Placeholder Text"/>
    <w:basedOn w:val="DefaultParagraphFont"/>
    <w:uiPriority w:val="99"/>
    <w:unhideWhenUsed/>
    <w:rsid w:val="00AD5ED1"/>
    <w:rPr>
      <w:color w:val="808080"/>
    </w:rPr>
  </w:style>
  <w:style w:type="paragraph" w:styleId="Signature">
    <w:name w:val="Signature"/>
    <w:basedOn w:val="Normal"/>
    <w:link w:val="SignatureChar"/>
    <w:uiPriority w:val="99"/>
    <w:unhideWhenUsed/>
    <w:rsid w:val="00AD5ED1"/>
    <w:pPr>
      <w:contextualSpacing/>
    </w:pPr>
  </w:style>
  <w:style w:type="character" w:customStyle="1" w:styleId="SignatureChar">
    <w:name w:val="Signature Char"/>
    <w:basedOn w:val="DefaultParagraphFont"/>
    <w:link w:val="Signature"/>
    <w:uiPriority w:val="99"/>
    <w:rsid w:val="00AD5ED1"/>
    <w:rPr>
      <w:sz w:val="22"/>
      <w:szCs w:val="22"/>
    </w:rPr>
  </w:style>
  <w:style w:type="paragraph" w:styleId="NoSpacing">
    <w:name w:val="No Spacing"/>
    <w:uiPriority w:val="1"/>
    <w:qFormat/>
    <w:rsid w:val="00AD5ED1"/>
    <w:rPr>
      <w:sz w:val="22"/>
      <w:szCs w:val="22"/>
    </w:rPr>
  </w:style>
  <w:style w:type="character" w:styleId="Strong">
    <w:name w:val="Strong"/>
    <w:basedOn w:val="DefaultParagraphFont"/>
    <w:uiPriority w:val="22"/>
    <w:qFormat/>
    <w:rsid w:val="0089659C"/>
    <w:rPr>
      <w:b/>
      <w:bCs/>
    </w:rPr>
  </w:style>
  <w:style w:type="paragraph" w:styleId="ListParagraph">
    <w:name w:val="List Paragraph"/>
    <w:basedOn w:val="Normal"/>
    <w:uiPriority w:val="34"/>
    <w:qFormat/>
    <w:rsid w:val="00822797"/>
    <w:pPr>
      <w:spacing w:after="0" w:line="240" w:lineRule="auto"/>
      <w:ind w:left="720"/>
    </w:pPr>
    <w:rPr>
      <w:rFonts w:ascii="Calibri" w:eastAsiaTheme="minorHAns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247">
      <w:bodyDiv w:val="1"/>
      <w:marLeft w:val="0"/>
      <w:marRight w:val="0"/>
      <w:marTop w:val="0"/>
      <w:marBottom w:val="0"/>
      <w:divBdr>
        <w:top w:val="none" w:sz="0" w:space="0" w:color="auto"/>
        <w:left w:val="none" w:sz="0" w:space="0" w:color="auto"/>
        <w:bottom w:val="none" w:sz="0" w:space="0" w:color="auto"/>
        <w:right w:val="none" w:sz="0" w:space="0" w:color="auto"/>
      </w:divBdr>
    </w:div>
    <w:div w:id="977757153">
      <w:bodyDiv w:val="1"/>
      <w:marLeft w:val="0"/>
      <w:marRight w:val="0"/>
      <w:marTop w:val="0"/>
      <w:marBottom w:val="0"/>
      <w:divBdr>
        <w:top w:val="none" w:sz="0" w:space="0" w:color="auto"/>
        <w:left w:val="none" w:sz="0" w:space="0" w:color="auto"/>
        <w:bottom w:val="none" w:sz="0" w:space="0" w:color="auto"/>
        <w:right w:val="none" w:sz="0" w:space="0" w:color="auto"/>
      </w:divBdr>
      <w:divsChild>
        <w:div w:id="591858480">
          <w:marLeft w:val="0"/>
          <w:marRight w:val="0"/>
          <w:marTop w:val="0"/>
          <w:marBottom w:val="0"/>
          <w:divBdr>
            <w:top w:val="none" w:sz="0" w:space="0" w:color="auto"/>
            <w:left w:val="none" w:sz="0" w:space="0" w:color="auto"/>
            <w:bottom w:val="none" w:sz="0" w:space="0" w:color="auto"/>
            <w:right w:val="none" w:sz="0" w:space="0" w:color="auto"/>
          </w:divBdr>
        </w:div>
        <w:div w:id="1854493644">
          <w:marLeft w:val="0"/>
          <w:marRight w:val="0"/>
          <w:marTop w:val="0"/>
          <w:marBottom w:val="0"/>
          <w:divBdr>
            <w:top w:val="none" w:sz="0" w:space="0" w:color="auto"/>
            <w:left w:val="none" w:sz="0" w:space="0" w:color="auto"/>
            <w:bottom w:val="none" w:sz="0" w:space="0" w:color="auto"/>
            <w:right w:val="none" w:sz="0" w:space="0" w:color="auto"/>
          </w:divBdr>
        </w:div>
        <w:div w:id="1487815452">
          <w:marLeft w:val="0"/>
          <w:marRight w:val="0"/>
          <w:marTop w:val="0"/>
          <w:marBottom w:val="0"/>
          <w:divBdr>
            <w:top w:val="none" w:sz="0" w:space="0" w:color="auto"/>
            <w:left w:val="none" w:sz="0" w:space="0" w:color="auto"/>
            <w:bottom w:val="none" w:sz="0" w:space="0" w:color="auto"/>
            <w:right w:val="none" w:sz="0" w:space="0" w:color="auto"/>
          </w:divBdr>
        </w:div>
        <w:div w:id="1113475706">
          <w:marLeft w:val="0"/>
          <w:marRight w:val="0"/>
          <w:marTop w:val="0"/>
          <w:marBottom w:val="0"/>
          <w:divBdr>
            <w:top w:val="none" w:sz="0" w:space="0" w:color="auto"/>
            <w:left w:val="none" w:sz="0" w:space="0" w:color="auto"/>
            <w:bottom w:val="none" w:sz="0" w:space="0" w:color="auto"/>
            <w:right w:val="none" w:sz="0" w:space="0" w:color="auto"/>
          </w:divBdr>
        </w:div>
        <w:div w:id="1202981854">
          <w:marLeft w:val="0"/>
          <w:marRight w:val="0"/>
          <w:marTop w:val="0"/>
          <w:marBottom w:val="0"/>
          <w:divBdr>
            <w:top w:val="none" w:sz="0" w:space="0" w:color="auto"/>
            <w:left w:val="none" w:sz="0" w:space="0" w:color="auto"/>
            <w:bottom w:val="none" w:sz="0" w:space="0" w:color="auto"/>
            <w:right w:val="none" w:sz="0" w:space="0" w:color="auto"/>
          </w:divBdr>
        </w:div>
        <w:div w:id="1653825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585761A88004989DEBDFB85D7D49F" ma:contentTypeVersion="8" ma:contentTypeDescription="Create a new document." ma:contentTypeScope="" ma:versionID="f428cd10ce0e1fd0acc48f0261c1a075">
  <xsd:schema xmlns:xsd="http://www.w3.org/2001/XMLSchema" xmlns:xs="http://www.w3.org/2001/XMLSchema" xmlns:p="http://schemas.microsoft.com/office/2006/metadata/properties" xmlns:ns3="705e8c70-7dd1-4f29-ae89-1f9e21012b2b" xmlns:ns4="0693b645-c980-46fa-848c-1416241eefd4" targetNamespace="http://schemas.microsoft.com/office/2006/metadata/properties" ma:root="true" ma:fieldsID="05e22a068a60e0af5b32c8fe47055706" ns3:_="" ns4:_="">
    <xsd:import namespace="705e8c70-7dd1-4f29-ae89-1f9e21012b2b"/>
    <xsd:import namespace="0693b645-c980-46fa-848c-1416241eef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e8c70-7dd1-4f29-ae89-1f9e2101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b645-c980-46fa-848c-1416241eef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F5E0-F6FF-4B72-AFFA-121E076FEA7E}">
  <ds:schemaRefs>
    <ds:schemaRef ds:uri="http://schemas.microsoft.com/office/infopath/2007/PartnerControls"/>
    <ds:schemaRef ds:uri="705e8c70-7dd1-4f29-ae89-1f9e21012b2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693b645-c980-46fa-848c-1416241eefd4"/>
    <ds:schemaRef ds:uri="http://www.w3.org/XML/1998/namespace"/>
  </ds:schemaRefs>
</ds:datastoreItem>
</file>

<file path=customXml/itemProps2.xml><?xml version="1.0" encoding="utf-8"?>
<ds:datastoreItem xmlns:ds="http://schemas.openxmlformats.org/officeDocument/2006/customXml" ds:itemID="{4932AE91-FF70-4833-BD6F-5F563DC744F5}">
  <ds:schemaRefs>
    <ds:schemaRef ds:uri="http://schemas.microsoft.com/sharepoint/v3/contenttype/forms"/>
  </ds:schemaRefs>
</ds:datastoreItem>
</file>

<file path=customXml/itemProps3.xml><?xml version="1.0" encoding="utf-8"?>
<ds:datastoreItem xmlns:ds="http://schemas.openxmlformats.org/officeDocument/2006/customXml" ds:itemID="{42B8AA15-27BA-43B7-BC71-45B89A85A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e8c70-7dd1-4f29-ae89-1f9e21012b2b"/>
    <ds:schemaRef ds:uri="0693b645-c980-46fa-848c-1416241ee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79189-6C43-4A87-931A-9101173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910D0C60</Template>
  <TotalTime>1</TotalTime>
  <Pages>2</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Hincks</dc:creator>
  <cp:lastModifiedBy>Drummond, Lisa</cp:lastModifiedBy>
  <cp:revision>2</cp:revision>
  <cp:lastPrinted>2019-10-30T10:31:00Z</cp:lastPrinted>
  <dcterms:created xsi:type="dcterms:W3CDTF">2019-10-30T10:32:00Z</dcterms:created>
  <dcterms:modified xsi:type="dcterms:W3CDTF">2019-10-30T10:32:00Z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0x010100264585761A88004989DEBDFB85D7D49F</vt:lpwstr>
  </property>
</Properties>
</file>