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people.xml" ContentType="application/vnd.openxmlformats-officedocument.wordprocessingml.people+xml"/>
  <Override PartName="/word/commentsExtended.xml" ContentType="application/vnd.openxmlformats-officedocument.wordprocessingml.commentsExtended+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7D4C337A" w14:textId="36A2F0F3" w:rsidR="007971CA" w:rsidRPr="00AE5DED" w:rsidRDefault="0220D85B" w:rsidP="0220D85B">
      <w:pPr>
        <w:pStyle w:val="Title"/>
        <w:rPr>
          <w:rFonts w:cstheme="minorBidi"/>
          <w:color w:val="auto"/>
        </w:rPr>
      </w:pPr>
      <w:proofErr w:type="gramStart"/>
      <w:r w:rsidRPr="0220D85B">
        <w:rPr>
          <w:rFonts w:cstheme="minorBidi"/>
          <w:color w:val="auto"/>
        </w:rPr>
        <w:t>Teaching Recognition and Reward.</w:t>
      </w:r>
      <w:proofErr w:type="gramEnd"/>
    </w:p>
    <w:p w14:paraId="12A755C7" w14:textId="3AF1BD7D" w:rsidR="00F50AC3" w:rsidRPr="00AE5DED" w:rsidRDefault="36A7F709" w:rsidP="36A7F709">
      <w:pPr>
        <w:pStyle w:val="Title"/>
        <w:rPr>
          <w:rFonts w:cstheme="minorBidi"/>
          <w:color w:val="auto"/>
          <w:sz w:val="32"/>
          <w:szCs w:val="32"/>
        </w:rPr>
      </w:pPr>
      <w:r w:rsidRPr="36A7F709">
        <w:rPr>
          <w:rFonts w:cstheme="minorBidi"/>
          <w:color w:val="auto"/>
          <w:sz w:val="32"/>
          <w:szCs w:val="32"/>
        </w:rPr>
        <w:t>Briefing Paper – September 2017</w:t>
      </w:r>
    </w:p>
    <w:p w14:paraId="12A755C8" w14:textId="77777777" w:rsidR="0027091D" w:rsidRPr="00AE5DED" w:rsidRDefault="36A7F709" w:rsidP="36A7F709">
      <w:pPr>
        <w:pStyle w:val="Heading1"/>
        <w:spacing w:before="0" w:after="120" w:line="240" w:lineRule="auto"/>
        <w:jc w:val="both"/>
        <w:rPr>
          <w:rFonts w:cstheme="minorBidi"/>
          <w:color w:val="auto"/>
        </w:rPr>
      </w:pPr>
      <w:r w:rsidRPr="36A7F709">
        <w:rPr>
          <w:rFonts w:cstheme="minorBidi"/>
          <w:color w:val="auto"/>
        </w:rPr>
        <w:t>Executive Summary</w:t>
      </w:r>
    </w:p>
    <w:p w14:paraId="66FF4644" w14:textId="187D7150" w:rsidR="007971CA" w:rsidRPr="00AE5DED" w:rsidRDefault="7D19CA66" w:rsidP="7D19CA66">
      <w:pPr>
        <w:spacing w:after="120" w:line="240" w:lineRule="auto"/>
        <w:jc w:val="both"/>
        <w:rPr>
          <w:rFonts w:asciiTheme="majorHAnsi" w:hAnsiTheme="majorHAnsi"/>
        </w:rPr>
      </w:pPr>
      <w:r w:rsidRPr="7D19CA66">
        <w:rPr>
          <w:rFonts w:asciiTheme="majorHAnsi" w:hAnsiTheme="majorHAnsi"/>
        </w:rPr>
        <w:t xml:space="preserve">Ongoing work by WIHEA’s </w:t>
      </w:r>
      <w:r w:rsidRPr="7D19CA66">
        <w:rPr>
          <w:rFonts w:asciiTheme="majorHAnsi" w:hAnsiTheme="majorHAnsi"/>
          <w:i/>
          <w:iCs/>
        </w:rPr>
        <w:t>Teaching Recognition &amp; Reward (TR&amp;R) Learning Circle</w:t>
      </w:r>
      <w:r w:rsidRPr="7D19CA66">
        <w:rPr>
          <w:rFonts w:asciiTheme="majorHAnsi" w:hAnsiTheme="majorHAnsi"/>
        </w:rPr>
        <w:t xml:space="preserve"> has sought to investigate the current understanding of the key issues pertaining to this subject across the UK and International HE sector with a view to informing discussion and initiatives for development and change within Warwick University.  The study to date has involved a review of the subject literature, engagement with seminars and workshops organised by bodies such as the HEA and an analysis of the relative merits of the approaches adopted by a range of selected other institutions.</w:t>
      </w:r>
    </w:p>
    <w:p w14:paraId="644FE42E" w14:textId="33340AF0" w:rsidR="006D4412" w:rsidRPr="00AE5DED" w:rsidRDefault="36A7F709" w:rsidP="36A7F709">
      <w:pPr>
        <w:spacing w:after="120" w:line="240" w:lineRule="auto"/>
        <w:jc w:val="both"/>
        <w:rPr>
          <w:rFonts w:asciiTheme="majorHAnsi" w:hAnsiTheme="majorHAnsi"/>
        </w:rPr>
      </w:pPr>
      <w:r w:rsidRPr="36A7F709">
        <w:rPr>
          <w:rFonts w:asciiTheme="majorHAnsi" w:hAnsiTheme="majorHAnsi"/>
        </w:rPr>
        <w:t>Key findings to date include:</w:t>
      </w:r>
    </w:p>
    <w:p w14:paraId="79BE218F" w14:textId="147AB112" w:rsidR="00CA2E0F" w:rsidRDefault="36A7F709" w:rsidP="36A7F709">
      <w:pPr>
        <w:pStyle w:val="ListParagraph"/>
        <w:numPr>
          <w:ilvl w:val="0"/>
          <w:numId w:val="13"/>
        </w:numPr>
        <w:spacing w:after="120" w:line="240" w:lineRule="auto"/>
        <w:jc w:val="both"/>
        <w:rPr>
          <w:rFonts w:asciiTheme="majorHAnsi" w:hAnsiTheme="majorHAnsi"/>
        </w:rPr>
      </w:pPr>
      <w:r w:rsidRPr="36A7F709">
        <w:rPr>
          <w:rFonts w:asciiTheme="majorHAnsi" w:hAnsiTheme="majorHAnsi"/>
        </w:rPr>
        <w:t>There is a wealth of current scholarship on methods to recognise and reward excellent teaching which should inform discussions at Warwick.</w:t>
      </w:r>
    </w:p>
    <w:p w14:paraId="6E945A4C" w14:textId="173A26E9" w:rsidR="006D4412" w:rsidRPr="00D80917" w:rsidRDefault="0220D85B" w:rsidP="0220D85B">
      <w:pPr>
        <w:pStyle w:val="ListParagraph"/>
        <w:numPr>
          <w:ilvl w:val="0"/>
          <w:numId w:val="13"/>
        </w:numPr>
        <w:spacing w:after="120" w:line="240" w:lineRule="auto"/>
        <w:jc w:val="both"/>
        <w:rPr>
          <w:rFonts w:asciiTheme="majorHAnsi" w:hAnsiTheme="majorHAnsi"/>
        </w:rPr>
      </w:pPr>
      <w:r w:rsidRPr="0220D85B">
        <w:rPr>
          <w:rFonts w:asciiTheme="majorHAnsi" w:hAnsiTheme="majorHAnsi"/>
        </w:rPr>
        <w:t>There is substantial evidence for (and acknowledgement of) the fact that in a significant range of HE institutions the importance of teaching has been overshadowed by research.  This has almost certainly been exacerbated by the focus on REF performance, particularly amongst Russell Group institutions.  The introduction of TEF has made redressing this imbalance an urgent necessity.</w:t>
      </w:r>
    </w:p>
    <w:p w14:paraId="25E98BAA" w14:textId="2AF41154" w:rsidR="00B207BC" w:rsidRDefault="36A7F709" w:rsidP="36A7F709">
      <w:pPr>
        <w:pStyle w:val="ListParagraph"/>
        <w:numPr>
          <w:ilvl w:val="0"/>
          <w:numId w:val="13"/>
        </w:numPr>
        <w:spacing w:after="120" w:line="240" w:lineRule="auto"/>
        <w:jc w:val="both"/>
        <w:rPr>
          <w:rFonts w:asciiTheme="majorHAnsi" w:hAnsiTheme="majorHAnsi"/>
        </w:rPr>
      </w:pPr>
      <w:r w:rsidRPr="36A7F709">
        <w:rPr>
          <w:rFonts w:asciiTheme="majorHAnsi" w:hAnsiTheme="majorHAnsi"/>
        </w:rPr>
        <w:t>Whilst Warwick has historically benchmarked its performance against competitors within its own mission group, there is strong evidence that more balanced approaches to the recognition and promotion of good teaching practices are to be found elsewhere in the HE sector, notably a number of the ‘Post-92’ institutions.  This has recently been reflected in the initial TEF rankings.</w:t>
      </w:r>
    </w:p>
    <w:p w14:paraId="52B5A188" w14:textId="60AC3890" w:rsidR="005A6A1F" w:rsidRPr="00D80917" w:rsidRDefault="36A7F709" w:rsidP="36A7F709">
      <w:pPr>
        <w:pStyle w:val="ListParagraph"/>
        <w:numPr>
          <w:ilvl w:val="0"/>
          <w:numId w:val="13"/>
        </w:numPr>
        <w:spacing w:after="120" w:line="240" w:lineRule="auto"/>
        <w:jc w:val="both"/>
        <w:rPr>
          <w:rFonts w:asciiTheme="majorHAnsi" w:hAnsiTheme="majorHAnsi"/>
        </w:rPr>
      </w:pPr>
      <w:r w:rsidRPr="36A7F709">
        <w:rPr>
          <w:rFonts w:asciiTheme="majorHAnsi" w:hAnsiTheme="majorHAnsi"/>
        </w:rPr>
        <w:t>Warwick appears to be lagging behind some other Russell Group universities who have addressed or in the process of addressing reward, recognition and promotion for good teaching practices.</w:t>
      </w:r>
    </w:p>
    <w:p w14:paraId="282B6916" w14:textId="5871DCC1" w:rsidR="00FA4905" w:rsidRDefault="36A7F709" w:rsidP="36A7F709">
      <w:pPr>
        <w:pStyle w:val="ListParagraph"/>
        <w:numPr>
          <w:ilvl w:val="0"/>
          <w:numId w:val="13"/>
        </w:numPr>
        <w:spacing w:after="120" w:line="240" w:lineRule="auto"/>
        <w:jc w:val="both"/>
        <w:rPr>
          <w:rFonts w:asciiTheme="majorHAnsi" w:hAnsiTheme="majorHAnsi"/>
        </w:rPr>
      </w:pPr>
      <w:r w:rsidRPr="36A7F709">
        <w:rPr>
          <w:rFonts w:asciiTheme="majorHAnsi" w:hAnsiTheme="majorHAnsi"/>
        </w:rPr>
        <w:t>Across such institutions a common denominator seems to be the appreciation that promotion criteria should provide equal opportunities across the range of different academic activities.  These are usually identified as research-led (R), teaching-led (T) or (importantly) a blend of the two (T&amp;R).  It therefore seems critical to determine measures and criteria relating to demonstrable excellence in each of these streams of activity.</w:t>
      </w:r>
    </w:p>
    <w:p w14:paraId="4A02DF67" w14:textId="4704F27B" w:rsidR="00A312EC" w:rsidRDefault="36A7F709" w:rsidP="36A7F709">
      <w:pPr>
        <w:pStyle w:val="ListParagraph"/>
        <w:numPr>
          <w:ilvl w:val="0"/>
          <w:numId w:val="13"/>
        </w:numPr>
        <w:spacing w:after="120" w:line="240" w:lineRule="auto"/>
        <w:jc w:val="both"/>
        <w:rPr>
          <w:rFonts w:asciiTheme="majorHAnsi" w:hAnsiTheme="majorHAnsi"/>
        </w:rPr>
      </w:pPr>
      <w:r w:rsidRPr="36A7F709">
        <w:rPr>
          <w:rFonts w:asciiTheme="majorHAnsi" w:hAnsiTheme="majorHAnsi"/>
        </w:rPr>
        <w:t>There is considerable movement in the sector with many institutions (both in the UK and overseas) considering processes for the recognition and reward of teaching excellence and changing their own policies and procedures.</w:t>
      </w:r>
    </w:p>
    <w:p w14:paraId="2F5FEB10" w14:textId="654FF24E" w:rsidR="0220D85B" w:rsidRDefault="0220D85B" w:rsidP="0220D85B">
      <w:pPr>
        <w:pStyle w:val="ListParagraph"/>
        <w:numPr>
          <w:ilvl w:val="0"/>
          <w:numId w:val="13"/>
        </w:numPr>
        <w:spacing w:after="120" w:line="240" w:lineRule="auto"/>
        <w:jc w:val="both"/>
      </w:pPr>
      <w:r w:rsidRPr="0220D85B">
        <w:rPr>
          <w:rFonts w:asciiTheme="majorHAnsi" w:hAnsiTheme="majorHAnsi"/>
        </w:rPr>
        <w:t xml:space="preserve">Teaching and learning continues to be impacted by the inexorable rise in the availability of access to communications technology as have many aspects of human activity. The UK environment for HEIs has also been affected by policy changes regarding student fees which have contributed to greater focus on value for money. </w:t>
      </w:r>
    </w:p>
    <w:p w14:paraId="12A755CA" w14:textId="77777777" w:rsidR="0027091D" w:rsidRPr="00AE5DED" w:rsidRDefault="36A7F709" w:rsidP="36A7F709">
      <w:pPr>
        <w:pStyle w:val="Heading1"/>
        <w:spacing w:before="0" w:after="120" w:line="240" w:lineRule="auto"/>
        <w:jc w:val="both"/>
        <w:rPr>
          <w:color w:val="auto"/>
        </w:rPr>
      </w:pPr>
      <w:r w:rsidRPr="36A7F709">
        <w:rPr>
          <w:color w:val="auto"/>
        </w:rPr>
        <w:t>Introduction</w:t>
      </w:r>
    </w:p>
    <w:p w14:paraId="1E7786CF" w14:textId="11805F1B" w:rsidR="00BC6CCF" w:rsidRPr="00AE5DED" w:rsidRDefault="36A7F709" w:rsidP="36A7F709">
      <w:pPr>
        <w:spacing w:after="120" w:line="240" w:lineRule="auto"/>
        <w:jc w:val="both"/>
        <w:rPr>
          <w:rFonts w:asciiTheme="majorHAnsi" w:hAnsiTheme="majorHAnsi"/>
        </w:rPr>
      </w:pPr>
      <w:r w:rsidRPr="36A7F709">
        <w:rPr>
          <w:rFonts w:asciiTheme="majorHAnsi" w:hAnsiTheme="majorHAnsi"/>
        </w:rPr>
        <w:t xml:space="preserve">The WIHEA-founded </w:t>
      </w:r>
      <w:r w:rsidRPr="36A7F709">
        <w:rPr>
          <w:rFonts w:asciiTheme="majorHAnsi" w:hAnsiTheme="majorHAnsi"/>
          <w:i/>
          <w:iCs/>
        </w:rPr>
        <w:t>Teaching Recognition &amp; Reward (TR&amp;R) Learning Circle</w:t>
      </w:r>
      <w:r w:rsidRPr="36A7F709">
        <w:rPr>
          <w:rFonts w:asciiTheme="majorHAnsi" w:hAnsiTheme="majorHAnsi"/>
        </w:rPr>
        <w:t xml:space="preserve"> was initiated in early 2017 with members including WIHEA Fellows from several Warwick Departments.</w:t>
      </w:r>
    </w:p>
    <w:p w14:paraId="7D4FD949" w14:textId="53604613" w:rsidR="00500E8B" w:rsidRPr="00AE5DED" w:rsidRDefault="36A7F709" w:rsidP="36A7F709">
      <w:pPr>
        <w:pStyle w:val="NormalWeb"/>
        <w:spacing w:after="120"/>
        <w:jc w:val="both"/>
        <w:rPr>
          <w:rFonts w:asciiTheme="majorHAnsi" w:hAnsiTheme="majorHAnsi" w:cstheme="minorBidi"/>
          <w:sz w:val="22"/>
          <w:szCs w:val="22"/>
        </w:rPr>
      </w:pPr>
      <w:r w:rsidRPr="36A7F709">
        <w:rPr>
          <w:rFonts w:asciiTheme="majorHAnsi" w:hAnsiTheme="majorHAnsi" w:cstheme="minorBidi"/>
          <w:sz w:val="22"/>
          <w:szCs w:val="22"/>
        </w:rPr>
        <w:t>Its purpose is to inform institutional deliberations on issues of:</w:t>
      </w:r>
    </w:p>
    <w:p w14:paraId="7B4FC0A0" w14:textId="4AFB7E1B" w:rsidR="00500E8B" w:rsidRPr="00500E8B" w:rsidRDefault="36A7F709" w:rsidP="36A7F709">
      <w:pPr>
        <w:numPr>
          <w:ilvl w:val="0"/>
          <w:numId w:val="16"/>
        </w:numPr>
        <w:spacing w:after="120" w:line="240" w:lineRule="auto"/>
        <w:jc w:val="both"/>
        <w:rPr>
          <w:rFonts w:asciiTheme="majorHAnsi" w:eastAsia="Times New Roman" w:hAnsiTheme="majorHAnsi"/>
          <w:lang w:eastAsia="en-GB"/>
        </w:rPr>
      </w:pPr>
      <w:r w:rsidRPr="36A7F709">
        <w:rPr>
          <w:rFonts w:asciiTheme="majorHAnsi" w:eastAsia="Times New Roman" w:hAnsiTheme="majorHAnsi"/>
          <w:lang w:eastAsia="en-GB"/>
        </w:rPr>
        <w:t>Recognition and reward of teaching.</w:t>
      </w:r>
    </w:p>
    <w:p w14:paraId="3D9DA4C0" w14:textId="02B10F3A" w:rsidR="00500E8B" w:rsidRPr="00500E8B" w:rsidRDefault="00500E8B" w:rsidP="7D19CA66">
      <w:pPr>
        <w:numPr>
          <w:ilvl w:val="0"/>
          <w:numId w:val="16"/>
        </w:numPr>
        <w:spacing w:after="120" w:line="240" w:lineRule="auto"/>
        <w:jc w:val="both"/>
        <w:rPr>
          <w:rFonts w:asciiTheme="majorHAnsi" w:eastAsia="Times New Roman" w:hAnsiTheme="majorHAnsi"/>
          <w:lang w:eastAsia="en-GB"/>
        </w:rPr>
      </w:pPr>
      <w:r w:rsidRPr="36A7F709">
        <w:rPr>
          <w:rFonts w:asciiTheme="majorHAnsi" w:eastAsia="Times New Roman" w:hAnsiTheme="majorHAnsi"/>
          <w:lang w:eastAsia="en-GB"/>
        </w:rPr>
        <w:t xml:space="preserve">Teaching career </w:t>
      </w:r>
      <w:r w:rsidRPr="00AE5DED">
        <w:rPr>
          <w:rFonts w:asciiTheme="majorHAnsi" w:eastAsia="Times New Roman" w:hAnsiTheme="majorHAnsi" w:cstheme="minorHAnsi"/>
          <w:lang w:eastAsia="en-GB"/>
        </w:rPr>
        <w:tab/>
      </w:r>
      <w:r w:rsidR="36A7F709" w:rsidRPr="36A7F709">
        <w:rPr>
          <w:rFonts w:asciiTheme="majorHAnsi" w:eastAsia="Times New Roman" w:hAnsiTheme="majorHAnsi"/>
          <w:lang w:eastAsia="en-GB"/>
        </w:rPr>
        <w:t>development</w:t>
      </w:r>
      <w:r w:rsidR="00BF6B8F">
        <w:rPr>
          <w:rFonts w:asciiTheme="majorHAnsi" w:eastAsia="Times New Roman" w:hAnsiTheme="majorHAnsi" w:cstheme="minorHAnsi"/>
          <w:lang w:eastAsia="en-GB"/>
        </w:rPr>
        <w:tab/>
      </w:r>
      <w:r w:rsidRPr="36A7F709">
        <w:rPr>
          <w:rFonts w:asciiTheme="majorHAnsi" w:eastAsia="Times New Roman" w:hAnsiTheme="majorHAnsi"/>
          <w:lang w:eastAsia="en-GB"/>
        </w:rPr>
        <w:t>and</w:t>
      </w:r>
    </w:p>
    <w:p w14:paraId="63C61F82" w14:textId="5DA1D5AC" w:rsidR="00500E8B" w:rsidRPr="00500E8B" w:rsidRDefault="36A7F709" w:rsidP="36A7F709">
      <w:pPr>
        <w:numPr>
          <w:ilvl w:val="0"/>
          <w:numId w:val="16"/>
        </w:numPr>
        <w:spacing w:after="120" w:line="240" w:lineRule="auto"/>
        <w:jc w:val="both"/>
        <w:rPr>
          <w:rFonts w:asciiTheme="majorHAnsi" w:eastAsia="Times New Roman" w:hAnsiTheme="majorHAnsi"/>
          <w:lang w:eastAsia="en-GB"/>
        </w:rPr>
      </w:pPr>
      <w:r w:rsidRPr="36A7F709">
        <w:rPr>
          <w:rFonts w:asciiTheme="majorHAnsi" w:eastAsia="Times New Roman" w:hAnsiTheme="majorHAnsi"/>
          <w:lang w:eastAsia="en-GB"/>
        </w:rPr>
        <w:t>Parity of research and teaching.</w:t>
      </w:r>
    </w:p>
    <w:p w14:paraId="7F7BAEBB" w14:textId="181BBA63" w:rsidR="00500E8B" w:rsidRPr="00500E8B" w:rsidRDefault="36A7F709" w:rsidP="36A7F709">
      <w:pPr>
        <w:spacing w:after="120" w:line="240" w:lineRule="auto"/>
        <w:jc w:val="both"/>
        <w:rPr>
          <w:rFonts w:asciiTheme="majorHAnsi" w:eastAsia="Times New Roman" w:hAnsiTheme="majorHAnsi"/>
          <w:lang w:eastAsia="en-GB"/>
        </w:rPr>
      </w:pPr>
      <w:r w:rsidRPr="36A7F709">
        <w:rPr>
          <w:rFonts w:asciiTheme="majorHAnsi" w:eastAsia="Times New Roman" w:hAnsiTheme="majorHAnsi"/>
          <w:lang w:eastAsia="en-GB"/>
        </w:rPr>
        <w:lastRenderedPageBreak/>
        <w:t>It aims to provide scholarly, evidence-based advice and input to the institutional consideration of these issues, by offering a systematic review and critical appraisal of the corpus of research conducted in this field in recent decades.  Activities to date have included:</w:t>
      </w:r>
    </w:p>
    <w:p w14:paraId="68B100A3" w14:textId="17A43358" w:rsidR="00BC6CCF" w:rsidRPr="007E4C56" w:rsidRDefault="36A7F709" w:rsidP="36A7F709">
      <w:pPr>
        <w:pStyle w:val="ListParagraph"/>
        <w:numPr>
          <w:ilvl w:val="0"/>
          <w:numId w:val="14"/>
        </w:numPr>
        <w:tabs>
          <w:tab w:val="left" w:pos="0"/>
        </w:tabs>
        <w:spacing w:after="120" w:line="240" w:lineRule="auto"/>
        <w:jc w:val="both"/>
        <w:rPr>
          <w:rFonts w:asciiTheme="majorHAnsi" w:hAnsiTheme="majorHAnsi"/>
        </w:rPr>
      </w:pPr>
      <w:r w:rsidRPr="36A7F709">
        <w:rPr>
          <w:rFonts w:asciiTheme="majorHAnsi" w:hAnsiTheme="majorHAnsi"/>
        </w:rPr>
        <w:t>A review of relevant literature (</w:t>
      </w:r>
      <w:r w:rsidRPr="36A7F709">
        <w:rPr>
          <w:rFonts w:asciiTheme="majorHAnsi" w:eastAsia="Times New Roman" w:hAnsiTheme="majorHAnsi"/>
          <w:lang w:eastAsia="en-GB"/>
        </w:rPr>
        <w:t>an illustrative bibliography is included as an appendix to this briefing paper).</w:t>
      </w:r>
    </w:p>
    <w:p w14:paraId="17C0028B" w14:textId="7E3B3C23" w:rsidR="001E3983" w:rsidRPr="00AE5DED" w:rsidRDefault="36A7F709" w:rsidP="36A7F709">
      <w:pPr>
        <w:pStyle w:val="ListParagraph"/>
        <w:numPr>
          <w:ilvl w:val="0"/>
          <w:numId w:val="11"/>
        </w:numPr>
        <w:tabs>
          <w:tab w:val="left" w:pos="0"/>
        </w:tabs>
        <w:spacing w:after="120" w:line="240" w:lineRule="auto"/>
        <w:contextualSpacing w:val="0"/>
        <w:jc w:val="both"/>
        <w:rPr>
          <w:rFonts w:asciiTheme="majorHAnsi" w:hAnsiTheme="majorHAnsi"/>
        </w:rPr>
      </w:pPr>
      <w:r w:rsidRPr="36A7F709">
        <w:rPr>
          <w:rFonts w:asciiTheme="majorHAnsi" w:hAnsiTheme="majorHAnsi"/>
        </w:rPr>
        <w:t>A benchmarking exercise against selected institutions.</w:t>
      </w:r>
    </w:p>
    <w:p w14:paraId="53AB53C9" w14:textId="4CB27635" w:rsidR="009E0069" w:rsidRPr="00AE5DED" w:rsidRDefault="36A7F709" w:rsidP="36A7F709">
      <w:pPr>
        <w:tabs>
          <w:tab w:val="left" w:pos="0"/>
        </w:tabs>
        <w:spacing w:after="0" w:line="240" w:lineRule="auto"/>
        <w:jc w:val="both"/>
        <w:rPr>
          <w:rFonts w:asciiTheme="majorHAnsi" w:hAnsiTheme="majorHAnsi"/>
        </w:rPr>
      </w:pPr>
      <w:r w:rsidRPr="36A7F709">
        <w:rPr>
          <w:rFonts w:asciiTheme="majorHAnsi" w:eastAsia="Times New Roman" w:hAnsiTheme="majorHAnsi"/>
          <w:lang w:eastAsia="en-GB"/>
        </w:rPr>
        <w:t xml:space="preserve">Progressing with the work, it is a further intention to engage the WIHEA Fellowship in focus groups to gather structured data that may best represent the current situation across the institution as well as the aspirations of the teaching academy.  It is also intended that a </w:t>
      </w:r>
      <w:r w:rsidRPr="36A7F709">
        <w:rPr>
          <w:rFonts w:asciiTheme="majorHAnsi" w:hAnsiTheme="majorHAnsi"/>
        </w:rPr>
        <w:t>symposium will be organised (through WIHEA) with key presenters in the field (intended for early December 2017), calling upon:</w:t>
      </w:r>
    </w:p>
    <w:p w14:paraId="6EBA2181" w14:textId="77777777" w:rsidR="009E0069" w:rsidRPr="00AE5DED" w:rsidRDefault="36A7F709" w:rsidP="36A7F709">
      <w:pPr>
        <w:pStyle w:val="ListParagraph"/>
        <w:numPr>
          <w:ilvl w:val="1"/>
          <w:numId w:val="15"/>
        </w:numPr>
        <w:tabs>
          <w:tab w:val="left" w:pos="0"/>
        </w:tabs>
        <w:spacing w:after="0" w:line="240" w:lineRule="auto"/>
        <w:ind w:left="720"/>
        <w:contextualSpacing w:val="0"/>
        <w:jc w:val="both"/>
        <w:rPr>
          <w:rFonts w:asciiTheme="majorHAnsi" w:hAnsiTheme="majorHAnsi"/>
        </w:rPr>
      </w:pPr>
      <w:r w:rsidRPr="36A7F709">
        <w:rPr>
          <w:rFonts w:asciiTheme="majorHAnsi" w:hAnsiTheme="majorHAnsi"/>
        </w:rPr>
        <w:t>Cherry Bennett (Assistant HR Director, Reading University)</w:t>
      </w:r>
    </w:p>
    <w:p w14:paraId="75A449BF" w14:textId="77777777" w:rsidR="009E0069" w:rsidRPr="00AE5DED" w:rsidRDefault="7D19CA66" w:rsidP="7D19CA66">
      <w:pPr>
        <w:pStyle w:val="ListParagraph"/>
        <w:numPr>
          <w:ilvl w:val="1"/>
          <w:numId w:val="15"/>
        </w:numPr>
        <w:tabs>
          <w:tab w:val="left" w:pos="0"/>
        </w:tabs>
        <w:spacing w:after="0" w:line="240" w:lineRule="auto"/>
        <w:ind w:left="720"/>
        <w:contextualSpacing w:val="0"/>
        <w:jc w:val="both"/>
        <w:rPr>
          <w:rFonts w:asciiTheme="majorHAnsi" w:hAnsiTheme="majorHAnsi"/>
        </w:rPr>
      </w:pPr>
      <w:r w:rsidRPr="7D19CA66">
        <w:rPr>
          <w:rFonts w:asciiTheme="majorHAnsi" w:hAnsiTheme="majorHAnsi"/>
        </w:rPr>
        <w:t xml:space="preserve">Sue Robson NTF/ Steve </w:t>
      </w:r>
      <w:proofErr w:type="spellStart"/>
      <w:r w:rsidRPr="7D19CA66">
        <w:rPr>
          <w:rFonts w:asciiTheme="majorHAnsi" w:hAnsiTheme="majorHAnsi"/>
        </w:rPr>
        <w:t>McHanwell</w:t>
      </w:r>
      <w:proofErr w:type="spellEnd"/>
      <w:r w:rsidRPr="7D19CA66">
        <w:rPr>
          <w:rFonts w:asciiTheme="majorHAnsi" w:hAnsiTheme="majorHAnsi"/>
        </w:rPr>
        <w:t xml:space="preserve"> NTF (Newcastle University) HEA ‘</w:t>
      </w:r>
      <w:r w:rsidRPr="7D19CA66">
        <w:rPr>
          <w:rFonts w:asciiTheme="majorHAnsi" w:hAnsiTheme="majorHAnsi"/>
          <w:i/>
          <w:iCs/>
        </w:rPr>
        <w:t>Promoting Teaching</w:t>
      </w:r>
      <w:r w:rsidRPr="7D19CA66">
        <w:rPr>
          <w:rFonts w:asciiTheme="majorHAnsi" w:hAnsiTheme="majorHAnsi"/>
        </w:rPr>
        <w:t>’ project</w:t>
      </w:r>
    </w:p>
    <w:p w14:paraId="3AAE1634" w14:textId="3F217CC7" w:rsidR="009E0069" w:rsidRPr="00AE5DED" w:rsidRDefault="7D19CA66" w:rsidP="7D19CA66">
      <w:pPr>
        <w:pStyle w:val="ListParagraph"/>
        <w:numPr>
          <w:ilvl w:val="1"/>
          <w:numId w:val="15"/>
        </w:numPr>
        <w:tabs>
          <w:tab w:val="left" w:pos="0"/>
        </w:tabs>
        <w:spacing w:after="120" w:line="240" w:lineRule="auto"/>
        <w:ind w:left="720"/>
        <w:contextualSpacing w:val="0"/>
        <w:jc w:val="both"/>
        <w:rPr>
          <w:rFonts w:asciiTheme="majorHAnsi" w:hAnsiTheme="majorHAnsi"/>
        </w:rPr>
      </w:pPr>
      <w:r w:rsidRPr="7D19CA66">
        <w:rPr>
          <w:rFonts w:asciiTheme="majorHAnsi" w:hAnsiTheme="majorHAnsi"/>
        </w:rPr>
        <w:t xml:space="preserve">Vikki Burns (University of Birmingham) Participant in </w:t>
      </w:r>
      <w:proofErr w:type="spellStart"/>
      <w:r w:rsidRPr="7D19CA66">
        <w:rPr>
          <w:rFonts w:asciiTheme="majorHAnsi" w:hAnsiTheme="majorHAnsi"/>
        </w:rPr>
        <w:t>Universitas</w:t>
      </w:r>
      <w:proofErr w:type="spellEnd"/>
      <w:r w:rsidRPr="7D19CA66">
        <w:rPr>
          <w:rFonts w:asciiTheme="majorHAnsi" w:hAnsiTheme="majorHAnsi"/>
        </w:rPr>
        <w:t xml:space="preserve"> 21 (global network of research-intensive universities) project on teaching and promotion.</w:t>
      </w:r>
    </w:p>
    <w:p w14:paraId="12A755D1" w14:textId="77777777" w:rsidR="0027091D" w:rsidRPr="00AE5DED" w:rsidRDefault="36A7F709" w:rsidP="36A7F709">
      <w:pPr>
        <w:pStyle w:val="Heading1"/>
        <w:spacing w:before="0" w:after="120" w:line="240" w:lineRule="auto"/>
        <w:jc w:val="both"/>
        <w:rPr>
          <w:color w:val="auto"/>
        </w:rPr>
      </w:pPr>
      <w:r w:rsidRPr="36A7F709">
        <w:rPr>
          <w:color w:val="auto"/>
        </w:rPr>
        <w:t>Analysis of Other Institutions</w:t>
      </w:r>
    </w:p>
    <w:p w14:paraId="12A755D2" w14:textId="77777777" w:rsidR="0027091D" w:rsidRPr="00AE5DED" w:rsidRDefault="36A7F709" w:rsidP="36A7F709">
      <w:pPr>
        <w:pStyle w:val="Heading2"/>
        <w:spacing w:before="0" w:after="120" w:line="240" w:lineRule="auto"/>
        <w:jc w:val="both"/>
        <w:rPr>
          <w:color w:val="auto"/>
          <w:sz w:val="24"/>
          <w:szCs w:val="24"/>
        </w:rPr>
      </w:pPr>
      <w:r w:rsidRPr="36A7F709">
        <w:rPr>
          <w:color w:val="auto"/>
          <w:sz w:val="24"/>
          <w:szCs w:val="24"/>
        </w:rPr>
        <w:t>Selection Criteria</w:t>
      </w:r>
    </w:p>
    <w:p w14:paraId="2355974A" w14:textId="0C43BBC5" w:rsidR="001E3983" w:rsidRPr="00AE5DED" w:rsidRDefault="36A7F709" w:rsidP="36A7F709">
      <w:pPr>
        <w:tabs>
          <w:tab w:val="left" w:pos="0"/>
        </w:tabs>
        <w:spacing w:after="0" w:line="240" w:lineRule="auto"/>
        <w:jc w:val="both"/>
        <w:rPr>
          <w:rFonts w:asciiTheme="majorHAnsi" w:hAnsiTheme="majorHAnsi"/>
        </w:rPr>
      </w:pPr>
      <w:r w:rsidRPr="36A7F709">
        <w:rPr>
          <w:rFonts w:asciiTheme="majorHAnsi" w:hAnsiTheme="majorHAnsi"/>
        </w:rPr>
        <w:t>Initially, institutions for benchmarking were drawn from;</w:t>
      </w:r>
    </w:p>
    <w:p w14:paraId="2599B4B9" w14:textId="77777777" w:rsidR="001E3983" w:rsidRPr="00AE5DED" w:rsidRDefault="36A7F709" w:rsidP="36A7F709">
      <w:pPr>
        <w:pStyle w:val="ListParagraph"/>
        <w:numPr>
          <w:ilvl w:val="1"/>
          <w:numId w:val="17"/>
        </w:numPr>
        <w:tabs>
          <w:tab w:val="left" w:pos="0"/>
        </w:tabs>
        <w:spacing w:after="0" w:line="240" w:lineRule="auto"/>
        <w:ind w:left="720"/>
        <w:contextualSpacing w:val="0"/>
        <w:jc w:val="both"/>
        <w:rPr>
          <w:rFonts w:asciiTheme="majorHAnsi" w:hAnsiTheme="majorHAnsi"/>
        </w:rPr>
      </w:pPr>
      <w:r w:rsidRPr="36A7F709">
        <w:rPr>
          <w:rFonts w:asciiTheme="majorHAnsi" w:hAnsiTheme="majorHAnsi"/>
        </w:rPr>
        <w:t>The Russell Group</w:t>
      </w:r>
    </w:p>
    <w:p w14:paraId="14B6D196" w14:textId="77777777" w:rsidR="001E3983" w:rsidRPr="00AE5DED" w:rsidRDefault="36A7F709" w:rsidP="36A7F709">
      <w:pPr>
        <w:pStyle w:val="ListParagraph"/>
        <w:numPr>
          <w:ilvl w:val="1"/>
          <w:numId w:val="17"/>
        </w:numPr>
        <w:tabs>
          <w:tab w:val="left" w:pos="0"/>
        </w:tabs>
        <w:spacing w:after="0" w:line="240" w:lineRule="auto"/>
        <w:ind w:left="720"/>
        <w:contextualSpacing w:val="0"/>
        <w:jc w:val="both"/>
        <w:rPr>
          <w:rFonts w:asciiTheme="majorHAnsi" w:hAnsiTheme="majorHAnsi"/>
        </w:rPr>
      </w:pPr>
      <w:r w:rsidRPr="36A7F709">
        <w:rPr>
          <w:rFonts w:asciiTheme="majorHAnsi" w:hAnsiTheme="majorHAnsi"/>
        </w:rPr>
        <w:t>Gold Standard Institutions from the recent ‘mock TEF’ exercise</w:t>
      </w:r>
    </w:p>
    <w:p w14:paraId="449319B2" w14:textId="77777777" w:rsidR="001E3983" w:rsidRPr="00AE5DED" w:rsidRDefault="36A7F709" w:rsidP="36A7F709">
      <w:pPr>
        <w:pStyle w:val="ListParagraph"/>
        <w:numPr>
          <w:ilvl w:val="1"/>
          <w:numId w:val="17"/>
        </w:numPr>
        <w:tabs>
          <w:tab w:val="left" w:pos="0"/>
        </w:tabs>
        <w:spacing w:after="120" w:line="240" w:lineRule="auto"/>
        <w:ind w:left="720"/>
        <w:contextualSpacing w:val="0"/>
        <w:jc w:val="both"/>
        <w:rPr>
          <w:rFonts w:asciiTheme="majorHAnsi" w:hAnsiTheme="majorHAnsi"/>
        </w:rPr>
      </w:pPr>
      <w:r w:rsidRPr="36A7F709">
        <w:rPr>
          <w:rFonts w:asciiTheme="majorHAnsi" w:hAnsiTheme="majorHAnsi"/>
        </w:rPr>
        <w:t>HEA ‘Mission Groups’</w:t>
      </w:r>
    </w:p>
    <w:p w14:paraId="002F5014" w14:textId="73B74481" w:rsidR="00FC46E3" w:rsidRPr="00AE5DED" w:rsidRDefault="7C6B8269" w:rsidP="7C6B8269">
      <w:pPr>
        <w:pStyle w:val="ListParagraph"/>
        <w:tabs>
          <w:tab w:val="left" w:pos="0"/>
        </w:tabs>
        <w:spacing w:after="120" w:line="240" w:lineRule="auto"/>
        <w:ind w:left="0"/>
        <w:contextualSpacing w:val="0"/>
        <w:jc w:val="both"/>
        <w:rPr>
          <w:rFonts w:asciiTheme="majorHAnsi" w:hAnsiTheme="majorHAnsi"/>
        </w:rPr>
      </w:pPr>
      <w:r w:rsidRPr="7C6B8269">
        <w:rPr>
          <w:rFonts w:asciiTheme="majorHAnsi" w:hAnsiTheme="majorHAnsi"/>
        </w:rPr>
        <w:t>This produced a list of approximately 80 institutions across the HE sector.  These were subjected to a ‘coarse filter’, subsequent selection depending on a range of criteria, including (but not limited to) the availability of information on their promotional criteria and procedures to the ‘outside world’.  This resulted in the following derived shortlist of 14 institutions’ for closer investigation of their practices:</w:t>
      </w:r>
    </w:p>
    <w:tbl>
      <w:tblPr>
        <w:tblStyle w:val="GridTableLight"/>
        <w:tblW w:w="0" w:type="auto"/>
        <w:tblLook w:val="04A0" w:firstRow="1" w:lastRow="0" w:firstColumn="1" w:lastColumn="0" w:noHBand="0" w:noVBand="1"/>
      </w:tblPr>
      <w:tblGrid>
        <w:gridCol w:w="1854"/>
        <w:gridCol w:w="1854"/>
        <w:gridCol w:w="1854"/>
        <w:gridCol w:w="1854"/>
        <w:gridCol w:w="1854"/>
      </w:tblGrid>
      <w:tr w:rsidR="36A7F709" w14:paraId="664D0A7F" w14:textId="77777777" w:rsidTr="7C6B8269">
        <w:tc>
          <w:tcPr>
            <w:tcW w:w="1854" w:type="dxa"/>
          </w:tcPr>
          <w:p w14:paraId="3F93C2BB" w14:textId="3DFF205D" w:rsidR="36A7F709" w:rsidRDefault="36A7F709" w:rsidP="36A7F709">
            <w:pPr>
              <w:pStyle w:val="ListParagraph"/>
              <w:ind w:left="0"/>
              <w:jc w:val="both"/>
              <w:rPr>
                <w:rFonts w:eastAsiaTheme="minorEastAsia"/>
              </w:rPr>
            </w:pPr>
            <w:r w:rsidRPr="36A7F709">
              <w:rPr>
                <w:rFonts w:eastAsiaTheme="minorEastAsia"/>
              </w:rPr>
              <w:t>Aston</w:t>
            </w:r>
          </w:p>
          <w:p w14:paraId="370FCE4F" w14:textId="7B0128B2" w:rsidR="36A7F709" w:rsidRDefault="36A7F709" w:rsidP="36A7F709">
            <w:pPr>
              <w:pStyle w:val="ListParagraph"/>
              <w:rPr>
                <w:rFonts w:asciiTheme="majorHAnsi" w:hAnsiTheme="majorHAnsi"/>
              </w:rPr>
            </w:pPr>
          </w:p>
        </w:tc>
        <w:tc>
          <w:tcPr>
            <w:tcW w:w="1854" w:type="dxa"/>
          </w:tcPr>
          <w:p w14:paraId="32027A9E" w14:textId="26EE5CDD" w:rsidR="36A7F709" w:rsidRDefault="36A7F709" w:rsidP="36A7F709">
            <w:pPr>
              <w:pStyle w:val="ListParagraph"/>
              <w:ind w:left="0"/>
              <w:jc w:val="both"/>
              <w:rPr>
                <w:rFonts w:eastAsiaTheme="minorEastAsia"/>
              </w:rPr>
            </w:pPr>
            <w:r w:rsidRPr="36A7F709">
              <w:rPr>
                <w:rFonts w:eastAsiaTheme="minorEastAsia"/>
              </w:rPr>
              <w:t>Brown, USA</w:t>
            </w:r>
          </w:p>
          <w:p w14:paraId="61B98B6A" w14:textId="6974B076" w:rsidR="36A7F709" w:rsidRDefault="36A7F709" w:rsidP="36A7F709">
            <w:pPr>
              <w:pStyle w:val="ListParagraph"/>
              <w:rPr>
                <w:rFonts w:asciiTheme="majorHAnsi" w:hAnsiTheme="majorHAnsi"/>
              </w:rPr>
            </w:pPr>
          </w:p>
        </w:tc>
        <w:tc>
          <w:tcPr>
            <w:tcW w:w="1854" w:type="dxa"/>
          </w:tcPr>
          <w:p w14:paraId="6A7B0B84" w14:textId="0EB379FD" w:rsidR="36A7F709" w:rsidRDefault="36A7F709" w:rsidP="36A7F709">
            <w:pPr>
              <w:pStyle w:val="ListParagraph"/>
              <w:ind w:left="0"/>
              <w:jc w:val="both"/>
              <w:rPr>
                <w:rFonts w:eastAsiaTheme="minorEastAsia"/>
              </w:rPr>
            </w:pPr>
            <w:r w:rsidRPr="36A7F709">
              <w:rPr>
                <w:rFonts w:eastAsiaTheme="minorEastAsia"/>
              </w:rPr>
              <w:t>Monash, Australia</w:t>
            </w:r>
          </w:p>
          <w:p w14:paraId="055CF85E" w14:textId="2821995A" w:rsidR="36A7F709" w:rsidRDefault="36A7F709" w:rsidP="36A7F709">
            <w:pPr>
              <w:pStyle w:val="ListParagraph"/>
              <w:rPr>
                <w:rFonts w:asciiTheme="majorHAnsi" w:hAnsiTheme="majorHAnsi"/>
              </w:rPr>
            </w:pPr>
          </w:p>
        </w:tc>
        <w:tc>
          <w:tcPr>
            <w:tcW w:w="1854" w:type="dxa"/>
          </w:tcPr>
          <w:p w14:paraId="401E9324" w14:textId="7F8956AA" w:rsidR="36A7F709" w:rsidRDefault="36A7F709" w:rsidP="36A7F709">
            <w:pPr>
              <w:pStyle w:val="ListParagraph"/>
              <w:ind w:left="0"/>
              <w:jc w:val="both"/>
              <w:rPr>
                <w:rFonts w:eastAsiaTheme="minorEastAsia"/>
              </w:rPr>
            </w:pPr>
            <w:r w:rsidRPr="36A7F709">
              <w:rPr>
                <w:rFonts w:eastAsiaTheme="minorEastAsia"/>
              </w:rPr>
              <w:t>Sheffield</w:t>
            </w:r>
          </w:p>
          <w:p w14:paraId="047AE0A2" w14:textId="000EA0B0" w:rsidR="36A7F709" w:rsidRDefault="36A7F709" w:rsidP="36A7F709">
            <w:pPr>
              <w:pStyle w:val="ListParagraph"/>
              <w:rPr>
                <w:rFonts w:asciiTheme="majorHAnsi" w:hAnsiTheme="majorHAnsi"/>
              </w:rPr>
            </w:pPr>
          </w:p>
        </w:tc>
        <w:tc>
          <w:tcPr>
            <w:tcW w:w="1854" w:type="dxa"/>
          </w:tcPr>
          <w:p w14:paraId="1459F671" w14:textId="2FDB9C90" w:rsidR="36A7F709" w:rsidRDefault="36A7F709" w:rsidP="36A7F709">
            <w:pPr>
              <w:pStyle w:val="ListParagraph"/>
              <w:spacing w:after="120"/>
              <w:ind w:left="0"/>
              <w:jc w:val="both"/>
              <w:rPr>
                <w:rFonts w:eastAsiaTheme="minorEastAsia"/>
              </w:rPr>
            </w:pPr>
            <w:r w:rsidRPr="36A7F709">
              <w:rPr>
                <w:rFonts w:eastAsiaTheme="minorEastAsia"/>
              </w:rPr>
              <w:t>Warwick</w:t>
            </w:r>
          </w:p>
          <w:p w14:paraId="798CC7FB" w14:textId="0A91DF2F" w:rsidR="36A7F709" w:rsidRDefault="36A7F709" w:rsidP="36A7F709">
            <w:pPr>
              <w:pStyle w:val="ListParagraph"/>
              <w:rPr>
                <w:rFonts w:asciiTheme="majorHAnsi" w:hAnsiTheme="majorHAnsi"/>
              </w:rPr>
            </w:pPr>
          </w:p>
        </w:tc>
      </w:tr>
      <w:tr w:rsidR="36A7F709" w14:paraId="70659381" w14:textId="77777777" w:rsidTr="7C6B8269">
        <w:tc>
          <w:tcPr>
            <w:tcW w:w="1854" w:type="dxa"/>
          </w:tcPr>
          <w:p w14:paraId="300DE9BB" w14:textId="3DFF205D" w:rsidR="36A7F709" w:rsidRDefault="36A7F709" w:rsidP="36A7F709">
            <w:pPr>
              <w:pStyle w:val="ListParagraph"/>
              <w:ind w:left="0"/>
              <w:jc w:val="both"/>
              <w:rPr>
                <w:rFonts w:eastAsiaTheme="minorEastAsia"/>
              </w:rPr>
            </w:pPr>
            <w:r w:rsidRPr="36A7F709">
              <w:rPr>
                <w:rFonts w:eastAsiaTheme="minorEastAsia"/>
              </w:rPr>
              <w:t>Birmingham</w:t>
            </w:r>
          </w:p>
          <w:p w14:paraId="7D2711F5" w14:textId="12B0C303" w:rsidR="36A7F709" w:rsidRDefault="36A7F709" w:rsidP="36A7F709">
            <w:pPr>
              <w:pStyle w:val="ListParagraph"/>
              <w:rPr>
                <w:rFonts w:asciiTheme="majorHAnsi" w:hAnsiTheme="majorHAnsi"/>
              </w:rPr>
            </w:pPr>
          </w:p>
        </w:tc>
        <w:tc>
          <w:tcPr>
            <w:tcW w:w="1854" w:type="dxa"/>
          </w:tcPr>
          <w:p w14:paraId="0FA30C00" w14:textId="064622AC" w:rsidR="36A7F709" w:rsidRDefault="36A7F709" w:rsidP="36A7F709">
            <w:pPr>
              <w:pStyle w:val="ListParagraph"/>
              <w:ind w:left="0"/>
              <w:jc w:val="both"/>
              <w:rPr>
                <w:rFonts w:eastAsiaTheme="minorEastAsia"/>
              </w:rPr>
            </w:pPr>
            <w:r w:rsidRPr="36A7F709">
              <w:rPr>
                <w:rFonts w:eastAsiaTheme="minorEastAsia"/>
              </w:rPr>
              <w:t>Coventry</w:t>
            </w:r>
          </w:p>
          <w:p w14:paraId="2686BEB8" w14:textId="6153E9CC" w:rsidR="36A7F709" w:rsidRDefault="36A7F709" w:rsidP="36A7F709">
            <w:pPr>
              <w:pStyle w:val="ListParagraph"/>
              <w:rPr>
                <w:rFonts w:asciiTheme="majorHAnsi" w:hAnsiTheme="majorHAnsi"/>
              </w:rPr>
            </w:pPr>
          </w:p>
        </w:tc>
        <w:tc>
          <w:tcPr>
            <w:tcW w:w="1854" w:type="dxa"/>
          </w:tcPr>
          <w:p w14:paraId="1BF92DBA" w14:textId="14CBC6A8" w:rsidR="36A7F709" w:rsidRDefault="36A7F709" w:rsidP="36A7F709">
            <w:pPr>
              <w:pStyle w:val="ListParagraph"/>
              <w:ind w:left="0"/>
              <w:jc w:val="both"/>
              <w:rPr>
                <w:rFonts w:eastAsiaTheme="minorEastAsia"/>
              </w:rPr>
            </w:pPr>
            <w:proofErr w:type="gramStart"/>
            <w:r w:rsidRPr="36A7F709">
              <w:rPr>
                <w:rFonts w:eastAsiaTheme="minorEastAsia"/>
              </w:rPr>
              <w:t>Queen’s</w:t>
            </w:r>
            <w:proofErr w:type="gramEnd"/>
            <w:r w:rsidRPr="36A7F709">
              <w:rPr>
                <w:rFonts w:eastAsiaTheme="minorEastAsia"/>
              </w:rPr>
              <w:t xml:space="preserve">, Belfast, N.I. </w:t>
            </w:r>
          </w:p>
          <w:p w14:paraId="1341DEE8" w14:textId="12C28605" w:rsidR="36A7F709" w:rsidRDefault="36A7F709" w:rsidP="36A7F709">
            <w:pPr>
              <w:pStyle w:val="ListParagraph"/>
              <w:rPr>
                <w:rFonts w:asciiTheme="majorHAnsi" w:hAnsiTheme="majorHAnsi"/>
              </w:rPr>
            </w:pPr>
          </w:p>
        </w:tc>
        <w:tc>
          <w:tcPr>
            <w:tcW w:w="1854" w:type="dxa"/>
          </w:tcPr>
          <w:p w14:paraId="33D3DDC0" w14:textId="0B57F35F" w:rsidR="36A7F709" w:rsidRDefault="7C6B8269" w:rsidP="7C6B8269">
            <w:pPr>
              <w:pStyle w:val="ListParagraph"/>
              <w:spacing w:after="120"/>
              <w:ind w:left="0"/>
              <w:jc w:val="both"/>
              <w:rPr>
                <w:rFonts w:eastAsiaTheme="minorEastAsia"/>
              </w:rPr>
            </w:pPr>
            <w:r w:rsidRPr="7C6B8269">
              <w:rPr>
                <w:rFonts w:eastAsiaTheme="minorEastAsia"/>
              </w:rPr>
              <w:t>Wellesley, USA</w:t>
            </w:r>
          </w:p>
          <w:p w14:paraId="499FB7C5" w14:textId="23110BEA" w:rsidR="36A7F709" w:rsidRDefault="36A7F709" w:rsidP="7C6B8269">
            <w:pPr>
              <w:pStyle w:val="ListParagraph"/>
              <w:rPr>
                <w:rFonts w:asciiTheme="majorHAnsi" w:hAnsiTheme="majorHAnsi"/>
              </w:rPr>
            </w:pPr>
          </w:p>
        </w:tc>
        <w:tc>
          <w:tcPr>
            <w:tcW w:w="1854" w:type="dxa"/>
          </w:tcPr>
          <w:p w14:paraId="2566FEAF" w14:textId="3DFF205D" w:rsidR="36A7F709" w:rsidRDefault="7C6B8269" w:rsidP="7C6B8269">
            <w:pPr>
              <w:pStyle w:val="ListParagraph"/>
              <w:ind w:left="0"/>
              <w:jc w:val="both"/>
              <w:rPr>
                <w:rFonts w:eastAsiaTheme="minorEastAsia"/>
              </w:rPr>
            </w:pPr>
            <w:r w:rsidRPr="7C6B8269">
              <w:rPr>
                <w:rFonts w:eastAsiaTheme="minorEastAsia"/>
              </w:rPr>
              <w:t>Bristol</w:t>
            </w:r>
          </w:p>
          <w:p w14:paraId="2637CEE5" w14:textId="3ABB22FB" w:rsidR="36A7F709" w:rsidRDefault="36A7F709" w:rsidP="7C6B8269">
            <w:pPr>
              <w:pStyle w:val="ListParagraph"/>
              <w:rPr>
                <w:rFonts w:asciiTheme="majorHAnsi" w:hAnsiTheme="majorHAnsi"/>
              </w:rPr>
            </w:pPr>
          </w:p>
        </w:tc>
      </w:tr>
      <w:tr w:rsidR="36A7F709" w14:paraId="7075DB31" w14:textId="77777777" w:rsidTr="7C6B8269">
        <w:tc>
          <w:tcPr>
            <w:tcW w:w="1854" w:type="dxa"/>
          </w:tcPr>
          <w:p w14:paraId="0BE1A8FD" w14:textId="064622AC" w:rsidR="36A7F709" w:rsidRDefault="7C6B8269" w:rsidP="7C6B8269">
            <w:pPr>
              <w:pStyle w:val="ListParagraph"/>
              <w:ind w:left="0"/>
              <w:jc w:val="both"/>
              <w:rPr>
                <w:rFonts w:eastAsiaTheme="minorEastAsia"/>
              </w:rPr>
            </w:pPr>
            <w:r w:rsidRPr="7C6B8269">
              <w:rPr>
                <w:rFonts w:eastAsiaTheme="minorEastAsia"/>
              </w:rPr>
              <w:t>Leeds</w:t>
            </w:r>
          </w:p>
          <w:p w14:paraId="65457752" w14:textId="78FA1B14" w:rsidR="36A7F709" w:rsidRDefault="36A7F709" w:rsidP="7C6B8269">
            <w:pPr>
              <w:pStyle w:val="ListParagraph"/>
              <w:rPr>
                <w:rFonts w:asciiTheme="majorHAnsi" w:hAnsiTheme="majorHAnsi"/>
              </w:rPr>
            </w:pPr>
          </w:p>
        </w:tc>
        <w:tc>
          <w:tcPr>
            <w:tcW w:w="1854" w:type="dxa"/>
          </w:tcPr>
          <w:p w14:paraId="28F8E905" w14:textId="7F8956AA" w:rsidR="36A7F709" w:rsidRDefault="7C6B8269" w:rsidP="7C6B8269">
            <w:pPr>
              <w:pStyle w:val="ListParagraph"/>
              <w:ind w:left="0"/>
              <w:jc w:val="both"/>
              <w:rPr>
                <w:rFonts w:eastAsiaTheme="minorEastAsia"/>
              </w:rPr>
            </w:pPr>
            <w:r w:rsidRPr="7C6B8269">
              <w:rPr>
                <w:rFonts w:eastAsiaTheme="minorEastAsia"/>
              </w:rPr>
              <w:t>Reading</w:t>
            </w:r>
          </w:p>
          <w:p w14:paraId="09F6FFDB" w14:textId="06CB4F03" w:rsidR="36A7F709" w:rsidRDefault="36A7F709" w:rsidP="7C6B8269">
            <w:pPr>
              <w:pStyle w:val="ListParagraph"/>
              <w:rPr>
                <w:rFonts w:asciiTheme="majorHAnsi" w:hAnsiTheme="majorHAnsi"/>
              </w:rPr>
            </w:pPr>
          </w:p>
        </w:tc>
        <w:tc>
          <w:tcPr>
            <w:tcW w:w="1854" w:type="dxa"/>
          </w:tcPr>
          <w:p w14:paraId="793610C9" w14:textId="7F8956AA" w:rsidR="36A7F709" w:rsidRDefault="7C6B8269" w:rsidP="7C6B8269">
            <w:pPr>
              <w:pStyle w:val="ListParagraph"/>
              <w:ind w:left="0"/>
              <w:jc w:val="both"/>
              <w:rPr>
                <w:rFonts w:eastAsiaTheme="minorEastAsia"/>
              </w:rPr>
            </w:pPr>
            <w:r w:rsidRPr="7C6B8269">
              <w:rPr>
                <w:rFonts w:eastAsiaTheme="minorEastAsia"/>
              </w:rPr>
              <w:t>Swansea</w:t>
            </w:r>
          </w:p>
          <w:p w14:paraId="2E207016" w14:textId="371A00EB" w:rsidR="36A7F709" w:rsidRDefault="36A7F709" w:rsidP="7C6B8269">
            <w:pPr>
              <w:pStyle w:val="ListParagraph"/>
              <w:rPr>
                <w:rFonts w:asciiTheme="majorHAnsi" w:hAnsiTheme="majorHAnsi"/>
              </w:rPr>
            </w:pPr>
          </w:p>
        </w:tc>
        <w:tc>
          <w:tcPr>
            <w:tcW w:w="1854" w:type="dxa"/>
          </w:tcPr>
          <w:p w14:paraId="56641413" w14:textId="2FDB9C90" w:rsidR="36A7F709" w:rsidRDefault="7C6B8269" w:rsidP="7C6B8269">
            <w:pPr>
              <w:pStyle w:val="ListParagraph"/>
              <w:spacing w:after="120"/>
              <w:ind w:left="0"/>
              <w:jc w:val="both"/>
              <w:rPr>
                <w:rFonts w:eastAsiaTheme="minorEastAsia"/>
              </w:rPr>
            </w:pPr>
            <w:r w:rsidRPr="7C6B8269">
              <w:rPr>
                <w:rFonts w:eastAsiaTheme="minorEastAsia"/>
              </w:rPr>
              <w:t>York</w:t>
            </w:r>
          </w:p>
          <w:p w14:paraId="4EF86B77" w14:textId="057FADEC" w:rsidR="36A7F709" w:rsidRDefault="36A7F709" w:rsidP="7C6B8269">
            <w:pPr>
              <w:pStyle w:val="ListParagraph"/>
              <w:rPr>
                <w:rFonts w:asciiTheme="majorHAnsi" w:hAnsiTheme="majorHAnsi"/>
              </w:rPr>
            </w:pPr>
          </w:p>
        </w:tc>
        <w:tc>
          <w:tcPr>
            <w:tcW w:w="1854" w:type="dxa"/>
          </w:tcPr>
          <w:p w14:paraId="424F9F45" w14:textId="13CDC7FE" w:rsidR="36A7F709" w:rsidRDefault="36A7F709" w:rsidP="36A7F709">
            <w:pPr>
              <w:pStyle w:val="ListParagraph"/>
              <w:rPr>
                <w:rFonts w:asciiTheme="majorHAnsi" w:hAnsiTheme="majorHAnsi"/>
              </w:rPr>
            </w:pPr>
          </w:p>
        </w:tc>
      </w:tr>
    </w:tbl>
    <w:p w14:paraId="5A4D8FF6" w14:textId="137BB587" w:rsidR="001E3983" w:rsidRPr="00AE5DED" w:rsidRDefault="7C6B8269" w:rsidP="7C6B8269">
      <w:pPr>
        <w:pStyle w:val="ListParagraph"/>
        <w:tabs>
          <w:tab w:val="left" w:pos="0"/>
        </w:tabs>
        <w:spacing w:after="120" w:line="240" w:lineRule="auto"/>
        <w:ind w:left="0"/>
        <w:contextualSpacing w:val="0"/>
        <w:jc w:val="both"/>
        <w:rPr>
          <w:rFonts w:asciiTheme="majorHAnsi" w:hAnsiTheme="majorHAnsi"/>
        </w:rPr>
      </w:pPr>
      <w:r w:rsidRPr="7C6B8269">
        <w:rPr>
          <w:rFonts w:asciiTheme="majorHAnsi" w:hAnsiTheme="majorHAnsi"/>
        </w:rPr>
        <w:t>These 14 institutions have then been benchmarked along guidelines established by the HEA ‘Promoting Teaching’ project (see Table 1, below).</w:t>
      </w:r>
    </w:p>
    <w:tbl>
      <w:tblPr>
        <w:tblStyle w:val="TableGrid"/>
        <w:tblW w:w="9463" w:type="dxa"/>
        <w:tblLook w:val="04A0" w:firstRow="1" w:lastRow="0" w:firstColumn="1" w:lastColumn="0" w:noHBand="0" w:noVBand="1"/>
      </w:tblPr>
      <w:tblGrid>
        <w:gridCol w:w="4788"/>
        <w:gridCol w:w="4675"/>
      </w:tblGrid>
      <w:tr w:rsidR="00AE5DED" w:rsidRPr="00AE5DED" w14:paraId="63A42D89" w14:textId="77777777" w:rsidTr="7D19CA66">
        <w:tc>
          <w:tcPr>
            <w:tcW w:w="4788" w:type="dxa"/>
          </w:tcPr>
          <w:p w14:paraId="6C98C973" w14:textId="77777777" w:rsidR="001E3983" w:rsidRPr="00AE5DED" w:rsidRDefault="36A7F709" w:rsidP="36A7F709">
            <w:pPr>
              <w:pStyle w:val="ListParagraph"/>
              <w:tabs>
                <w:tab w:val="left" w:pos="0"/>
              </w:tabs>
              <w:ind w:left="0"/>
              <w:contextualSpacing w:val="0"/>
              <w:rPr>
                <w:rFonts w:asciiTheme="majorHAnsi" w:hAnsiTheme="majorHAnsi"/>
                <w:b/>
                <w:bCs/>
              </w:rPr>
            </w:pPr>
            <w:r w:rsidRPr="36A7F709">
              <w:rPr>
                <w:rFonts w:asciiTheme="majorHAnsi" w:hAnsiTheme="majorHAnsi"/>
                <w:b/>
                <w:bCs/>
              </w:rPr>
              <w:t>Evidence Provided by Supervisor/Head/Dean</w:t>
            </w:r>
          </w:p>
          <w:p w14:paraId="3C752EFF" w14:textId="77777777" w:rsidR="001E3983" w:rsidRPr="00AE5DED" w:rsidRDefault="36A7F709" w:rsidP="36A7F709">
            <w:pPr>
              <w:pStyle w:val="ListParagraph"/>
              <w:tabs>
                <w:tab w:val="left" w:pos="0"/>
              </w:tabs>
              <w:ind w:left="0"/>
              <w:contextualSpacing w:val="0"/>
              <w:rPr>
                <w:rFonts w:asciiTheme="majorHAnsi" w:hAnsiTheme="majorHAnsi"/>
              </w:rPr>
            </w:pPr>
            <w:r w:rsidRPr="36A7F709">
              <w:rPr>
                <w:rFonts w:asciiTheme="majorHAnsi" w:hAnsiTheme="majorHAnsi"/>
              </w:rPr>
              <w:t>Position/performance expectation</w:t>
            </w:r>
          </w:p>
          <w:p w14:paraId="7698CDF7" w14:textId="6036C5AF" w:rsidR="001E3983" w:rsidRPr="00AE5DED" w:rsidRDefault="7D19CA66" w:rsidP="7D19CA66">
            <w:pPr>
              <w:pStyle w:val="ListParagraph"/>
              <w:tabs>
                <w:tab w:val="left" w:pos="0"/>
              </w:tabs>
              <w:ind w:left="0"/>
              <w:contextualSpacing w:val="0"/>
              <w:rPr>
                <w:rFonts w:asciiTheme="majorHAnsi" w:hAnsiTheme="majorHAnsi"/>
              </w:rPr>
            </w:pPr>
            <w:r w:rsidRPr="7D19CA66">
              <w:rPr>
                <w:rFonts w:asciiTheme="majorHAnsi" w:hAnsiTheme="majorHAnsi"/>
              </w:rPr>
              <w:t>Head’s evaluation (</w:t>
            </w:r>
            <w:proofErr w:type="spellStart"/>
            <w:r w:rsidRPr="7D19CA66">
              <w:rPr>
                <w:rFonts w:asciiTheme="majorHAnsi" w:hAnsiTheme="majorHAnsi"/>
              </w:rPr>
              <w:t>eg</w:t>
            </w:r>
            <w:proofErr w:type="spellEnd"/>
            <w:r w:rsidRPr="7D19CA66">
              <w:rPr>
                <w:rFonts w:asciiTheme="majorHAnsi" w:hAnsiTheme="majorHAnsi"/>
              </w:rPr>
              <w:t xml:space="preserve"> classroom observations)</w:t>
            </w:r>
          </w:p>
          <w:p w14:paraId="5F227B0F" w14:textId="77777777" w:rsidR="001E3983" w:rsidRPr="00AE5DED" w:rsidRDefault="36A7F709" w:rsidP="36A7F709">
            <w:pPr>
              <w:pStyle w:val="ListParagraph"/>
              <w:tabs>
                <w:tab w:val="left" w:pos="0"/>
              </w:tabs>
              <w:ind w:left="0"/>
              <w:contextualSpacing w:val="0"/>
              <w:rPr>
                <w:rFonts w:asciiTheme="majorHAnsi" w:hAnsiTheme="majorHAnsi"/>
              </w:rPr>
            </w:pPr>
            <w:r w:rsidRPr="36A7F709">
              <w:rPr>
                <w:rFonts w:asciiTheme="majorHAnsi" w:hAnsiTheme="majorHAnsi"/>
              </w:rPr>
              <w:t>Course/Subject Evaluations</w:t>
            </w:r>
          </w:p>
        </w:tc>
        <w:tc>
          <w:tcPr>
            <w:tcW w:w="4675" w:type="dxa"/>
          </w:tcPr>
          <w:p w14:paraId="48D7D1E1" w14:textId="77777777" w:rsidR="001E3983" w:rsidRPr="00AE5DED" w:rsidRDefault="36A7F709" w:rsidP="36A7F709">
            <w:pPr>
              <w:pStyle w:val="ListParagraph"/>
              <w:tabs>
                <w:tab w:val="left" w:pos="0"/>
              </w:tabs>
              <w:ind w:left="0"/>
              <w:contextualSpacing w:val="0"/>
              <w:rPr>
                <w:rFonts w:asciiTheme="majorHAnsi" w:hAnsiTheme="majorHAnsi"/>
                <w:b/>
                <w:bCs/>
              </w:rPr>
            </w:pPr>
            <w:r w:rsidRPr="36A7F709">
              <w:rPr>
                <w:rFonts w:asciiTheme="majorHAnsi" w:hAnsiTheme="majorHAnsi"/>
                <w:b/>
                <w:bCs/>
              </w:rPr>
              <w:t>Evidence Relating to Impact on Students</w:t>
            </w:r>
          </w:p>
          <w:p w14:paraId="1A9B8001" w14:textId="77777777" w:rsidR="001E3983" w:rsidRPr="00AE5DED" w:rsidRDefault="36A7F709" w:rsidP="36A7F709">
            <w:pPr>
              <w:pStyle w:val="ListParagraph"/>
              <w:tabs>
                <w:tab w:val="left" w:pos="0"/>
              </w:tabs>
              <w:ind w:left="0"/>
              <w:contextualSpacing w:val="0"/>
              <w:rPr>
                <w:rFonts w:asciiTheme="majorHAnsi" w:hAnsiTheme="majorHAnsi"/>
              </w:rPr>
            </w:pPr>
            <w:r w:rsidRPr="36A7F709">
              <w:rPr>
                <w:rFonts w:asciiTheme="majorHAnsi" w:hAnsiTheme="majorHAnsi"/>
              </w:rPr>
              <w:t>Statement of teaching philosophy</w:t>
            </w:r>
          </w:p>
          <w:p w14:paraId="5A8A62FB" w14:textId="77777777" w:rsidR="001E3983" w:rsidRPr="00AE5DED" w:rsidRDefault="36A7F709" w:rsidP="36A7F709">
            <w:pPr>
              <w:pStyle w:val="ListParagraph"/>
              <w:tabs>
                <w:tab w:val="left" w:pos="0"/>
              </w:tabs>
              <w:ind w:left="0"/>
              <w:contextualSpacing w:val="0"/>
              <w:rPr>
                <w:rFonts w:asciiTheme="majorHAnsi" w:hAnsiTheme="majorHAnsi"/>
              </w:rPr>
            </w:pPr>
            <w:r w:rsidRPr="36A7F709">
              <w:rPr>
                <w:rFonts w:asciiTheme="majorHAnsi" w:hAnsiTheme="majorHAnsi"/>
              </w:rPr>
              <w:t>Teacher/subject/course evaluations</w:t>
            </w:r>
          </w:p>
          <w:p w14:paraId="0A040F01" w14:textId="77777777" w:rsidR="001E3983" w:rsidRPr="00AE5DED" w:rsidRDefault="36A7F709" w:rsidP="36A7F709">
            <w:pPr>
              <w:pStyle w:val="ListParagraph"/>
              <w:tabs>
                <w:tab w:val="left" w:pos="0"/>
              </w:tabs>
              <w:ind w:left="0"/>
              <w:contextualSpacing w:val="0"/>
              <w:rPr>
                <w:rFonts w:asciiTheme="majorHAnsi" w:hAnsiTheme="majorHAnsi"/>
              </w:rPr>
            </w:pPr>
            <w:r w:rsidRPr="36A7F709">
              <w:rPr>
                <w:rFonts w:asciiTheme="majorHAnsi" w:hAnsiTheme="majorHAnsi"/>
              </w:rPr>
              <w:t>Student learning outcomes</w:t>
            </w:r>
          </w:p>
          <w:p w14:paraId="58C04858" w14:textId="77777777" w:rsidR="001E3983" w:rsidRPr="00AE5DED" w:rsidRDefault="36A7F709" w:rsidP="36A7F709">
            <w:pPr>
              <w:pStyle w:val="ListParagraph"/>
              <w:tabs>
                <w:tab w:val="left" w:pos="0"/>
              </w:tabs>
              <w:ind w:left="0"/>
              <w:contextualSpacing w:val="0"/>
              <w:rPr>
                <w:rFonts w:asciiTheme="majorHAnsi" w:hAnsiTheme="majorHAnsi"/>
              </w:rPr>
            </w:pPr>
            <w:r w:rsidRPr="36A7F709">
              <w:rPr>
                <w:rFonts w:asciiTheme="majorHAnsi" w:hAnsiTheme="majorHAnsi"/>
              </w:rPr>
              <w:t>Other</w:t>
            </w:r>
          </w:p>
        </w:tc>
      </w:tr>
      <w:tr w:rsidR="00AE5DED" w:rsidRPr="00AE5DED" w14:paraId="18C3CD0A" w14:textId="77777777" w:rsidTr="7D19CA66">
        <w:tc>
          <w:tcPr>
            <w:tcW w:w="4788" w:type="dxa"/>
          </w:tcPr>
          <w:p w14:paraId="2C73CB3F" w14:textId="77777777" w:rsidR="001E3983" w:rsidRPr="00AE5DED" w:rsidRDefault="36A7F709" w:rsidP="36A7F709">
            <w:pPr>
              <w:pStyle w:val="ListParagraph"/>
              <w:tabs>
                <w:tab w:val="left" w:pos="0"/>
              </w:tabs>
              <w:ind w:left="0"/>
              <w:contextualSpacing w:val="0"/>
              <w:rPr>
                <w:rFonts w:asciiTheme="majorHAnsi" w:hAnsiTheme="majorHAnsi"/>
                <w:b/>
                <w:bCs/>
              </w:rPr>
            </w:pPr>
            <w:r w:rsidRPr="36A7F709">
              <w:rPr>
                <w:rFonts w:asciiTheme="majorHAnsi" w:hAnsiTheme="majorHAnsi"/>
                <w:b/>
                <w:bCs/>
              </w:rPr>
              <w:t>Evidence Relating to Staff Development</w:t>
            </w:r>
          </w:p>
          <w:p w14:paraId="7148E7A1" w14:textId="77777777" w:rsidR="001E3983" w:rsidRPr="00AE5DED" w:rsidRDefault="36A7F709" w:rsidP="36A7F709">
            <w:pPr>
              <w:pStyle w:val="ListParagraph"/>
              <w:tabs>
                <w:tab w:val="left" w:pos="0"/>
              </w:tabs>
              <w:ind w:left="0"/>
              <w:contextualSpacing w:val="0"/>
              <w:rPr>
                <w:rFonts w:asciiTheme="majorHAnsi" w:hAnsiTheme="majorHAnsi"/>
              </w:rPr>
            </w:pPr>
            <w:r w:rsidRPr="36A7F709">
              <w:rPr>
                <w:rFonts w:asciiTheme="majorHAnsi" w:hAnsiTheme="majorHAnsi"/>
              </w:rPr>
              <w:t>Completion of tertiary teaching preparation course</w:t>
            </w:r>
          </w:p>
          <w:p w14:paraId="14EB1117" w14:textId="77777777" w:rsidR="001E3983" w:rsidRPr="00AE5DED" w:rsidRDefault="36A7F709" w:rsidP="36A7F709">
            <w:pPr>
              <w:pStyle w:val="ListParagraph"/>
              <w:tabs>
                <w:tab w:val="left" w:pos="0"/>
              </w:tabs>
              <w:ind w:left="0"/>
              <w:contextualSpacing w:val="0"/>
              <w:rPr>
                <w:rFonts w:asciiTheme="majorHAnsi" w:hAnsiTheme="majorHAnsi"/>
              </w:rPr>
            </w:pPr>
            <w:r w:rsidRPr="36A7F709">
              <w:rPr>
                <w:rFonts w:asciiTheme="majorHAnsi" w:hAnsiTheme="majorHAnsi"/>
              </w:rPr>
              <w:t>Completion of formal qualification in teaching</w:t>
            </w:r>
          </w:p>
          <w:p w14:paraId="18FB4DBD" w14:textId="77777777" w:rsidR="001E3983" w:rsidRPr="00AE5DED" w:rsidRDefault="36A7F709" w:rsidP="36A7F709">
            <w:pPr>
              <w:pStyle w:val="ListParagraph"/>
              <w:tabs>
                <w:tab w:val="left" w:pos="0"/>
              </w:tabs>
              <w:ind w:left="0"/>
              <w:contextualSpacing w:val="0"/>
              <w:rPr>
                <w:rFonts w:asciiTheme="majorHAnsi" w:hAnsiTheme="majorHAnsi"/>
              </w:rPr>
            </w:pPr>
            <w:r w:rsidRPr="36A7F709">
              <w:rPr>
                <w:rFonts w:asciiTheme="majorHAnsi" w:hAnsiTheme="majorHAnsi"/>
              </w:rPr>
              <w:t>Attendance at teaching-related workshops</w:t>
            </w:r>
          </w:p>
          <w:p w14:paraId="7BE20FD7" w14:textId="77777777" w:rsidR="001E3983" w:rsidRPr="00AE5DED" w:rsidRDefault="36A7F709" w:rsidP="36A7F709">
            <w:pPr>
              <w:pStyle w:val="ListParagraph"/>
              <w:tabs>
                <w:tab w:val="left" w:pos="0"/>
              </w:tabs>
              <w:ind w:left="0"/>
              <w:contextualSpacing w:val="0"/>
              <w:rPr>
                <w:rFonts w:asciiTheme="majorHAnsi" w:hAnsiTheme="majorHAnsi"/>
              </w:rPr>
            </w:pPr>
            <w:r w:rsidRPr="36A7F709">
              <w:rPr>
                <w:rFonts w:asciiTheme="majorHAnsi" w:hAnsiTheme="majorHAnsi"/>
              </w:rPr>
              <w:t>Other</w:t>
            </w:r>
          </w:p>
        </w:tc>
        <w:tc>
          <w:tcPr>
            <w:tcW w:w="4675" w:type="dxa"/>
          </w:tcPr>
          <w:p w14:paraId="2A86B68C" w14:textId="77777777" w:rsidR="001E3983" w:rsidRPr="00AE5DED" w:rsidRDefault="36A7F709" w:rsidP="36A7F709">
            <w:pPr>
              <w:pStyle w:val="ListParagraph"/>
              <w:tabs>
                <w:tab w:val="left" w:pos="0"/>
              </w:tabs>
              <w:ind w:left="0"/>
              <w:contextualSpacing w:val="0"/>
              <w:rPr>
                <w:rFonts w:asciiTheme="majorHAnsi" w:hAnsiTheme="majorHAnsi"/>
                <w:b/>
                <w:bCs/>
              </w:rPr>
            </w:pPr>
            <w:r w:rsidRPr="36A7F709">
              <w:rPr>
                <w:rFonts w:asciiTheme="majorHAnsi" w:hAnsiTheme="majorHAnsi"/>
                <w:b/>
                <w:bCs/>
              </w:rPr>
              <w:t>Evidence Relating to Curriculum Development</w:t>
            </w:r>
          </w:p>
          <w:p w14:paraId="0D15F40D" w14:textId="77777777" w:rsidR="001E3983" w:rsidRPr="00AE5DED" w:rsidRDefault="36A7F709" w:rsidP="36A7F709">
            <w:pPr>
              <w:pStyle w:val="ListParagraph"/>
              <w:tabs>
                <w:tab w:val="left" w:pos="0"/>
              </w:tabs>
              <w:ind w:left="0"/>
              <w:contextualSpacing w:val="0"/>
              <w:rPr>
                <w:rFonts w:asciiTheme="majorHAnsi" w:hAnsiTheme="majorHAnsi"/>
              </w:rPr>
            </w:pPr>
            <w:r w:rsidRPr="36A7F709">
              <w:rPr>
                <w:rFonts w:asciiTheme="majorHAnsi" w:hAnsiTheme="majorHAnsi"/>
              </w:rPr>
              <w:t>Resource development</w:t>
            </w:r>
          </w:p>
          <w:p w14:paraId="1E404C60" w14:textId="77777777" w:rsidR="001E3983" w:rsidRPr="00AE5DED" w:rsidRDefault="36A7F709" w:rsidP="36A7F709">
            <w:pPr>
              <w:pStyle w:val="ListParagraph"/>
              <w:tabs>
                <w:tab w:val="left" w:pos="0"/>
              </w:tabs>
              <w:ind w:left="0"/>
              <w:contextualSpacing w:val="0"/>
              <w:rPr>
                <w:rFonts w:asciiTheme="majorHAnsi" w:hAnsiTheme="majorHAnsi"/>
              </w:rPr>
            </w:pPr>
            <w:r w:rsidRPr="36A7F709">
              <w:rPr>
                <w:rFonts w:asciiTheme="majorHAnsi" w:hAnsiTheme="majorHAnsi"/>
              </w:rPr>
              <w:t>Subject/course development or curriculum review</w:t>
            </w:r>
          </w:p>
          <w:p w14:paraId="23BEB473" w14:textId="77777777" w:rsidR="001E3983" w:rsidRPr="00AE5DED" w:rsidRDefault="36A7F709" w:rsidP="36A7F709">
            <w:pPr>
              <w:pStyle w:val="ListParagraph"/>
              <w:tabs>
                <w:tab w:val="left" w:pos="0"/>
              </w:tabs>
              <w:ind w:left="0"/>
              <w:contextualSpacing w:val="0"/>
              <w:rPr>
                <w:rFonts w:asciiTheme="majorHAnsi" w:hAnsiTheme="majorHAnsi"/>
              </w:rPr>
            </w:pPr>
            <w:r w:rsidRPr="36A7F709">
              <w:rPr>
                <w:rFonts w:asciiTheme="majorHAnsi" w:hAnsiTheme="majorHAnsi"/>
              </w:rPr>
              <w:t>Innovation</w:t>
            </w:r>
          </w:p>
          <w:p w14:paraId="661D74BE" w14:textId="77777777" w:rsidR="001E3983" w:rsidRPr="00AE5DED" w:rsidRDefault="36A7F709" w:rsidP="36A7F709">
            <w:pPr>
              <w:pStyle w:val="ListParagraph"/>
              <w:tabs>
                <w:tab w:val="left" w:pos="0"/>
              </w:tabs>
              <w:ind w:left="0"/>
              <w:contextualSpacing w:val="0"/>
              <w:rPr>
                <w:rFonts w:asciiTheme="majorHAnsi" w:hAnsiTheme="majorHAnsi"/>
              </w:rPr>
            </w:pPr>
            <w:r w:rsidRPr="36A7F709">
              <w:rPr>
                <w:rFonts w:asciiTheme="majorHAnsi" w:hAnsiTheme="majorHAnsi"/>
              </w:rPr>
              <w:t>Textbook</w:t>
            </w:r>
          </w:p>
          <w:p w14:paraId="13149C7B" w14:textId="77777777" w:rsidR="001E3983" w:rsidRPr="00AE5DED" w:rsidRDefault="36A7F709" w:rsidP="36A7F709">
            <w:pPr>
              <w:pStyle w:val="ListParagraph"/>
              <w:tabs>
                <w:tab w:val="left" w:pos="0"/>
              </w:tabs>
              <w:ind w:left="0"/>
              <w:contextualSpacing w:val="0"/>
              <w:rPr>
                <w:rFonts w:asciiTheme="majorHAnsi" w:hAnsiTheme="majorHAnsi"/>
              </w:rPr>
            </w:pPr>
            <w:r w:rsidRPr="36A7F709">
              <w:rPr>
                <w:rFonts w:asciiTheme="majorHAnsi" w:hAnsiTheme="majorHAnsi"/>
              </w:rPr>
              <w:t>Other</w:t>
            </w:r>
          </w:p>
        </w:tc>
      </w:tr>
      <w:tr w:rsidR="00AE5DED" w:rsidRPr="00AE5DED" w14:paraId="1128B889" w14:textId="77777777" w:rsidTr="7D19CA66">
        <w:tc>
          <w:tcPr>
            <w:tcW w:w="4788" w:type="dxa"/>
          </w:tcPr>
          <w:p w14:paraId="2A9DAE82" w14:textId="77777777" w:rsidR="001E3983" w:rsidRPr="00AE5DED" w:rsidRDefault="36A7F709" w:rsidP="36A7F709">
            <w:pPr>
              <w:pStyle w:val="ListParagraph"/>
              <w:tabs>
                <w:tab w:val="left" w:pos="0"/>
              </w:tabs>
              <w:ind w:left="0"/>
              <w:contextualSpacing w:val="0"/>
              <w:rPr>
                <w:rFonts w:asciiTheme="majorHAnsi" w:hAnsiTheme="majorHAnsi"/>
                <w:b/>
                <w:bCs/>
              </w:rPr>
            </w:pPr>
            <w:r w:rsidRPr="36A7F709">
              <w:rPr>
                <w:rFonts w:asciiTheme="majorHAnsi" w:hAnsiTheme="majorHAnsi"/>
                <w:b/>
                <w:bCs/>
              </w:rPr>
              <w:lastRenderedPageBreak/>
              <w:t>Evidence Relating to Peer Evaluation or Recognition</w:t>
            </w:r>
          </w:p>
          <w:p w14:paraId="7E3C7BB4" w14:textId="77777777" w:rsidR="001E3983" w:rsidRPr="00AE5DED" w:rsidRDefault="36A7F709" w:rsidP="36A7F709">
            <w:pPr>
              <w:pStyle w:val="ListParagraph"/>
              <w:tabs>
                <w:tab w:val="left" w:pos="0"/>
              </w:tabs>
              <w:ind w:left="0"/>
              <w:contextualSpacing w:val="0"/>
              <w:rPr>
                <w:rFonts w:asciiTheme="majorHAnsi" w:hAnsiTheme="majorHAnsi"/>
              </w:rPr>
            </w:pPr>
            <w:r w:rsidRPr="36A7F709">
              <w:rPr>
                <w:rFonts w:asciiTheme="majorHAnsi" w:hAnsiTheme="majorHAnsi"/>
              </w:rPr>
              <w:t>Peer observations of teaching</w:t>
            </w:r>
          </w:p>
          <w:p w14:paraId="7162975B" w14:textId="77777777" w:rsidR="001E3983" w:rsidRPr="00AE5DED" w:rsidRDefault="36A7F709" w:rsidP="36A7F709">
            <w:pPr>
              <w:pStyle w:val="ListParagraph"/>
              <w:tabs>
                <w:tab w:val="left" w:pos="0"/>
              </w:tabs>
              <w:ind w:left="0"/>
              <w:contextualSpacing w:val="0"/>
              <w:rPr>
                <w:rFonts w:asciiTheme="majorHAnsi" w:hAnsiTheme="majorHAnsi"/>
              </w:rPr>
            </w:pPr>
            <w:r w:rsidRPr="36A7F709">
              <w:rPr>
                <w:rFonts w:asciiTheme="majorHAnsi" w:hAnsiTheme="majorHAnsi"/>
              </w:rPr>
              <w:t>Teaching awards or citations</w:t>
            </w:r>
          </w:p>
          <w:p w14:paraId="6E557EB5" w14:textId="77777777" w:rsidR="001E3983" w:rsidRPr="00AE5DED" w:rsidRDefault="36A7F709" w:rsidP="36A7F709">
            <w:pPr>
              <w:pStyle w:val="ListParagraph"/>
              <w:tabs>
                <w:tab w:val="left" w:pos="0"/>
              </w:tabs>
              <w:ind w:left="0"/>
              <w:contextualSpacing w:val="0"/>
              <w:rPr>
                <w:rFonts w:asciiTheme="majorHAnsi" w:hAnsiTheme="majorHAnsi"/>
              </w:rPr>
            </w:pPr>
            <w:r w:rsidRPr="36A7F709">
              <w:rPr>
                <w:rFonts w:asciiTheme="majorHAnsi" w:hAnsiTheme="majorHAnsi"/>
              </w:rPr>
              <w:t>Peer evaluations of curriculum</w:t>
            </w:r>
          </w:p>
          <w:p w14:paraId="60EAE14F" w14:textId="77777777" w:rsidR="001E3983" w:rsidRPr="00AE5DED" w:rsidRDefault="36A7F709" w:rsidP="36A7F709">
            <w:pPr>
              <w:pStyle w:val="ListParagraph"/>
              <w:tabs>
                <w:tab w:val="left" w:pos="0"/>
              </w:tabs>
              <w:ind w:left="0"/>
              <w:contextualSpacing w:val="0"/>
              <w:rPr>
                <w:rFonts w:asciiTheme="majorHAnsi" w:hAnsiTheme="majorHAnsi"/>
              </w:rPr>
            </w:pPr>
            <w:r w:rsidRPr="36A7F709">
              <w:rPr>
                <w:rFonts w:asciiTheme="majorHAnsi" w:hAnsiTheme="majorHAnsi"/>
              </w:rPr>
              <w:t>Referee reports</w:t>
            </w:r>
          </w:p>
          <w:p w14:paraId="2DD281C5" w14:textId="77777777" w:rsidR="001E3983" w:rsidRPr="00AE5DED" w:rsidRDefault="36A7F709" w:rsidP="36A7F709">
            <w:pPr>
              <w:pStyle w:val="ListParagraph"/>
              <w:tabs>
                <w:tab w:val="left" w:pos="0"/>
              </w:tabs>
              <w:ind w:left="0"/>
              <w:contextualSpacing w:val="0"/>
              <w:rPr>
                <w:rFonts w:asciiTheme="majorHAnsi" w:hAnsiTheme="majorHAnsi"/>
              </w:rPr>
            </w:pPr>
            <w:r w:rsidRPr="36A7F709">
              <w:rPr>
                <w:rFonts w:asciiTheme="majorHAnsi" w:hAnsiTheme="majorHAnsi"/>
              </w:rPr>
              <w:t>Other</w:t>
            </w:r>
          </w:p>
        </w:tc>
        <w:tc>
          <w:tcPr>
            <w:tcW w:w="4675" w:type="dxa"/>
          </w:tcPr>
          <w:p w14:paraId="7FC935E2" w14:textId="77777777" w:rsidR="001E3983" w:rsidRPr="00AE5DED" w:rsidRDefault="36A7F709" w:rsidP="36A7F709">
            <w:pPr>
              <w:pStyle w:val="ListParagraph"/>
              <w:tabs>
                <w:tab w:val="left" w:pos="0"/>
              </w:tabs>
              <w:ind w:left="0"/>
              <w:contextualSpacing w:val="0"/>
              <w:rPr>
                <w:rFonts w:asciiTheme="majorHAnsi" w:hAnsiTheme="majorHAnsi"/>
                <w:b/>
                <w:bCs/>
              </w:rPr>
            </w:pPr>
            <w:r w:rsidRPr="36A7F709">
              <w:rPr>
                <w:rFonts w:asciiTheme="majorHAnsi" w:hAnsiTheme="majorHAnsi"/>
                <w:b/>
                <w:bCs/>
              </w:rPr>
              <w:t>Evidence Relating to the Scholarship of Teaching</w:t>
            </w:r>
          </w:p>
          <w:p w14:paraId="65251EB4" w14:textId="77777777" w:rsidR="001E3983" w:rsidRPr="00AE5DED" w:rsidRDefault="36A7F709" w:rsidP="36A7F709">
            <w:pPr>
              <w:pStyle w:val="ListParagraph"/>
              <w:tabs>
                <w:tab w:val="left" w:pos="0"/>
              </w:tabs>
              <w:ind w:left="0"/>
              <w:contextualSpacing w:val="0"/>
              <w:rPr>
                <w:rFonts w:asciiTheme="majorHAnsi" w:hAnsiTheme="majorHAnsi"/>
              </w:rPr>
            </w:pPr>
            <w:r w:rsidRPr="36A7F709">
              <w:rPr>
                <w:rFonts w:asciiTheme="majorHAnsi" w:hAnsiTheme="majorHAnsi"/>
              </w:rPr>
              <w:t>Statement on scholarship direction</w:t>
            </w:r>
          </w:p>
          <w:p w14:paraId="5C17C61E" w14:textId="77777777" w:rsidR="001E3983" w:rsidRPr="00AE5DED" w:rsidRDefault="36A7F709" w:rsidP="36A7F709">
            <w:pPr>
              <w:pStyle w:val="ListParagraph"/>
              <w:tabs>
                <w:tab w:val="left" w:pos="0"/>
              </w:tabs>
              <w:ind w:left="0"/>
              <w:contextualSpacing w:val="0"/>
              <w:rPr>
                <w:rFonts w:asciiTheme="majorHAnsi" w:hAnsiTheme="majorHAnsi"/>
              </w:rPr>
            </w:pPr>
            <w:r w:rsidRPr="36A7F709">
              <w:rPr>
                <w:rFonts w:asciiTheme="majorHAnsi" w:hAnsiTheme="majorHAnsi"/>
              </w:rPr>
              <w:t>Application of a scholarly approach</w:t>
            </w:r>
          </w:p>
          <w:p w14:paraId="171847DD" w14:textId="77777777" w:rsidR="001E3983" w:rsidRPr="00AE5DED" w:rsidRDefault="36A7F709" w:rsidP="36A7F709">
            <w:pPr>
              <w:pStyle w:val="ListParagraph"/>
              <w:tabs>
                <w:tab w:val="left" w:pos="0"/>
              </w:tabs>
              <w:ind w:left="0"/>
              <w:contextualSpacing w:val="0"/>
              <w:rPr>
                <w:rFonts w:asciiTheme="majorHAnsi" w:hAnsiTheme="majorHAnsi"/>
              </w:rPr>
            </w:pPr>
            <w:r w:rsidRPr="36A7F709">
              <w:rPr>
                <w:rFonts w:asciiTheme="majorHAnsi" w:hAnsiTheme="majorHAnsi"/>
              </w:rPr>
              <w:t>Peer-reviewed publications</w:t>
            </w:r>
          </w:p>
          <w:p w14:paraId="1989B065" w14:textId="77777777" w:rsidR="001E3983" w:rsidRPr="00AE5DED" w:rsidRDefault="36A7F709" w:rsidP="36A7F709">
            <w:pPr>
              <w:pStyle w:val="ListParagraph"/>
              <w:tabs>
                <w:tab w:val="left" w:pos="0"/>
              </w:tabs>
              <w:ind w:left="0"/>
              <w:contextualSpacing w:val="0"/>
              <w:rPr>
                <w:rFonts w:asciiTheme="majorHAnsi" w:hAnsiTheme="majorHAnsi"/>
              </w:rPr>
            </w:pPr>
            <w:r w:rsidRPr="36A7F709">
              <w:rPr>
                <w:rFonts w:asciiTheme="majorHAnsi" w:hAnsiTheme="majorHAnsi"/>
              </w:rPr>
              <w:t>Presenter or workshop leader</w:t>
            </w:r>
          </w:p>
          <w:p w14:paraId="5240D4A1" w14:textId="77777777" w:rsidR="001E3983" w:rsidRPr="00AE5DED" w:rsidRDefault="36A7F709" w:rsidP="36A7F709">
            <w:pPr>
              <w:pStyle w:val="ListParagraph"/>
              <w:tabs>
                <w:tab w:val="left" w:pos="0"/>
              </w:tabs>
              <w:ind w:left="0"/>
              <w:contextualSpacing w:val="0"/>
              <w:rPr>
                <w:rFonts w:asciiTheme="majorHAnsi" w:hAnsiTheme="majorHAnsi"/>
              </w:rPr>
            </w:pPr>
            <w:r w:rsidRPr="36A7F709">
              <w:rPr>
                <w:rFonts w:asciiTheme="majorHAnsi" w:hAnsiTheme="majorHAnsi"/>
              </w:rPr>
              <w:t>Grants</w:t>
            </w:r>
          </w:p>
          <w:p w14:paraId="1C29F856" w14:textId="77777777" w:rsidR="001E3983" w:rsidRPr="00AE5DED" w:rsidRDefault="36A7F709" w:rsidP="36A7F709">
            <w:pPr>
              <w:pStyle w:val="ListParagraph"/>
              <w:tabs>
                <w:tab w:val="left" w:pos="0"/>
              </w:tabs>
              <w:ind w:left="0"/>
              <w:contextualSpacing w:val="0"/>
              <w:rPr>
                <w:rFonts w:asciiTheme="majorHAnsi" w:hAnsiTheme="majorHAnsi"/>
              </w:rPr>
            </w:pPr>
            <w:r w:rsidRPr="36A7F709">
              <w:rPr>
                <w:rFonts w:asciiTheme="majorHAnsi" w:hAnsiTheme="majorHAnsi"/>
              </w:rPr>
              <w:t>Other</w:t>
            </w:r>
          </w:p>
        </w:tc>
      </w:tr>
      <w:tr w:rsidR="00AE5DED" w:rsidRPr="00AE5DED" w14:paraId="6C8DCBAB" w14:textId="77777777" w:rsidTr="7D19CA66">
        <w:tc>
          <w:tcPr>
            <w:tcW w:w="4788" w:type="dxa"/>
          </w:tcPr>
          <w:p w14:paraId="623C2992" w14:textId="77777777" w:rsidR="001E3983" w:rsidRPr="00AE5DED" w:rsidRDefault="36A7F709" w:rsidP="36A7F709">
            <w:pPr>
              <w:pStyle w:val="ListParagraph"/>
              <w:tabs>
                <w:tab w:val="left" w:pos="0"/>
              </w:tabs>
              <w:ind w:left="0"/>
              <w:contextualSpacing w:val="0"/>
              <w:rPr>
                <w:rFonts w:asciiTheme="majorHAnsi" w:hAnsiTheme="majorHAnsi"/>
                <w:b/>
                <w:bCs/>
              </w:rPr>
            </w:pPr>
            <w:r w:rsidRPr="36A7F709">
              <w:rPr>
                <w:rFonts w:asciiTheme="majorHAnsi" w:hAnsiTheme="majorHAnsi"/>
                <w:b/>
                <w:bCs/>
              </w:rPr>
              <w:t>Evidence Relating to Teaching/Research Nexus</w:t>
            </w:r>
          </w:p>
          <w:p w14:paraId="3913C305" w14:textId="77777777" w:rsidR="001E3983" w:rsidRPr="00AE5DED" w:rsidRDefault="36A7F709" w:rsidP="36A7F709">
            <w:pPr>
              <w:pStyle w:val="ListParagraph"/>
              <w:tabs>
                <w:tab w:val="left" w:pos="0"/>
              </w:tabs>
              <w:ind w:left="0"/>
              <w:contextualSpacing w:val="0"/>
              <w:rPr>
                <w:rFonts w:asciiTheme="majorHAnsi" w:hAnsiTheme="majorHAnsi"/>
              </w:rPr>
            </w:pPr>
            <w:r w:rsidRPr="36A7F709">
              <w:rPr>
                <w:rFonts w:asciiTheme="majorHAnsi" w:hAnsiTheme="majorHAnsi"/>
              </w:rPr>
              <w:t>UG research engagement</w:t>
            </w:r>
          </w:p>
          <w:p w14:paraId="462D6FC2" w14:textId="77777777" w:rsidR="001E3983" w:rsidRPr="00AE5DED" w:rsidRDefault="36A7F709" w:rsidP="36A7F709">
            <w:pPr>
              <w:pStyle w:val="ListParagraph"/>
              <w:tabs>
                <w:tab w:val="left" w:pos="0"/>
              </w:tabs>
              <w:ind w:left="0"/>
              <w:contextualSpacing w:val="0"/>
              <w:rPr>
                <w:rFonts w:asciiTheme="majorHAnsi" w:hAnsiTheme="majorHAnsi"/>
              </w:rPr>
            </w:pPr>
            <w:r w:rsidRPr="36A7F709">
              <w:rPr>
                <w:rFonts w:asciiTheme="majorHAnsi" w:hAnsiTheme="majorHAnsi"/>
              </w:rPr>
              <w:t>Research Student Completions</w:t>
            </w:r>
          </w:p>
          <w:p w14:paraId="58253041" w14:textId="77777777" w:rsidR="001E3983" w:rsidRPr="00AE5DED" w:rsidRDefault="36A7F709" w:rsidP="36A7F709">
            <w:pPr>
              <w:pStyle w:val="ListParagraph"/>
              <w:tabs>
                <w:tab w:val="left" w:pos="0"/>
              </w:tabs>
              <w:ind w:left="0"/>
              <w:contextualSpacing w:val="0"/>
              <w:rPr>
                <w:rFonts w:asciiTheme="majorHAnsi" w:hAnsiTheme="majorHAnsi"/>
              </w:rPr>
            </w:pPr>
            <w:r w:rsidRPr="36A7F709">
              <w:rPr>
                <w:rFonts w:asciiTheme="majorHAnsi" w:hAnsiTheme="majorHAnsi"/>
              </w:rPr>
              <w:t>Other</w:t>
            </w:r>
          </w:p>
        </w:tc>
        <w:tc>
          <w:tcPr>
            <w:tcW w:w="4675" w:type="dxa"/>
          </w:tcPr>
          <w:p w14:paraId="25B91218" w14:textId="77777777" w:rsidR="001E3983" w:rsidRPr="00AE5DED" w:rsidRDefault="36A7F709" w:rsidP="36A7F709">
            <w:pPr>
              <w:pStyle w:val="ListParagraph"/>
              <w:tabs>
                <w:tab w:val="left" w:pos="0"/>
              </w:tabs>
              <w:ind w:left="0"/>
              <w:contextualSpacing w:val="0"/>
              <w:rPr>
                <w:rFonts w:asciiTheme="majorHAnsi" w:hAnsiTheme="majorHAnsi"/>
                <w:b/>
                <w:bCs/>
              </w:rPr>
            </w:pPr>
            <w:r w:rsidRPr="36A7F709">
              <w:rPr>
                <w:rFonts w:asciiTheme="majorHAnsi" w:hAnsiTheme="majorHAnsi"/>
                <w:b/>
                <w:bCs/>
              </w:rPr>
              <w:t>Evidence Relating to Teaching Leadership</w:t>
            </w:r>
          </w:p>
          <w:p w14:paraId="47F7EC73" w14:textId="77777777" w:rsidR="001E3983" w:rsidRPr="00AE5DED" w:rsidRDefault="36A7F709" w:rsidP="36A7F709">
            <w:pPr>
              <w:pStyle w:val="ListParagraph"/>
              <w:tabs>
                <w:tab w:val="left" w:pos="0"/>
              </w:tabs>
              <w:ind w:left="0"/>
              <w:contextualSpacing w:val="0"/>
              <w:rPr>
                <w:rFonts w:asciiTheme="majorHAnsi" w:hAnsiTheme="majorHAnsi"/>
              </w:rPr>
            </w:pPr>
            <w:r w:rsidRPr="36A7F709">
              <w:rPr>
                <w:rFonts w:asciiTheme="majorHAnsi" w:hAnsiTheme="majorHAnsi"/>
              </w:rPr>
              <w:t>Tutor management role</w:t>
            </w:r>
          </w:p>
          <w:p w14:paraId="0D36C76E" w14:textId="77777777" w:rsidR="001E3983" w:rsidRPr="00AE5DED" w:rsidRDefault="36A7F709" w:rsidP="36A7F709">
            <w:pPr>
              <w:pStyle w:val="ListParagraph"/>
              <w:tabs>
                <w:tab w:val="left" w:pos="0"/>
              </w:tabs>
              <w:ind w:left="0"/>
              <w:contextualSpacing w:val="0"/>
              <w:rPr>
                <w:rFonts w:asciiTheme="majorHAnsi" w:hAnsiTheme="majorHAnsi"/>
              </w:rPr>
            </w:pPr>
            <w:r w:rsidRPr="36A7F709">
              <w:rPr>
                <w:rFonts w:asciiTheme="majorHAnsi" w:hAnsiTheme="majorHAnsi"/>
              </w:rPr>
              <w:t>Contribution to committees/reviews/policy</w:t>
            </w:r>
          </w:p>
          <w:p w14:paraId="098D7DAA" w14:textId="77777777" w:rsidR="001E3983" w:rsidRPr="00AE5DED" w:rsidRDefault="36A7F709" w:rsidP="36A7F709">
            <w:pPr>
              <w:pStyle w:val="ListParagraph"/>
              <w:tabs>
                <w:tab w:val="left" w:pos="0"/>
              </w:tabs>
              <w:ind w:left="0"/>
              <w:contextualSpacing w:val="0"/>
              <w:rPr>
                <w:rFonts w:asciiTheme="majorHAnsi" w:hAnsiTheme="majorHAnsi"/>
              </w:rPr>
            </w:pPr>
            <w:r w:rsidRPr="36A7F709">
              <w:rPr>
                <w:rFonts w:asciiTheme="majorHAnsi" w:hAnsiTheme="majorHAnsi"/>
              </w:rPr>
              <w:t>Mentor roles</w:t>
            </w:r>
          </w:p>
          <w:p w14:paraId="141A86CD" w14:textId="77777777" w:rsidR="001E3983" w:rsidRPr="00AE5DED" w:rsidRDefault="36A7F709" w:rsidP="36A7F709">
            <w:pPr>
              <w:pStyle w:val="ListParagraph"/>
              <w:tabs>
                <w:tab w:val="left" w:pos="0"/>
              </w:tabs>
              <w:ind w:left="0"/>
              <w:contextualSpacing w:val="0"/>
              <w:rPr>
                <w:rFonts w:asciiTheme="majorHAnsi" w:hAnsiTheme="majorHAnsi"/>
              </w:rPr>
            </w:pPr>
            <w:r w:rsidRPr="36A7F709">
              <w:rPr>
                <w:rFonts w:asciiTheme="majorHAnsi" w:hAnsiTheme="majorHAnsi"/>
              </w:rPr>
              <w:t>Formal teaching leadership roles</w:t>
            </w:r>
          </w:p>
          <w:p w14:paraId="58B2281C" w14:textId="77777777" w:rsidR="001E3983" w:rsidRPr="00AE5DED" w:rsidRDefault="36A7F709" w:rsidP="36A7F709">
            <w:pPr>
              <w:pStyle w:val="ListParagraph"/>
              <w:tabs>
                <w:tab w:val="left" w:pos="0"/>
              </w:tabs>
              <w:ind w:left="0"/>
              <w:contextualSpacing w:val="0"/>
              <w:rPr>
                <w:rFonts w:asciiTheme="majorHAnsi" w:hAnsiTheme="majorHAnsi"/>
              </w:rPr>
            </w:pPr>
            <w:r w:rsidRPr="36A7F709">
              <w:rPr>
                <w:rFonts w:asciiTheme="majorHAnsi" w:hAnsiTheme="majorHAnsi"/>
              </w:rPr>
              <w:t>Leadership survey results</w:t>
            </w:r>
          </w:p>
          <w:p w14:paraId="45B99882" w14:textId="77777777" w:rsidR="001E3983" w:rsidRPr="00AE5DED" w:rsidRDefault="36A7F709" w:rsidP="36A7F709">
            <w:pPr>
              <w:pStyle w:val="ListParagraph"/>
              <w:tabs>
                <w:tab w:val="left" w:pos="0"/>
              </w:tabs>
              <w:ind w:left="0"/>
              <w:contextualSpacing w:val="0"/>
              <w:rPr>
                <w:rFonts w:asciiTheme="majorHAnsi" w:hAnsiTheme="majorHAnsi"/>
              </w:rPr>
            </w:pPr>
            <w:r w:rsidRPr="36A7F709">
              <w:rPr>
                <w:rFonts w:asciiTheme="majorHAnsi" w:hAnsiTheme="majorHAnsi"/>
              </w:rPr>
              <w:t>External leader/reviewer/advisor roles</w:t>
            </w:r>
          </w:p>
          <w:p w14:paraId="7C1C8100" w14:textId="77777777" w:rsidR="001E3983" w:rsidRPr="00AE5DED" w:rsidRDefault="36A7F709" w:rsidP="36A7F709">
            <w:pPr>
              <w:pStyle w:val="ListParagraph"/>
              <w:tabs>
                <w:tab w:val="left" w:pos="0"/>
              </w:tabs>
              <w:ind w:left="0"/>
              <w:contextualSpacing w:val="0"/>
              <w:rPr>
                <w:rFonts w:asciiTheme="majorHAnsi" w:hAnsiTheme="majorHAnsi"/>
              </w:rPr>
            </w:pPr>
            <w:r w:rsidRPr="36A7F709">
              <w:rPr>
                <w:rFonts w:asciiTheme="majorHAnsi" w:hAnsiTheme="majorHAnsi"/>
              </w:rPr>
              <w:t>Other</w:t>
            </w:r>
          </w:p>
        </w:tc>
      </w:tr>
    </w:tbl>
    <w:p w14:paraId="16CB43E7" w14:textId="77777777" w:rsidR="001E3983" w:rsidRPr="00AE5DED" w:rsidRDefault="36A7F709" w:rsidP="36A7F709">
      <w:pPr>
        <w:pStyle w:val="ListParagraph"/>
        <w:tabs>
          <w:tab w:val="left" w:pos="0"/>
        </w:tabs>
        <w:spacing w:after="240" w:line="240" w:lineRule="auto"/>
        <w:ind w:left="0"/>
        <w:contextualSpacing w:val="0"/>
        <w:jc w:val="center"/>
        <w:rPr>
          <w:rFonts w:asciiTheme="majorHAnsi" w:hAnsiTheme="majorHAnsi"/>
        </w:rPr>
      </w:pPr>
      <w:proofErr w:type="gramStart"/>
      <w:r w:rsidRPr="36A7F709">
        <w:rPr>
          <w:rFonts w:asciiTheme="majorHAnsi" w:hAnsiTheme="majorHAnsi"/>
        </w:rPr>
        <w:t>Table 1:  Comparator Table of benchmarking criteria (HEA).</w:t>
      </w:r>
      <w:proofErr w:type="gramEnd"/>
    </w:p>
    <w:p w14:paraId="12A755D4" w14:textId="286862B1" w:rsidR="0027091D" w:rsidRPr="00AE5DED" w:rsidRDefault="7C6B8269" w:rsidP="7C6B8269">
      <w:pPr>
        <w:pStyle w:val="Heading2"/>
        <w:spacing w:before="0" w:after="120" w:line="240" w:lineRule="auto"/>
        <w:jc w:val="both"/>
        <w:rPr>
          <w:color w:val="auto"/>
          <w:sz w:val="24"/>
          <w:szCs w:val="24"/>
        </w:rPr>
      </w:pPr>
      <w:r w:rsidRPr="7C6B8269">
        <w:rPr>
          <w:color w:val="auto"/>
          <w:sz w:val="24"/>
          <w:szCs w:val="24"/>
        </w:rPr>
        <w:t>In-depth Analysis of 14 Selected Institutions</w:t>
      </w:r>
    </w:p>
    <w:p w14:paraId="5B851573" w14:textId="05FECA25" w:rsidR="002C4486" w:rsidRDefault="7C6B8269" w:rsidP="7C6B8269">
      <w:pPr>
        <w:spacing w:after="120" w:line="240" w:lineRule="auto"/>
        <w:jc w:val="both"/>
        <w:rPr>
          <w:rFonts w:asciiTheme="majorHAnsi" w:hAnsiTheme="majorHAnsi"/>
        </w:rPr>
      </w:pPr>
      <w:r w:rsidRPr="7C6B8269">
        <w:rPr>
          <w:rFonts w:asciiTheme="majorHAnsi" w:hAnsiTheme="majorHAnsi"/>
        </w:rPr>
        <w:t>Using the criteria from the HEA paper the 14 selected institutions have been analysed in more detail alongside an assessment of Warwick’s current criteria.  Elements of good practice have been highlighted (such as the use of lists of evidence, or differential weighting of evidence).</w:t>
      </w:r>
    </w:p>
    <w:p w14:paraId="2FF81FAC" w14:textId="50520D93" w:rsidR="00D95617" w:rsidRPr="00AE5DED" w:rsidRDefault="36A7F709" w:rsidP="36A7F709">
      <w:pPr>
        <w:tabs>
          <w:tab w:val="left" w:pos="720"/>
        </w:tabs>
        <w:spacing w:after="120" w:line="240" w:lineRule="auto"/>
        <w:jc w:val="both"/>
        <w:rPr>
          <w:rFonts w:asciiTheme="majorHAnsi" w:hAnsiTheme="majorHAnsi"/>
          <w:b/>
          <w:bCs/>
          <w:sz w:val="24"/>
          <w:szCs w:val="24"/>
        </w:rPr>
      </w:pPr>
      <w:r w:rsidRPr="36A7F709">
        <w:rPr>
          <w:rFonts w:asciiTheme="majorHAnsi" w:hAnsiTheme="majorHAnsi"/>
          <w:b/>
          <w:bCs/>
          <w:sz w:val="24"/>
          <w:szCs w:val="24"/>
        </w:rPr>
        <w:t>Key Findings:</w:t>
      </w:r>
    </w:p>
    <w:tbl>
      <w:tblPr>
        <w:tblStyle w:val="TableGrid"/>
        <w:tblW w:w="0" w:type="auto"/>
        <w:tblLook w:val="04A0" w:firstRow="1" w:lastRow="0" w:firstColumn="1" w:lastColumn="0" w:noHBand="0" w:noVBand="1"/>
      </w:tblPr>
      <w:tblGrid>
        <w:gridCol w:w="2235"/>
        <w:gridCol w:w="7251"/>
      </w:tblGrid>
      <w:tr w:rsidR="002C4486" w14:paraId="6C7ED81B" w14:textId="77777777" w:rsidTr="7C6B8269">
        <w:tc>
          <w:tcPr>
            <w:tcW w:w="2235" w:type="dxa"/>
          </w:tcPr>
          <w:p w14:paraId="19386E9F" w14:textId="6F148B6A" w:rsidR="002C4486" w:rsidRPr="00A312EC" w:rsidRDefault="36A7F709" w:rsidP="36A7F709">
            <w:pPr>
              <w:spacing w:after="120"/>
              <w:jc w:val="both"/>
              <w:rPr>
                <w:rFonts w:asciiTheme="majorHAnsi" w:hAnsiTheme="majorHAnsi"/>
                <w:color w:val="000000" w:themeColor="text1"/>
              </w:rPr>
            </w:pPr>
            <w:r w:rsidRPr="36A7F709">
              <w:rPr>
                <w:rFonts w:asciiTheme="majorHAnsi" w:hAnsiTheme="majorHAnsi"/>
                <w:color w:val="000000" w:themeColor="text1"/>
              </w:rPr>
              <w:t>Aston</w:t>
            </w:r>
          </w:p>
        </w:tc>
        <w:tc>
          <w:tcPr>
            <w:tcW w:w="7251" w:type="dxa"/>
          </w:tcPr>
          <w:p w14:paraId="24F88123" w14:textId="598F9C2A" w:rsidR="002C4486" w:rsidRPr="00A312EC" w:rsidRDefault="36A7F709" w:rsidP="36A7F709">
            <w:pPr>
              <w:spacing w:after="120"/>
              <w:jc w:val="both"/>
              <w:rPr>
                <w:rFonts w:asciiTheme="majorHAnsi" w:hAnsiTheme="majorHAnsi"/>
                <w:color w:val="000000" w:themeColor="text1"/>
              </w:rPr>
            </w:pPr>
            <w:r w:rsidRPr="36A7F709">
              <w:rPr>
                <w:rFonts w:asciiTheme="majorHAnsi" w:hAnsiTheme="majorHAnsi"/>
                <w:color w:val="000000" w:themeColor="text1"/>
              </w:rPr>
              <w:t xml:space="preserve">Provides numerous examples of possible evidence in Promotions Procedure booklet. Expects evidence of increasing levels of recognised qualifications (PGCPP, FHEA, SFHEA, PFHEA, </w:t>
            </w:r>
            <w:proofErr w:type="gramStart"/>
            <w:r w:rsidRPr="36A7F709">
              <w:rPr>
                <w:rFonts w:asciiTheme="majorHAnsi" w:hAnsiTheme="majorHAnsi"/>
                <w:color w:val="000000" w:themeColor="text1"/>
              </w:rPr>
              <w:t>NTF</w:t>
            </w:r>
            <w:proofErr w:type="gramEnd"/>
            <w:r w:rsidRPr="36A7F709">
              <w:rPr>
                <w:rFonts w:asciiTheme="majorHAnsi" w:hAnsiTheme="majorHAnsi"/>
                <w:color w:val="000000" w:themeColor="text1"/>
              </w:rPr>
              <w:t>). Looks for evidence of impact. For senior promotions (Reader/Chair) internal referees and external assessors are required including at least one international commentator.</w:t>
            </w:r>
          </w:p>
        </w:tc>
      </w:tr>
      <w:tr w:rsidR="002C4486" w14:paraId="2064B78F" w14:textId="77777777" w:rsidTr="7C6B8269">
        <w:tc>
          <w:tcPr>
            <w:tcW w:w="2235" w:type="dxa"/>
          </w:tcPr>
          <w:p w14:paraId="59356D15" w14:textId="0EF6814C" w:rsidR="002C4486" w:rsidRPr="00A312EC" w:rsidRDefault="36A7F709" w:rsidP="36A7F709">
            <w:pPr>
              <w:spacing w:after="120"/>
              <w:jc w:val="both"/>
              <w:rPr>
                <w:rFonts w:asciiTheme="majorHAnsi" w:hAnsiTheme="majorHAnsi"/>
                <w:color w:val="000000" w:themeColor="text1"/>
              </w:rPr>
            </w:pPr>
            <w:r w:rsidRPr="36A7F709">
              <w:rPr>
                <w:rFonts w:asciiTheme="majorHAnsi" w:hAnsiTheme="majorHAnsi"/>
                <w:color w:val="000000" w:themeColor="text1"/>
              </w:rPr>
              <w:t>Birmingham</w:t>
            </w:r>
          </w:p>
        </w:tc>
        <w:tc>
          <w:tcPr>
            <w:tcW w:w="7251" w:type="dxa"/>
          </w:tcPr>
          <w:p w14:paraId="71A6A068" w14:textId="4F14BA95" w:rsidR="002C4486" w:rsidRPr="00A312EC" w:rsidRDefault="36A7F709" w:rsidP="36A7F709">
            <w:pPr>
              <w:spacing w:after="120"/>
              <w:jc w:val="both"/>
              <w:rPr>
                <w:rFonts w:asciiTheme="majorHAnsi" w:hAnsiTheme="majorHAnsi"/>
                <w:color w:val="000000" w:themeColor="text1"/>
              </w:rPr>
            </w:pPr>
            <w:r w:rsidRPr="36A7F709">
              <w:rPr>
                <w:rFonts w:asciiTheme="majorHAnsi" w:hAnsiTheme="majorHAnsi"/>
                <w:color w:val="000000" w:themeColor="text1"/>
              </w:rPr>
              <w:t>Three types of role identified: researcher lecturer; teaching and research lecturer; and teaching focussed lecturer. Excellent role descriptions demonstrating evidence needed for teaching/admin promotion,</w:t>
            </w:r>
          </w:p>
        </w:tc>
      </w:tr>
      <w:tr w:rsidR="002C4486" w14:paraId="3A483DC8" w14:textId="77777777" w:rsidTr="7C6B8269">
        <w:tc>
          <w:tcPr>
            <w:tcW w:w="2235" w:type="dxa"/>
          </w:tcPr>
          <w:p w14:paraId="52E2B381" w14:textId="4915FEF6" w:rsidR="002C4486" w:rsidRPr="00A312EC" w:rsidRDefault="002C4486" w:rsidP="36A7F709">
            <w:pPr>
              <w:spacing w:after="120"/>
              <w:jc w:val="both"/>
              <w:rPr>
                <w:rFonts w:asciiTheme="majorHAnsi" w:hAnsiTheme="majorHAnsi"/>
                <w:color w:val="000000" w:themeColor="text1"/>
              </w:rPr>
            </w:pPr>
            <w:r w:rsidRPr="36A7F709">
              <w:rPr>
                <w:rFonts w:asciiTheme="majorHAnsi" w:hAnsiTheme="majorHAnsi"/>
                <w:color w:val="000000" w:themeColor="text1"/>
              </w:rPr>
              <w:t>Bristol</w:t>
            </w:r>
            <w:r w:rsidRPr="00A312EC">
              <w:rPr>
                <w:rFonts w:asciiTheme="majorHAnsi" w:hAnsiTheme="majorHAnsi" w:cstheme="minorHAnsi"/>
                <w:color w:val="000000" w:themeColor="text1"/>
              </w:rPr>
              <w:tab/>
            </w:r>
          </w:p>
        </w:tc>
        <w:tc>
          <w:tcPr>
            <w:tcW w:w="7251" w:type="dxa"/>
          </w:tcPr>
          <w:p w14:paraId="5E0D2B70" w14:textId="58E57025" w:rsidR="002C4486" w:rsidRPr="00A312EC" w:rsidRDefault="36A7F709" w:rsidP="36A7F709">
            <w:pPr>
              <w:spacing w:after="120"/>
              <w:jc w:val="both"/>
              <w:rPr>
                <w:rFonts w:asciiTheme="majorHAnsi" w:hAnsiTheme="majorHAnsi"/>
                <w:color w:val="000000" w:themeColor="text1"/>
              </w:rPr>
            </w:pPr>
            <w:r w:rsidRPr="36A7F709">
              <w:rPr>
                <w:rFonts w:asciiTheme="majorHAnsi" w:hAnsiTheme="majorHAnsi"/>
                <w:color w:val="000000" w:themeColor="text1"/>
              </w:rPr>
              <w:t xml:space="preserve">Members of staff on Pathways 1 or 3, at Lecturer or Teaching Fellow (level C), will not be able to apply for promotion/accelerated progression without having at least successfully completed level 1 standard route of CREATE (or equivalent) and be enrolled on level 2. SL are required to have successfully completed level 2 experienced route of CREATE, or have completed the </w:t>
            </w:r>
            <w:proofErr w:type="spellStart"/>
            <w:r w:rsidRPr="36A7F709">
              <w:rPr>
                <w:rFonts w:asciiTheme="majorHAnsi" w:hAnsiTheme="majorHAnsi"/>
                <w:color w:val="000000" w:themeColor="text1"/>
              </w:rPr>
              <w:t>PGCert</w:t>
            </w:r>
            <w:proofErr w:type="spellEnd"/>
            <w:r w:rsidRPr="36A7F709">
              <w:rPr>
                <w:rFonts w:asciiTheme="majorHAnsi" w:hAnsiTheme="majorHAnsi"/>
                <w:color w:val="000000" w:themeColor="text1"/>
              </w:rPr>
              <w:t xml:space="preserve"> TLHP, or have gained Recognition of Prior Qualification via the Academic Staff Development team.</w:t>
            </w:r>
          </w:p>
        </w:tc>
      </w:tr>
      <w:tr w:rsidR="002C4486" w14:paraId="1E25511A" w14:textId="77777777" w:rsidTr="7C6B8269">
        <w:tc>
          <w:tcPr>
            <w:tcW w:w="2235" w:type="dxa"/>
          </w:tcPr>
          <w:p w14:paraId="0076F02F" w14:textId="51B6E98D" w:rsidR="002C4486" w:rsidRPr="00A312EC" w:rsidRDefault="36A7F709" w:rsidP="36A7F709">
            <w:pPr>
              <w:spacing w:after="120"/>
              <w:jc w:val="both"/>
              <w:rPr>
                <w:rFonts w:asciiTheme="majorHAnsi" w:hAnsiTheme="majorHAnsi"/>
                <w:color w:val="000000" w:themeColor="text1"/>
              </w:rPr>
            </w:pPr>
            <w:r w:rsidRPr="36A7F709">
              <w:rPr>
                <w:rFonts w:asciiTheme="majorHAnsi" w:hAnsiTheme="majorHAnsi"/>
                <w:color w:val="000000" w:themeColor="text1"/>
              </w:rPr>
              <w:t>Brown</w:t>
            </w:r>
          </w:p>
        </w:tc>
        <w:tc>
          <w:tcPr>
            <w:tcW w:w="7251" w:type="dxa"/>
          </w:tcPr>
          <w:p w14:paraId="6DE8FC56" w14:textId="55479CE9" w:rsidR="002C4486" w:rsidRPr="00A312EC" w:rsidRDefault="36A7F709" w:rsidP="36A7F709">
            <w:pPr>
              <w:spacing w:after="120"/>
              <w:jc w:val="both"/>
              <w:rPr>
                <w:rFonts w:asciiTheme="majorHAnsi" w:hAnsiTheme="majorHAnsi"/>
                <w:color w:val="000000" w:themeColor="text1"/>
              </w:rPr>
            </w:pPr>
            <w:r w:rsidRPr="36A7F709">
              <w:rPr>
                <w:rFonts w:asciiTheme="majorHAnsi" w:hAnsiTheme="majorHAnsi"/>
                <w:color w:val="000000" w:themeColor="text1"/>
              </w:rPr>
              <w:t>Criteria created at a school level. Asks for ‘documented qualities as a teacher of students’</w:t>
            </w:r>
          </w:p>
        </w:tc>
      </w:tr>
      <w:tr w:rsidR="002C4486" w14:paraId="7D9049DD" w14:textId="77777777" w:rsidTr="7C6B8269">
        <w:tc>
          <w:tcPr>
            <w:tcW w:w="2235" w:type="dxa"/>
          </w:tcPr>
          <w:p w14:paraId="18A51A01" w14:textId="48881D5D" w:rsidR="002C4486" w:rsidRPr="00A312EC" w:rsidRDefault="36A7F709" w:rsidP="36A7F709">
            <w:pPr>
              <w:spacing w:after="120"/>
              <w:jc w:val="both"/>
              <w:rPr>
                <w:rFonts w:asciiTheme="majorHAnsi" w:hAnsiTheme="majorHAnsi"/>
                <w:color w:val="000000" w:themeColor="text1"/>
              </w:rPr>
            </w:pPr>
            <w:r w:rsidRPr="36A7F709">
              <w:rPr>
                <w:rFonts w:asciiTheme="majorHAnsi" w:hAnsiTheme="majorHAnsi"/>
                <w:color w:val="000000" w:themeColor="text1"/>
              </w:rPr>
              <w:t>Coventry</w:t>
            </w:r>
          </w:p>
        </w:tc>
        <w:tc>
          <w:tcPr>
            <w:tcW w:w="7251" w:type="dxa"/>
          </w:tcPr>
          <w:p w14:paraId="10E35DC0" w14:textId="559AA662" w:rsidR="002C4486" w:rsidRPr="00A312EC" w:rsidRDefault="36A7F709" w:rsidP="36A7F709">
            <w:pPr>
              <w:spacing w:after="120"/>
              <w:jc w:val="both"/>
              <w:rPr>
                <w:rFonts w:asciiTheme="majorHAnsi" w:hAnsiTheme="majorHAnsi"/>
                <w:color w:val="000000" w:themeColor="text1"/>
              </w:rPr>
            </w:pPr>
            <w:r w:rsidRPr="36A7F709">
              <w:rPr>
                <w:rFonts w:asciiTheme="majorHAnsi" w:hAnsiTheme="majorHAnsi"/>
                <w:color w:val="000000" w:themeColor="text1"/>
              </w:rPr>
              <w:t>Promotion based on recognition of a high level of achievement in four broad areas of activity: Teaching and Learning; Research and Scholarship; Enterprise; Leadership and Management.  Applications are required to be based on at least two of these areas of activity and typically two or three (including Leadership and Management). Key considerations include evidence of both excellence in current role and key capabilities consistent with the higher grade.  For Readerships and Professorships, whilst evidence of 'research' is required, the interpretation of the term is expressly broad and includes "...</w:t>
            </w:r>
            <w:r w:rsidRPr="36A7F709">
              <w:rPr>
                <w:rFonts w:asciiTheme="majorHAnsi" w:hAnsiTheme="majorHAnsi"/>
                <w:i/>
                <w:iCs/>
                <w:color w:val="000000" w:themeColor="text1"/>
              </w:rPr>
              <w:t xml:space="preserve">pedagogical innovation of distinction which </w:t>
            </w:r>
            <w:r w:rsidRPr="36A7F709">
              <w:rPr>
                <w:rFonts w:asciiTheme="majorHAnsi" w:hAnsiTheme="majorHAnsi"/>
                <w:i/>
                <w:iCs/>
                <w:color w:val="000000" w:themeColor="text1"/>
              </w:rPr>
              <w:lastRenderedPageBreak/>
              <w:t>is recognised externally.</w:t>
            </w:r>
            <w:r w:rsidRPr="36A7F709">
              <w:rPr>
                <w:rFonts w:asciiTheme="majorHAnsi" w:hAnsiTheme="majorHAnsi"/>
                <w:color w:val="000000" w:themeColor="text1"/>
              </w:rPr>
              <w:t>"</w:t>
            </w:r>
          </w:p>
        </w:tc>
      </w:tr>
      <w:tr w:rsidR="002C4486" w14:paraId="1BF1CB6B" w14:textId="77777777" w:rsidTr="7C6B8269">
        <w:tc>
          <w:tcPr>
            <w:tcW w:w="2235" w:type="dxa"/>
          </w:tcPr>
          <w:p w14:paraId="236EAF8E" w14:textId="0A0AEBA8" w:rsidR="002C4486" w:rsidRPr="00A312EC" w:rsidRDefault="36A7F709" w:rsidP="36A7F709">
            <w:pPr>
              <w:spacing w:after="120"/>
              <w:jc w:val="both"/>
              <w:rPr>
                <w:rFonts w:asciiTheme="majorHAnsi" w:hAnsiTheme="majorHAnsi"/>
                <w:color w:val="000000" w:themeColor="text1"/>
              </w:rPr>
            </w:pPr>
            <w:r w:rsidRPr="36A7F709">
              <w:rPr>
                <w:rFonts w:asciiTheme="majorHAnsi" w:hAnsiTheme="majorHAnsi"/>
                <w:color w:val="000000" w:themeColor="text1"/>
              </w:rPr>
              <w:lastRenderedPageBreak/>
              <w:t>Leeds</w:t>
            </w:r>
          </w:p>
        </w:tc>
        <w:tc>
          <w:tcPr>
            <w:tcW w:w="7251" w:type="dxa"/>
          </w:tcPr>
          <w:p w14:paraId="68518F42" w14:textId="3B4EF8E7" w:rsidR="002C4486" w:rsidRPr="00A312EC" w:rsidRDefault="36A7F709" w:rsidP="36A7F709">
            <w:pPr>
              <w:spacing w:after="120"/>
              <w:jc w:val="both"/>
              <w:rPr>
                <w:rFonts w:asciiTheme="majorHAnsi" w:hAnsiTheme="majorHAnsi"/>
                <w:color w:val="000000" w:themeColor="text1"/>
              </w:rPr>
            </w:pPr>
            <w:r w:rsidRPr="36A7F709">
              <w:rPr>
                <w:rFonts w:asciiTheme="majorHAnsi" w:hAnsiTheme="majorHAnsi"/>
                <w:color w:val="000000" w:themeColor="text1"/>
              </w:rPr>
              <w:t>Academic promotion (grades 7- 10) divided into two routes (Student Education and Research and Innovation).   Promotion to Grade 10 (Chair) can also be on the basis of Excellence in Academic Leadership.   The University of Leeds has recently updated their promotion process as a result of staff feedback.  The process is now fully explained in one online location with links to documents and guidance and to one-to-one support (all fully visible to external users). The two routes for academic promotion (and three routes to promotion to Chair) and the use of core and enhanced criteria for each grade allows considerable flexibility.  </w:t>
            </w:r>
          </w:p>
        </w:tc>
      </w:tr>
      <w:tr w:rsidR="002C4486" w14:paraId="4F1F2FAA" w14:textId="77777777" w:rsidTr="7C6B8269">
        <w:tc>
          <w:tcPr>
            <w:tcW w:w="2235" w:type="dxa"/>
          </w:tcPr>
          <w:p w14:paraId="261585B0" w14:textId="39A8D78B" w:rsidR="002C4486" w:rsidRPr="00A312EC" w:rsidRDefault="36A7F709" w:rsidP="36A7F709">
            <w:pPr>
              <w:spacing w:after="120"/>
              <w:jc w:val="both"/>
              <w:rPr>
                <w:rFonts w:asciiTheme="majorHAnsi" w:hAnsiTheme="majorHAnsi"/>
                <w:color w:val="000000" w:themeColor="text1"/>
              </w:rPr>
            </w:pPr>
            <w:r w:rsidRPr="36A7F709">
              <w:rPr>
                <w:rFonts w:asciiTheme="majorHAnsi" w:hAnsiTheme="majorHAnsi"/>
                <w:color w:val="000000" w:themeColor="text1"/>
              </w:rPr>
              <w:t>Monash</w:t>
            </w:r>
          </w:p>
        </w:tc>
        <w:tc>
          <w:tcPr>
            <w:tcW w:w="7251" w:type="dxa"/>
          </w:tcPr>
          <w:p w14:paraId="22B68529" w14:textId="0E95DC67" w:rsidR="002C4486" w:rsidRPr="00A312EC" w:rsidRDefault="36A7F709" w:rsidP="36A7F709">
            <w:pPr>
              <w:spacing w:after="120"/>
              <w:jc w:val="both"/>
              <w:rPr>
                <w:rFonts w:asciiTheme="majorHAnsi" w:hAnsiTheme="majorHAnsi"/>
                <w:color w:val="000000" w:themeColor="text1"/>
              </w:rPr>
            </w:pPr>
            <w:r w:rsidRPr="36A7F709">
              <w:rPr>
                <w:rFonts w:asciiTheme="majorHAnsi" w:hAnsiTheme="majorHAnsi"/>
                <w:color w:val="000000" w:themeColor="text1"/>
              </w:rPr>
              <w:t>Have different weightings for Teaching &amp; Research, Teaching only &amp; Research only with special emphasis on engagement, Research only, Education focused. All need to provide evidence of research, teaching and engagement in different proportions.</w:t>
            </w:r>
          </w:p>
        </w:tc>
      </w:tr>
      <w:tr w:rsidR="002C4486" w14:paraId="5C729390" w14:textId="77777777" w:rsidTr="7C6B8269">
        <w:tc>
          <w:tcPr>
            <w:tcW w:w="2235" w:type="dxa"/>
          </w:tcPr>
          <w:p w14:paraId="7A746851" w14:textId="2C9FC1A2" w:rsidR="002C4486" w:rsidRPr="00A312EC" w:rsidRDefault="36A7F709" w:rsidP="36A7F709">
            <w:pPr>
              <w:spacing w:after="120"/>
              <w:jc w:val="both"/>
              <w:rPr>
                <w:rFonts w:asciiTheme="majorHAnsi" w:hAnsiTheme="majorHAnsi"/>
                <w:color w:val="000000" w:themeColor="text1"/>
              </w:rPr>
            </w:pPr>
            <w:r w:rsidRPr="36A7F709">
              <w:rPr>
                <w:rFonts w:asciiTheme="majorHAnsi" w:hAnsiTheme="majorHAnsi"/>
                <w:color w:val="000000" w:themeColor="text1"/>
              </w:rPr>
              <w:t>Queen’s Belfast</w:t>
            </w:r>
          </w:p>
        </w:tc>
        <w:tc>
          <w:tcPr>
            <w:tcW w:w="7251" w:type="dxa"/>
          </w:tcPr>
          <w:p w14:paraId="5ED2EA47" w14:textId="34F61C66" w:rsidR="002C4486" w:rsidRPr="00A312EC" w:rsidRDefault="36A7F709" w:rsidP="36A7F709">
            <w:pPr>
              <w:spacing w:after="120"/>
              <w:jc w:val="both"/>
              <w:rPr>
                <w:rFonts w:asciiTheme="majorHAnsi" w:hAnsiTheme="majorHAnsi"/>
                <w:color w:val="000000" w:themeColor="text1"/>
              </w:rPr>
            </w:pPr>
            <w:r w:rsidRPr="36A7F709">
              <w:rPr>
                <w:rFonts w:asciiTheme="majorHAnsi" w:hAnsiTheme="majorHAnsi"/>
                <w:color w:val="000000" w:themeColor="text1"/>
              </w:rPr>
              <w:t>Promotion applications without evidence from teaching evaluations are not considered. Promotion clinics are provided for applicants. Job roles are annotated as "Education" rather than "Teaching only".  Promotion criteria distinguish between essential and non-essential. Lack in one essential criterion can be compensated evidence at a higher level in another.</w:t>
            </w:r>
          </w:p>
        </w:tc>
      </w:tr>
      <w:tr w:rsidR="002C4486" w14:paraId="1AACAD67" w14:textId="77777777" w:rsidTr="7C6B8269">
        <w:tc>
          <w:tcPr>
            <w:tcW w:w="2235" w:type="dxa"/>
          </w:tcPr>
          <w:p w14:paraId="1DE88BAE" w14:textId="6D491A3F" w:rsidR="002C4486" w:rsidRDefault="36A7F709" w:rsidP="36A7F709">
            <w:pPr>
              <w:spacing w:after="120"/>
              <w:jc w:val="both"/>
              <w:rPr>
                <w:rFonts w:asciiTheme="majorHAnsi" w:hAnsiTheme="majorHAnsi"/>
              </w:rPr>
            </w:pPr>
            <w:r w:rsidRPr="36A7F709">
              <w:rPr>
                <w:rFonts w:asciiTheme="majorHAnsi" w:hAnsiTheme="majorHAnsi"/>
              </w:rPr>
              <w:t>Reading</w:t>
            </w:r>
          </w:p>
        </w:tc>
        <w:tc>
          <w:tcPr>
            <w:tcW w:w="7251" w:type="dxa"/>
          </w:tcPr>
          <w:p w14:paraId="7D4351F9" w14:textId="08EAFD05" w:rsidR="002C4486" w:rsidRPr="00A312EC" w:rsidRDefault="36A7F709" w:rsidP="36A7F709">
            <w:pPr>
              <w:spacing w:after="120"/>
              <w:jc w:val="both"/>
              <w:rPr>
                <w:rFonts w:asciiTheme="majorHAnsi" w:hAnsiTheme="majorHAnsi"/>
                <w:color w:val="000000" w:themeColor="text1"/>
              </w:rPr>
            </w:pPr>
            <w:r w:rsidRPr="36A7F709">
              <w:rPr>
                <w:rFonts w:asciiTheme="majorHAnsi" w:hAnsiTheme="majorHAnsi"/>
                <w:color w:val="000000" w:themeColor="text1"/>
              </w:rPr>
              <w:t>Well defined criteria for Promotion through Teaching and Learning Route - Titles are same across the board i.e. Associate Prof/Prof for T&amp;L, Research and Academic Citizenship &amp; Leadership,</w:t>
            </w:r>
          </w:p>
        </w:tc>
      </w:tr>
      <w:tr w:rsidR="002C4486" w14:paraId="478D7249" w14:textId="77777777" w:rsidTr="7C6B8269">
        <w:tc>
          <w:tcPr>
            <w:tcW w:w="2235" w:type="dxa"/>
          </w:tcPr>
          <w:p w14:paraId="1EE0CFD6" w14:textId="08181C31" w:rsidR="002C4486" w:rsidRDefault="36A7F709" w:rsidP="36A7F709">
            <w:pPr>
              <w:spacing w:after="120"/>
              <w:jc w:val="both"/>
              <w:rPr>
                <w:rFonts w:asciiTheme="majorHAnsi" w:hAnsiTheme="majorHAnsi"/>
              </w:rPr>
            </w:pPr>
            <w:r w:rsidRPr="36A7F709">
              <w:rPr>
                <w:rFonts w:asciiTheme="majorHAnsi" w:hAnsiTheme="majorHAnsi"/>
              </w:rPr>
              <w:t>Sheffield</w:t>
            </w:r>
          </w:p>
        </w:tc>
        <w:tc>
          <w:tcPr>
            <w:tcW w:w="7251" w:type="dxa"/>
          </w:tcPr>
          <w:p w14:paraId="3191F5BF" w14:textId="06A0EF11" w:rsidR="002C4486" w:rsidRPr="00A312EC" w:rsidRDefault="36A7F709" w:rsidP="36A7F709">
            <w:pPr>
              <w:spacing w:after="120"/>
              <w:jc w:val="both"/>
              <w:rPr>
                <w:rFonts w:asciiTheme="majorHAnsi" w:hAnsiTheme="majorHAnsi"/>
                <w:color w:val="000000" w:themeColor="text1"/>
              </w:rPr>
            </w:pPr>
            <w:r w:rsidRPr="36A7F709">
              <w:rPr>
                <w:rFonts w:asciiTheme="majorHAnsi" w:hAnsiTheme="majorHAnsi"/>
                <w:color w:val="000000" w:themeColor="text1"/>
              </w:rPr>
              <w:t xml:space="preserve">Emphasis on structured reflection (The full scope of reflection covers consideration of subject matter, the choice of pedagogy, teaching delivery, and assessment methods. Key to this process is reflection on student outcomes both during and after teaching delivery with such reflections influencing the planning of future teaching.) Also worthy of note is </w:t>
            </w:r>
            <w:proofErr w:type="gramStart"/>
            <w:r w:rsidRPr="36A7F709">
              <w:rPr>
                <w:rFonts w:asciiTheme="majorHAnsi" w:hAnsiTheme="majorHAnsi"/>
                <w:color w:val="000000" w:themeColor="text1"/>
              </w:rPr>
              <w:t>the  use</w:t>
            </w:r>
            <w:proofErr w:type="gramEnd"/>
            <w:r w:rsidRPr="36A7F709">
              <w:rPr>
                <w:rFonts w:asciiTheme="majorHAnsi" w:hAnsiTheme="majorHAnsi"/>
                <w:color w:val="000000" w:themeColor="text1"/>
              </w:rPr>
              <w:t xml:space="preserve"> of a dedicated promotion mentor.</w:t>
            </w:r>
          </w:p>
        </w:tc>
      </w:tr>
      <w:tr w:rsidR="002C4486" w14:paraId="4DDC9FF9" w14:textId="77777777" w:rsidTr="7C6B8269">
        <w:tc>
          <w:tcPr>
            <w:tcW w:w="2235" w:type="dxa"/>
          </w:tcPr>
          <w:p w14:paraId="3AD86C55" w14:textId="3AD31327" w:rsidR="002C4486" w:rsidRPr="00813E1A" w:rsidRDefault="7C6B8269" w:rsidP="7C6B8269">
            <w:pPr>
              <w:spacing w:after="120"/>
              <w:jc w:val="both"/>
              <w:rPr>
                <w:rFonts w:asciiTheme="majorHAnsi" w:hAnsiTheme="majorHAnsi"/>
              </w:rPr>
            </w:pPr>
            <w:r w:rsidRPr="7C6B8269">
              <w:rPr>
                <w:rFonts w:asciiTheme="majorHAnsi" w:hAnsiTheme="majorHAnsi"/>
              </w:rPr>
              <w:t>Swansea</w:t>
            </w:r>
          </w:p>
        </w:tc>
        <w:tc>
          <w:tcPr>
            <w:tcW w:w="7251" w:type="dxa"/>
          </w:tcPr>
          <w:p w14:paraId="1BC0C89B" w14:textId="57C193E9" w:rsidR="002C4486" w:rsidRPr="00A312EC" w:rsidRDefault="7C6B8269" w:rsidP="7C6B8269">
            <w:pPr>
              <w:spacing w:after="120" w:line="276" w:lineRule="auto"/>
              <w:jc w:val="both"/>
              <w:rPr>
                <w:rFonts w:asciiTheme="majorHAnsi" w:hAnsiTheme="majorHAnsi"/>
                <w:color w:val="000000" w:themeColor="text1"/>
              </w:rPr>
            </w:pPr>
            <w:r w:rsidRPr="7C6B8269">
              <w:rPr>
                <w:rFonts w:asciiTheme="majorHAnsi" w:hAnsiTheme="majorHAnsi"/>
                <w:color w:val="000000" w:themeColor="text1"/>
              </w:rPr>
              <w:t>Three academic career pathways based on excellence in Research (R), Teaching  &amp; Scholarship (T) or Innovation and Engagement (I&amp;E). All academics must demonstrate Teaching, Research &amp; Management at core level and choose a pathway of excellence (R, T or I&amp;E). Four clear criteria (Teaching delivery and review; Teaching innovation; Esteem; Advancing Practice) with indicative performance levels and suggested examples at each grade for ‘core’ and ‘enhanced’. They hold an annual University promotion recognition event for those successful.</w:t>
            </w:r>
          </w:p>
        </w:tc>
      </w:tr>
      <w:tr w:rsidR="002C4486" w14:paraId="3E83C75D" w14:textId="77777777" w:rsidTr="7C6B8269">
        <w:tc>
          <w:tcPr>
            <w:tcW w:w="2235" w:type="dxa"/>
          </w:tcPr>
          <w:p w14:paraId="51B6CC1A" w14:textId="733C90F9" w:rsidR="002C4486" w:rsidRDefault="36A7F709" w:rsidP="36A7F709">
            <w:pPr>
              <w:spacing w:after="120"/>
              <w:jc w:val="both"/>
              <w:rPr>
                <w:rFonts w:asciiTheme="majorHAnsi" w:hAnsiTheme="majorHAnsi"/>
              </w:rPr>
            </w:pPr>
            <w:r w:rsidRPr="36A7F709">
              <w:rPr>
                <w:rFonts w:asciiTheme="majorHAnsi" w:hAnsiTheme="majorHAnsi"/>
              </w:rPr>
              <w:t>Warwick</w:t>
            </w:r>
          </w:p>
        </w:tc>
        <w:tc>
          <w:tcPr>
            <w:tcW w:w="7251" w:type="dxa"/>
          </w:tcPr>
          <w:p w14:paraId="6CC0E0FA" w14:textId="737F262C" w:rsidR="002C4486" w:rsidRPr="00A312EC" w:rsidRDefault="36A7F709" w:rsidP="36A7F709">
            <w:pPr>
              <w:spacing w:after="120"/>
              <w:jc w:val="both"/>
              <w:rPr>
                <w:rFonts w:asciiTheme="majorHAnsi" w:hAnsiTheme="majorHAnsi"/>
                <w:color w:val="000000" w:themeColor="text1"/>
              </w:rPr>
            </w:pPr>
            <w:r w:rsidRPr="36A7F709">
              <w:rPr>
                <w:rFonts w:asciiTheme="majorHAnsi" w:hAnsiTheme="majorHAnsi"/>
                <w:color w:val="000000" w:themeColor="text1"/>
              </w:rPr>
              <w:t>Relatively complex and not very clear process. For example there are two routes recognising teaching proficiency and teaching excellence for R &amp; T staff but not clear if there are different weightings between the two. A range of possible evidence listed.</w:t>
            </w:r>
          </w:p>
        </w:tc>
      </w:tr>
      <w:tr w:rsidR="002C4486" w14:paraId="2D2B7CDA" w14:textId="77777777" w:rsidTr="7C6B8269">
        <w:tc>
          <w:tcPr>
            <w:tcW w:w="2235" w:type="dxa"/>
          </w:tcPr>
          <w:p w14:paraId="3BEE781F" w14:textId="1986E173" w:rsidR="002C4486" w:rsidRDefault="36A7F709" w:rsidP="36A7F709">
            <w:pPr>
              <w:spacing w:after="120"/>
              <w:jc w:val="both"/>
              <w:rPr>
                <w:rFonts w:asciiTheme="majorHAnsi" w:hAnsiTheme="majorHAnsi"/>
              </w:rPr>
            </w:pPr>
            <w:r w:rsidRPr="36A7F709">
              <w:rPr>
                <w:rFonts w:asciiTheme="majorHAnsi" w:hAnsiTheme="majorHAnsi"/>
              </w:rPr>
              <w:t>Wellesley</w:t>
            </w:r>
          </w:p>
        </w:tc>
        <w:tc>
          <w:tcPr>
            <w:tcW w:w="7251" w:type="dxa"/>
          </w:tcPr>
          <w:p w14:paraId="468310E2" w14:textId="041D64B3" w:rsidR="002C4486" w:rsidRPr="00A312EC" w:rsidRDefault="36A7F709" w:rsidP="36A7F709">
            <w:pPr>
              <w:spacing w:after="120"/>
              <w:jc w:val="both"/>
              <w:rPr>
                <w:rFonts w:asciiTheme="majorHAnsi" w:hAnsiTheme="majorHAnsi"/>
                <w:color w:val="000000" w:themeColor="text1"/>
              </w:rPr>
            </w:pPr>
            <w:r w:rsidRPr="36A7F709">
              <w:rPr>
                <w:rFonts w:asciiTheme="majorHAnsi" w:hAnsiTheme="majorHAnsi"/>
                <w:color w:val="000000" w:themeColor="text1"/>
              </w:rPr>
              <w:t>Personal statement required with evidence of ‘teaching excellence’.</w:t>
            </w:r>
          </w:p>
        </w:tc>
      </w:tr>
      <w:tr w:rsidR="002C4486" w14:paraId="507386DB" w14:textId="77777777" w:rsidTr="7C6B8269">
        <w:tc>
          <w:tcPr>
            <w:tcW w:w="2235" w:type="dxa"/>
          </w:tcPr>
          <w:p w14:paraId="29BFCD60" w14:textId="72F7A7B8" w:rsidR="002C4486" w:rsidRDefault="36A7F709" w:rsidP="36A7F709">
            <w:pPr>
              <w:spacing w:after="120"/>
              <w:jc w:val="both"/>
              <w:rPr>
                <w:rFonts w:asciiTheme="majorHAnsi" w:hAnsiTheme="majorHAnsi"/>
              </w:rPr>
            </w:pPr>
            <w:r w:rsidRPr="36A7F709">
              <w:rPr>
                <w:rFonts w:asciiTheme="majorHAnsi" w:hAnsiTheme="majorHAnsi"/>
              </w:rPr>
              <w:t>York</w:t>
            </w:r>
          </w:p>
        </w:tc>
        <w:tc>
          <w:tcPr>
            <w:tcW w:w="7251" w:type="dxa"/>
          </w:tcPr>
          <w:p w14:paraId="3E369EB6" w14:textId="4DB05B5A" w:rsidR="002C4486" w:rsidRPr="00A312EC" w:rsidRDefault="36A7F709" w:rsidP="36A7F709">
            <w:pPr>
              <w:spacing w:after="120"/>
              <w:jc w:val="both"/>
              <w:rPr>
                <w:rFonts w:asciiTheme="majorHAnsi" w:hAnsiTheme="majorHAnsi"/>
                <w:color w:val="000000" w:themeColor="text1"/>
              </w:rPr>
            </w:pPr>
            <w:r w:rsidRPr="36A7F709">
              <w:rPr>
                <w:rFonts w:asciiTheme="majorHAnsi" w:hAnsiTheme="majorHAnsi"/>
                <w:color w:val="000000" w:themeColor="text1"/>
              </w:rPr>
              <w:t>Structured reflection and student feedback required</w:t>
            </w:r>
          </w:p>
        </w:tc>
      </w:tr>
    </w:tbl>
    <w:p w14:paraId="5C43C872" w14:textId="2605F011" w:rsidR="002C4486" w:rsidRPr="002C4486" w:rsidRDefault="7C6B8269" w:rsidP="7C6B8269">
      <w:pPr>
        <w:pStyle w:val="ListParagraph"/>
        <w:tabs>
          <w:tab w:val="left" w:pos="0"/>
        </w:tabs>
        <w:spacing w:after="240" w:line="240" w:lineRule="auto"/>
        <w:ind w:left="0"/>
        <w:contextualSpacing w:val="0"/>
        <w:jc w:val="center"/>
        <w:rPr>
          <w:rFonts w:asciiTheme="majorHAnsi" w:hAnsiTheme="majorHAnsi"/>
        </w:rPr>
      </w:pPr>
      <w:r w:rsidRPr="7C6B8269">
        <w:rPr>
          <w:rFonts w:asciiTheme="majorHAnsi" w:hAnsiTheme="majorHAnsi"/>
        </w:rPr>
        <w:t>Table 2:  Key findings from review of 14 selected institutions’ promotion criteria.</w:t>
      </w:r>
    </w:p>
    <w:p w14:paraId="73CC93DB" w14:textId="77777777" w:rsidR="00D86294" w:rsidRDefault="00D86294">
      <w:pPr>
        <w:rPr>
          <w:rFonts w:asciiTheme="majorHAnsi" w:eastAsiaTheme="majorEastAsia" w:hAnsiTheme="majorHAnsi" w:cstheme="majorBidi"/>
          <w:b/>
          <w:bCs/>
          <w:sz w:val="28"/>
          <w:szCs w:val="28"/>
        </w:rPr>
      </w:pPr>
      <w:r>
        <w:br w:type="page"/>
      </w:r>
    </w:p>
    <w:p w14:paraId="50C7C1C3" w14:textId="5C66EE30" w:rsidR="00E44A67" w:rsidRPr="00AE5DED" w:rsidRDefault="36A7F709" w:rsidP="36A7F709">
      <w:pPr>
        <w:pStyle w:val="Heading1"/>
        <w:spacing w:before="0" w:after="120" w:line="240" w:lineRule="auto"/>
        <w:jc w:val="both"/>
        <w:rPr>
          <w:color w:val="auto"/>
        </w:rPr>
      </w:pPr>
      <w:r w:rsidRPr="36A7F709">
        <w:rPr>
          <w:color w:val="auto"/>
        </w:rPr>
        <w:lastRenderedPageBreak/>
        <w:t>Engagement with relevant Symposia / Workshops</w:t>
      </w:r>
    </w:p>
    <w:p w14:paraId="265C8879" w14:textId="461E7661" w:rsidR="5E2D44C7" w:rsidRPr="00813E1A" w:rsidRDefault="001C69F8" w:rsidP="36A7F709">
      <w:pPr>
        <w:spacing w:after="120" w:line="240" w:lineRule="auto"/>
        <w:jc w:val="both"/>
        <w:rPr>
          <w:rFonts w:asciiTheme="majorHAnsi" w:eastAsiaTheme="majorEastAsia" w:hAnsiTheme="majorHAnsi" w:cstheme="majorBidi"/>
          <w:b/>
          <w:bCs/>
          <w:u w:val="single"/>
        </w:rPr>
      </w:pPr>
      <w:r w:rsidRPr="36A7F709">
        <w:rPr>
          <w:rFonts w:asciiTheme="majorHAnsi" w:eastAsiaTheme="majorEastAsia" w:hAnsiTheme="majorHAnsi" w:cstheme="majorBidi"/>
          <w:b/>
          <w:bCs/>
          <w:u w:val="single"/>
        </w:rPr>
        <w:t xml:space="preserve"> </w:t>
      </w:r>
      <w:r w:rsidR="36A7F709" w:rsidRPr="36A7F709">
        <w:rPr>
          <w:rFonts w:asciiTheme="majorHAnsi" w:eastAsiaTheme="majorEastAsia" w:hAnsiTheme="majorHAnsi" w:cstheme="majorBidi"/>
          <w:b/>
          <w:bCs/>
          <w:u w:val="single"/>
        </w:rPr>
        <w:t>‘Illuminating the Learning and Teaching Promotional Pathway’ Joint Symposium, Cardiff Metropolitan University and HEA, Monday 6</w:t>
      </w:r>
      <w:r w:rsidR="36A7F709" w:rsidRPr="36A7F709">
        <w:rPr>
          <w:rFonts w:asciiTheme="majorHAnsi" w:eastAsiaTheme="majorEastAsia" w:hAnsiTheme="majorHAnsi" w:cstheme="majorBidi"/>
          <w:b/>
          <w:bCs/>
          <w:u w:val="single"/>
          <w:vertAlign w:val="superscript"/>
        </w:rPr>
        <w:t>th</w:t>
      </w:r>
      <w:r w:rsidR="36A7F709" w:rsidRPr="36A7F709">
        <w:rPr>
          <w:rFonts w:asciiTheme="majorHAnsi" w:eastAsiaTheme="majorEastAsia" w:hAnsiTheme="majorHAnsi" w:cstheme="majorBidi"/>
          <w:b/>
          <w:bCs/>
          <w:u w:val="single"/>
        </w:rPr>
        <w:t xml:space="preserve"> March 2017;</w:t>
      </w:r>
    </w:p>
    <w:p w14:paraId="5A8F3BA0" w14:textId="283F0C56" w:rsidR="5E2D44C7" w:rsidRDefault="7D19CA66" w:rsidP="7D19CA66">
      <w:pPr>
        <w:spacing w:after="120" w:line="240" w:lineRule="auto"/>
        <w:jc w:val="both"/>
        <w:rPr>
          <w:rFonts w:asciiTheme="majorHAnsi" w:eastAsiaTheme="majorEastAsia" w:hAnsiTheme="majorHAnsi" w:cstheme="majorBidi"/>
        </w:rPr>
      </w:pPr>
      <w:r w:rsidRPr="7D19CA66">
        <w:rPr>
          <w:rFonts w:asciiTheme="majorHAnsi" w:eastAsiaTheme="majorEastAsia" w:hAnsiTheme="majorHAnsi" w:cstheme="majorBidi"/>
        </w:rPr>
        <w:t>Speakers included Prof Scott Fleming, (Director of Research &amp; Grad. Studies at Cardiff Met. University), Alison Robinson-</w:t>
      </w:r>
      <w:proofErr w:type="spellStart"/>
      <w:r w:rsidRPr="7D19CA66">
        <w:rPr>
          <w:rFonts w:asciiTheme="majorHAnsi" w:eastAsiaTheme="majorEastAsia" w:hAnsiTheme="majorHAnsi" w:cstheme="majorBidi"/>
        </w:rPr>
        <w:t>Canham</w:t>
      </w:r>
      <w:proofErr w:type="spellEnd"/>
      <w:r w:rsidRPr="7D19CA66">
        <w:rPr>
          <w:rFonts w:asciiTheme="majorHAnsi" w:eastAsiaTheme="majorEastAsia" w:hAnsiTheme="majorHAnsi" w:cstheme="majorBidi"/>
        </w:rPr>
        <w:t xml:space="preserve"> (HEA Assistant Director Professional Practice), Prof Steve </w:t>
      </w:r>
      <w:proofErr w:type="spellStart"/>
      <w:r w:rsidRPr="7D19CA66">
        <w:rPr>
          <w:rFonts w:asciiTheme="majorHAnsi" w:eastAsiaTheme="majorEastAsia" w:hAnsiTheme="majorHAnsi" w:cstheme="majorBidi"/>
        </w:rPr>
        <w:t>McHanwell</w:t>
      </w:r>
      <w:proofErr w:type="spellEnd"/>
      <w:r w:rsidRPr="7D19CA66">
        <w:rPr>
          <w:rFonts w:asciiTheme="majorHAnsi" w:eastAsiaTheme="majorEastAsia" w:hAnsiTheme="majorHAnsi" w:cstheme="majorBidi"/>
        </w:rPr>
        <w:t xml:space="preserve"> (Director of Unit for Educational R&amp;D and Practice at Newcastle Uni.), Professor Jon Scott (PVC for Student Experience at Leicester University), Dr Rachael-Anne Knight (Associate. </w:t>
      </w:r>
      <w:proofErr w:type="gramStart"/>
      <w:r w:rsidRPr="7D19CA66">
        <w:rPr>
          <w:rFonts w:asciiTheme="majorHAnsi" w:eastAsiaTheme="majorEastAsia" w:hAnsiTheme="majorHAnsi" w:cstheme="majorBidi"/>
        </w:rPr>
        <w:t>Dean for Education Technology and Innovation at City Uni.)</w:t>
      </w:r>
      <w:proofErr w:type="gramEnd"/>
      <w:r w:rsidRPr="7D19CA66">
        <w:rPr>
          <w:rFonts w:asciiTheme="majorHAnsi" w:eastAsiaTheme="majorEastAsia" w:hAnsiTheme="majorHAnsi" w:cstheme="majorBidi"/>
        </w:rPr>
        <w:t xml:space="preserve"> </w:t>
      </w:r>
      <w:proofErr w:type="gramStart"/>
      <w:r w:rsidRPr="7D19CA66">
        <w:rPr>
          <w:rFonts w:asciiTheme="majorHAnsi" w:eastAsiaTheme="majorEastAsia" w:hAnsiTheme="majorHAnsi" w:cstheme="majorBidi"/>
        </w:rPr>
        <w:t>and</w:t>
      </w:r>
      <w:proofErr w:type="gramEnd"/>
      <w:r w:rsidRPr="7D19CA66">
        <w:rPr>
          <w:rFonts w:asciiTheme="majorHAnsi" w:eastAsiaTheme="majorEastAsia" w:hAnsiTheme="majorHAnsi" w:cstheme="majorBidi"/>
        </w:rPr>
        <w:t xml:space="preserve"> Cherry Bennett (Assistant Director of HR at University of Reading).</w:t>
      </w:r>
    </w:p>
    <w:p w14:paraId="5D5E6572" w14:textId="3CA4A6C7" w:rsidR="5E2D44C7" w:rsidRDefault="36A7F709" w:rsidP="36A7F709">
      <w:pPr>
        <w:spacing w:after="120" w:line="240" w:lineRule="auto"/>
        <w:jc w:val="both"/>
        <w:rPr>
          <w:rFonts w:asciiTheme="majorHAnsi" w:eastAsiaTheme="majorEastAsia" w:hAnsiTheme="majorHAnsi" w:cstheme="majorBidi"/>
        </w:rPr>
      </w:pPr>
      <w:r w:rsidRPr="36A7F709">
        <w:rPr>
          <w:rFonts w:asciiTheme="majorHAnsi" w:eastAsiaTheme="majorEastAsia" w:hAnsiTheme="majorHAnsi" w:cstheme="majorBidi"/>
          <w:b/>
          <w:bCs/>
          <w:u w:val="single"/>
        </w:rPr>
        <w:t>Main Criteria Identified in Group Discussions:</w:t>
      </w:r>
    </w:p>
    <w:p w14:paraId="500CB002" w14:textId="286BFD52" w:rsidR="5E2D44C7" w:rsidRDefault="36A7F709" w:rsidP="00813E1A">
      <w:pPr>
        <w:pStyle w:val="ListParagraph"/>
        <w:numPr>
          <w:ilvl w:val="0"/>
          <w:numId w:val="2"/>
        </w:numPr>
        <w:spacing w:after="120" w:line="240" w:lineRule="auto"/>
        <w:jc w:val="both"/>
      </w:pPr>
      <w:r w:rsidRPr="36A7F709">
        <w:rPr>
          <w:rFonts w:asciiTheme="majorHAnsi" w:eastAsiaTheme="majorEastAsia" w:hAnsiTheme="majorHAnsi" w:cstheme="majorBidi"/>
        </w:rPr>
        <w:t>Sustained evidence of impact on T&amp;L</w:t>
      </w:r>
    </w:p>
    <w:p w14:paraId="4559B880" w14:textId="1EB8AD4C" w:rsidR="5E2D44C7" w:rsidRDefault="36A7F709" w:rsidP="00813E1A">
      <w:pPr>
        <w:pStyle w:val="ListParagraph"/>
        <w:numPr>
          <w:ilvl w:val="0"/>
          <w:numId w:val="2"/>
        </w:numPr>
        <w:spacing w:after="120" w:line="240" w:lineRule="auto"/>
        <w:jc w:val="both"/>
      </w:pPr>
      <w:r w:rsidRPr="36A7F709">
        <w:rPr>
          <w:rFonts w:asciiTheme="majorHAnsi" w:eastAsiaTheme="majorEastAsia" w:hAnsiTheme="majorHAnsi" w:cstheme="majorBidi"/>
        </w:rPr>
        <w:t>Transparency of routes/criteria/decision making</w:t>
      </w:r>
    </w:p>
    <w:p w14:paraId="6C500952" w14:textId="5F1E5CB3" w:rsidR="5E2D44C7" w:rsidRDefault="36A7F709" w:rsidP="00813E1A">
      <w:pPr>
        <w:pStyle w:val="ListParagraph"/>
        <w:numPr>
          <w:ilvl w:val="0"/>
          <w:numId w:val="2"/>
        </w:numPr>
        <w:spacing w:after="120" w:line="240" w:lineRule="auto"/>
        <w:jc w:val="both"/>
      </w:pPr>
      <w:r w:rsidRPr="36A7F709">
        <w:rPr>
          <w:rFonts w:asciiTheme="majorHAnsi" w:eastAsiaTheme="majorEastAsia" w:hAnsiTheme="majorHAnsi" w:cstheme="majorBidi"/>
        </w:rPr>
        <w:t>Recognition indicators of esteem / influence (reputation?)</w:t>
      </w:r>
    </w:p>
    <w:p w14:paraId="789AE4B7" w14:textId="6CFAEBF0" w:rsidR="5E2D44C7" w:rsidRDefault="36A7F709" w:rsidP="00813E1A">
      <w:pPr>
        <w:pStyle w:val="ListParagraph"/>
        <w:numPr>
          <w:ilvl w:val="0"/>
          <w:numId w:val="2"/>
        </w:numPr>
        <w:spacing w:after="120" w:line="240" w:lineRule="auto"/>
        <w:jc w:val="both"/>
      </w:pPr>
      <w:r w:rsidRPr="36A7F709">
        <w:rPr>
          <w:rFonts w:asciiTheme="majorHAnsi" w:eastAsiaTheme="majorEastAsia" w:hAnsiTheme="majorHAnsi" w:cstheme="majorBidi"/>
        </w:rPr>
        <w:t>Reach and impact beyond own institution</w:t>
      </w:r>
    </w:p>
    <w:p w14:paraId="7DD8EAB4" w14:textId="6124DE03" w:rsidR="5E2D44C7" w:rsidRDefault="36A7F709" w:rsidP="00813E1A">
      <w:pPr>
        <w:pStyle w:val="ListParagraph"/>
        <w:numPr>
          <w:ilvl w:val="0"/>
          <w:numId w:val="2"/>
        </w:numPr>
        <w:spacing w:after="120" w:line="240" w:lineRule="auto"/>
        <w:jc w:val="both"/>
      </w:pPr>
      <w:r w:rsidRPr="36A7F709">
        <w:rPr>
          <w:rFonts w:asciiTheme="majorHAnsi" w:eastAsiaTheme="majorEastAsia" w:hAnsiTheme="majorHAnsi" w:cstheme="majorBidi"/>
        </w:rPr>
        <w:t>Contextualised to HEI / discipline (institutional ‘priority’)</w:t>
      </w:r>
    </w:p>
    <w:p w14:paraId="4D1E027C" w14:textId="271D7C21" w:rsidR="5E2D44C7" w:rsidRDefault="36A7F709" w:rsidP="00813E1A">
      <w:pPr>
        <w:pStyle w:val="ListParagraph"/>
        <w:numPr>
          <w:ilvl w:val="0"/>
          <w:numId w:val="2"/>
        </w:numPr>
        <w:spacing w:after="120" w:line="240" w:lineRule="auto"/>
        <w:jc w:val="both"/>
      </w:pPr>
      <w:r w:rsidRPr="36A7F709">
        <w:rPr>
          <w:rFonts w:asciiTheme="majorHAnsi" w:eastAsiaTheme="majorEastAsia" w:hAnsiTheme="majorHAnsi" w:cstheme="majorBidi"/>
        </w:rPr>
        <w:t>Inclusivity / non-discriminatory</w:t>
      </w:r>
    </w:p>
    <w:p w14:paraId="47E1B3CD" w14:textId="344A4D8E" w:rsidR="5E2D44C7" w:rsidRDefault="36A7F709" w:rsidP="36A7F709">
      <w:pPr>
        <w:spacing w:after="120" w:line="240" w:lineRule="auto"/>
        <w:jc w:val="both"/>
        <w:rPr>
          <w:rFonts w:asciiTheme="majorHAnsi" w:eastAsiaTheme="majorEastAsia" w:hAnsiTheme="majorHAnsi" w:cstheme="majorBidi"/>
        </w:rPr>
      </w:pPr>
      <w:r w:rsidRPr="36A7F709">
        <w:rPr>
          <w:rFonts w:asciiTheme="majorHAnsi" w:eastAsiaTheme="majorEastAsia" w:hAnsiTheme="majorHAnsi" w:cstheme="majorBidi"/>
          <w:b/>
          <w:bCs/>
          <w:u w:val="single"/>
        </w:rPr>
        <w:t>Ideas for Enablers Identified in Group Discussions</w:t>
      </w:r>
    </w:p>
    <w:p w14:paraId="15676892" w14:textId="35376131" w:rsidR="5E2D44C7" w:rsidRDefault="36A7F709" w:rsidP="00813E1A">
      <w:pPr>
        <w:pStyle w:val="ListParagraph"/>
        <w:numPr>
          <w:ilvl w:val="0"/>
          <w:numId w:val="1"/>
        </w:numPr>
        <w:spacing w:after="120" w:line="240" w:lineRule="auto"/>
        <w:jc w:val="both"/>
      </w:pPr>
      <w:r w:rsidRPr="36A7F709">
        <w:rPr>
          <w:rFonts w:asciiTheme="majorHAnsi" w:eastAsiaTheme="majorEastAsia" w:hAnsiTheme="majorHAnsi" w:cstheme="majorBidi"/>
        </w:rPr>
        <w:t>Mentorship – good role models – networking</w:t>
      </w:r>
    </w:p>
    <w:p w14:paraId="5E8BE3F7" w14:textId="2D520846" w:rsidR="5E2D44C7" w:rsidRDefault="36A7F709" w:rsidP="00813E1A">
      <w:pPr>
        <w:pStyle w:val="ListParagraph"/>
        <w:numPr>
          <w:ilvl w:val="0"/>
          <w:numId w:val="1"/>
        </w:numPr>
        <w:spacing w:after="120" w:line="240" w:lineRule="auto"/>
        <w:jc w:val="both"/>
      </w:pPr>
      <w:r w:rsidRPr="36A7F709">
        <w:rPr>
          <w:rFonts w:asciiTheme="majorHAnsi" w:eastAsiaTheme="majorEastAsia" w:hAnsiTheme="majorHAnsi" w:cstheme="majorBidi"/>
        </w:rPr>
        <w:t>Celebrate success</w:t>
      </w:r>
    </w:p>
    <w:p w14:paraId="2A9CDF70" w14:textId="013447F0" w:rsidR="5E2D44C7" w:rsidRDefault="36A7F709" w:rsidP="00813E1A">
      <w:pPr>
        <w:pStyle w:val="ListParagraph"/>
        <w:numPr>
          <w:ilvl w:val="0"/>
          <w:numId w:val="1"/>
        </w:numPr>
        <w:spacing w:after="120" w:line="240" w:lineRule="auto"/>
        <w:jc w:val="both"/>
      </w:pPr>
      <w:r w:rsidRPr="36A7F709">
        <w:rPr>
          <w:rFonts w:asciiTheme="majorHAnsi" w:eastAsiaTheme="majorEastAsia" w:hAnsiTheme="majorHAnsi" w:cstheme="majorBidi"/>
        </w:rPr>
        <w:t>Visibility of promotion scheme / promotion criteria</w:t>
      </w:r>
    </w:p>
    <w:p w14:paraId="0E9DBFDD" w14:textId="6C6FA3EA" w:rsidR="5E2D44C7" w:rsidRDefault="36A7F709" w:rsidP="00813E1A">
      <w:pPr>
        <w:pStyle w:val="ListParagraph"/>
        <w:numPr>
          <w:ilvl w:val="0"/>
          <w:numId w:val="1"/>
        </w:numPr>
        <w:spacing w:after="120" w:line="240" w:lineRule="auto"/>
        <w:jc w:val="both"/>
      </w:pPr>
      <w:r w:rsidRPr="36A7F709">
        <w:rPr>
          <w:rFonts w:asciiTheme="majorHAnsi" w:eastAsiaTheme="majorEastAsia" w:hAnsiTheme="majorHAnsi" w:cstheme="majorBidi"/>
        </w:rPr>
        <w:t>Strategic rotation of ‘improving’ roles and responsibilities to create opportunities for career development</w:t>
      </w:r>
    </w:p>
    <w:p w14:paraId="5556C733" w14:textId="29314700" w:rsidR="5E2D44C7" w:rsidRDefault="36A7F709" w:rsidP="00813E1A">
      <w:pPr>
        <w:pStyle w:val="ListParagraph"/>
        <w:numPr>
          <w:ilvl w:val="0"/>
          <w:numId w:val="1"/>
        </w:numPr>
        <w:spacing w:after="120" w:line="240" w:lineRule="auto"/>
        <w:jc w:val="both"/>
      </w:pPr>
      <w:r w:rsidRPr="36A7F709">
        <w:rPr>
          <w:rFonts w:asciiTheme="majorHAnsi" w:eastAsiaTheme="majorEastAsia" w:hAnsiTheme="majorHAnsi" w:cstheme="majorBidi"/>
        </w:rPr>
        <w:t>Fair constitution of promotion panels</w:t>
      </w:r>
    </w:p>
    <w:p w14:paraId="6C6B8A09" w14:textId="62F6D37C" w:rsidR="5E2D44C7" w:rsidRDefault="36A7F709" w:rsidP="36A7F709">
      <w:pPr>
        <w:spacing w:after="240" w:line="240" w:lineRule="auto"/>
        <w:jc w:val="center"/>
        <w:rPr>
          <w:rFonts w:asciiTheme="majorHAnsi" w:eastAsiaTheme="majorEastAsia" w:hAnsiTheme="majorHAnsi" w:cstheme="majorBidi"/>
        </w:rPr>
      </w:pPr>
      <w:r w:rsidRPr="36A7F709">
        <w:rPr>
          <w:rFonts w:asciiTheme="majorHAnsi" w:eastAsiaTheme="majorEastAsia" w:hAnsiTheme="majorHAnsi" w:cstheme="majorBidi"/>
          <w:b/>
          <w:bCs/>
        </w:rPr>
        <w:t xml:space="preserve">“Invest in people or they might leave.  </w:t>
      </w:r>
      <w:r w:rsidRPr="36A7F709">
        <w:rPr>
          <w:rFonts w:asciiTheme="majorHAnsi" w:eastAsiaTheme="majorEastAsia" w:hAnsiTheme="majorHAnsi" w:cstheme="majorBidi"/>
          <w:b/>
          <w:bCs/>
          <w:i/>
          <w:iCs/>
        </w:rPr>
        <w:t>Don’t</w:t>
      </w:r>
      <w:r w:rsidRPr="36A7F709">
        <w:rPr>
          <w:rFonts w:asciiTheme="majorHAnsi" w:eastAsiaTheme="majorEastAsia" w:hAnsiTheme="majorHAnsi" w:cstheme="majorBidi"/>
          <w:b/>
          <w:bCs/>
        </w:rPr>
        <w:t xml:space="preserve"> invest in people and they might </w:t>
      </w:r>
      <w:r w:rsidRPr="36A7F709">
        <w:rPr>
          <w:rFonts w:asciiTheme="majorHAnsi" w:eastAsiaTheme="majorEastAsia" w:hAnsiTheme="majorHAnsi" w:cstheme="majorBidi"/>
          <w:b/>
          <w:bCs/>
          <w:i/>
          <w:iCs/>
        </w:rPr>
        <w:t>stay</w:t>
      </w:r>
      <w:r w:rsidRPr="36A7F709">
        <w:rPr>
          <w:rFonts w:asciiTheme="majorHAnsi" w:eastAsiaTheme="majorEastAsia" w:hAnsiTheme="majorHAnsi" w:cstheme="majorBidi"/>
          <w:b/>
          <w:bCs/>
        </w:rPr>
        <w:t>!”</w:t>
      </w:r>
    </w:p>
    <w:p w14:paraId="30FB8394" w14:textId="2C0AF32B" w:rsidR="00E44A67" w:rsidRPr="00AE5DED" w:rsidRDefault="36A7F709" w:rsidP="36A7F709">
      <w:pPr>
        <w:pStyle w:val="Heading1"/>
        <w:spacing w:before="0" w:after="120" w:line="240" w:lineRule="auto"/>
        <w:jc w:val="both"/>
        <w:rPr>
          <w:color w:val="auto"/>
        </w:rPr>
      </w:pPr>
      <w:r w:rsidRPr="36A7F709">
        <w:rPr>
          <w:color w:val="auto"/>
        </w:rPr>
        <w:t>Continuing Initiatives:</w:t>
      </w:r>
    </w:p>
    <w:p w14:paraId="23D72B55" w14:textId="65423442" w:rsidR="00900443" w:rsidRPr="00900443" w:rsidRDefault="36A7F709" w:rsidP="36A7F709">
      <w:pPr>
        <w:pStyle w:val="Heading1"/>
        <w:spacing w:before="0" w:after="120" w:line="240" w:lineRule="auto"/>
        <w:jc w:val="both"/>
        <w:rPr>
          <w:color w:val="auto"/>
          <w:sz w:val="22"/>
          <w:szCs w:val="22"/>
          <w:u w:val="single"/>
        </w:rPr>
      </w:pPr>
      <w:r w:rsidRPr="36A7F709">
        <w:rPr>
          <w:color w:val="auto"/>
          <w:sz w:val="22"/>
          <w:szCs w:val="22"/>
          <w:u w:val="single"/>
        </w:rPr>
        <w:t>Qualitative Feedback from WIHEA fellows on Warwick Promotion Criteria</w:t>
      </w:r>
    </w:p>
    <w:p w14:paraId="12A755D7" w14:textId="1A79DE09" w:rsidR="0027091D" w:rsidRDefault="36A7F709" w:rsidP="36A7F709">
      <w:pPr>
        <w:spacing w:after="120" w:line="240" w:lineRule="auto"/>
        <w:jc w:val="both"/>
        <w:rPr>
          <w:rFonts w:asciiTheme="majorHAnsi" w:hAnsiTheme="majorHAnsi"/>
          <w:color w:val="000000" w:themeColor="text1"/>
        </w:rPr>
      </w:pPr>
      <w:r w:rsidRPr="36A7F709">
        <w:rPr>
          <w:rFonts w:asciiTheme="majorHAnsi" w:hAnsiTheme="majorHAnsi"/>
          <w:color w:val="000000" w:themeColor="text1"/>
        </w:rPr>
        <w:t>A questionnaire for WIHEA fellows is being prepared to gather qualitative feedback on promotions policies and practices at Warwick.</w:t>
      </w:r>
    </w:p>
    <w:p w14:paraId="1D45E76B" w14:textId="77777777" w:rsidR="00387670" w:rsidRDefault="00387670">
      <w:pPr>
        <w:rPr>
          <w:rFonts w:asciiTheme="majorHAnsi" w:eastAsiaTheme="majorEastAsia" w:hAnsiTheme="majorHAnsi" w:cstheme="majorBidi"/>
          <w:b/>
          <w:bCs/>
          <w:sz w:val="28"/>
          <w:szCs w:val="28"/>
        </w:rPr>
      </w:pPr>
      <w:r>
        <w:br w:type="page"/>
      </w:r>
    </w:p>
    <w:p w14:paraId="1DCBC159" w14:textId="4F90AA66" w:rsidR="00387670" w:rsidRDefault="36A7F709" w:rsidP="36A7F709">
      <w:pPr>
        <w:pStyle w:val="Heading1"/>
        <w:spacing w:before="0" w:after="120" w:line="240" w:lineRule="auto"/>
        <w:jc w:val="both"/>
        <w:rPr>
          <w:color w:val="auto"/>
        </w:rPr>
      </w:pPr>
      <w:r w:rsidRPr="36A7F709">
        <w:rPr>
          <w:color w:val="auto"/>
        </w:rPr>
        <w:lastRenderedPageBreak/>
        <w:t>Appendix A</w:t>
      </w:r>
    </w:p>
    <w:p w14:paraId="0C6EF547" w14:textId="129D2A50" w:rsidR="00387670" w:rsidRPr="00AE5DED" w:rsidRDefault="0220D85B" w:rsidP="0220D85B">
      <w:pPr>
        <w:pStyle w:val="Heading1"/>
        <w:spacing w:before="0" w:after="120" w:line="240" w:lineRule="auto"/>
        <w:jc w:val="both"/>
        <w:rPr>
          <w:color w:val="auto"/>
        </w:rPr>
      </w:pPr>
      <w:r w:rsidRPr="0220D85B">
        <w:rPr>
          <w:color w:val="auto"/>
        </w:rPr>
        <w:t>Illustrative Bibliography</w:t>
      </w:r>
    </w:p>
    <w:p w14:paraId="64BA06DF" w14:textId="38C24714" w:rsidR="00387670" w:rsidRPr="00CA2E0F" w:rsidRDefault="36A7F709" w:rsidP="36A7F709">
      <w:pPr>
        <w:spacing w:after="120" w:line="240" w:lineRule="auto"/>
        <w:jc w:val="both"/>
        <w:rPr>
          <w:rFonts w:asciiTheme="majorHAnsi" w:hAnsiTheme="majorHAnsi"/>
          <w:color w:val="000000" w:themeColor="text1"/>
        </w:rPr>
      </w:pPr>
      <w:r w:rsidRPr="36A7F709">
        <w:rPr>
          <w:rFonts w:asciiTheme="majorHAnsi" w:hAnsiTheme="majorHAnsi"/>
          <w:color w:val="000000" w:themeColor="text1"/>
        </w:rPr>
        <w:t>Some key texts within the field have been identified as follows:</w:t>
      </w:r>
    </w:p>
    <w:p w14:paraId="42768580" w14:textId="6390DC01" w:rsidR="00387670" w:rsidRPr="00CA2E0F" w:rsidRDefault="00813E1A" w:rsidP="36A7F709">
      <w:pPr>
        <w:pStyle w:val="ListParagraph"/>
        <w:tabs>
          <w:tab w:val="left" w:pos="720"/>
        </w:tabs>
        <w:spacing w:after="0" w:line="240" w:lineRule="auto"/>
        <w:ind w:left="0"/>
        <w:jc w:val="both"/>
        <w:rPr>
          <w:rFonts w:asciiTheme="majorHAnsi" w:hAnsiTheme="majorHAnsi" w:cs="Calibri Light"/>
          <w:i/>
          <w:iCs/>
          <w:color w:val="000000" w:themeColor="text1"/>
        </w:rPr>
      </w:pPr>
      <w:r w:rsidRPr="36A7F709">
        <w:rPr>
          <w:rFonts w:asciiTheme="majorHAnsi" w:hAnsiTheme="majorHAnsi" w:cs="Calibri Light"/>
          <w:i/>
          <w:iCs/>
          <w:color w:val="000000" w:themeColor="text1"/>
        </w:rPr>
        <w:t>1.</w:t>
      </w:r>
      <w:r>
        <w:rPr>
          <w:rFonts w:asciiTheme="majorHAnsi" w:hAnsiTheme="majorHAnsi" w:cs="Calibri Light"/>
          <w:i/>
          <w:color w:val="000000" w:themeColor="text1"/>
        </w:rPr>
        <w:tab/>
      </w:r>
      <w:r w:rsidR="00387670" w:rsidRPr="36A7F709">
        <w:rPr>
          <w:rFonts w:asciiTheme="majorHAnsi" w:hAnsiTheme="majorHAnsi" w:cs="Calibri Light"/>
          <w:i/>
          <w:iCs/>
          <w:color w:val="000000" w:themeColor="text1"/>
        </w:rPr>
        <w:t>“Excellent education in research-rich universities”:</w:t>
      </w:r>
    </w:p>
    <w:p w14:paraId="57EC63D4" w14:textId="77777777" w:rsidR="00387670" w:rsidRPr="00CA2E0F" w:rsidRDefault="7D19CA66" w:rsidP="7D19CA66">
      <w:pPr>
        <w:pStyle w:val="ListParagraph"/>
        <w:tabs>
          <w:tab w:val="left" w:pos="720"/>
        </w:tabs>
        <w:spacing w:after="0" w:line="240" w:lineRule="auto"/>
        <w:jc w:val="both"/>
        <w:rPr>
          <w:rFonts w:asciiTheme="majorHAnsi" w:hAnsiTheme="majorHAnsi" w:cs="Calibri Light"/>
          <w:color w:val="000000" w:themeColor="text1"/>
        </w:rPr>
      </w:pPr>
      <w:r w:rsidRPr="7D19CA66">
        <w:rPr>
          <w:rFonts w:asciiTheme="majorHAnsi" w:hAnsiTheme="majorHAnsi" w:cs="Calibri Light"/>
          <w:color w:val="000000" w:themeColor="text1"/>
        </w:rPr>
        <w:t>D. Fung, J. Besters-</w:t>
      </w:r>
      <w:proofErr w:type="spellStart"/>
      <w:r w:rsidRPr="7D19CA66">
        <w:rPr>
          <w:rFonts w:asciiTheme="majorHAnsi" w:hAnsiTheme="majorHAnsi" w:cs="Calibri Light"/>
          <w:color w:val="000000" w:themeColor="text1"/>
        </w:rPr>
        <w:t>Dilger</w:t>
      </w:r>
      <w:proofErr w:type="spellEnd"/>
      <w:r w:rsidRPr="7D19CA66">
        <w:rPr>
          <w:rFonts w:asciiTheme="majorHAnsi" w:hAnsiTheme="majorHAnsi" w:cs="Calibri Light"/>
          <w:color w:val="000000" w:themeColor="text1"/>
        </w:rPr>
        <w:t xml:space="preserve"> and R. van der </w:t>
      </w:r>
      <w:proofErr w:type="spellStart"/>
      <w:r w:rsidRPr="7D19CA66">
        <w:rPr>
          <w:rFonts w:asciiTheme="majorHAnsi" w:hAnsiTheme="majorHAnsi" w:cs="Calibri Light"/>
          <w:color w:val="000000" w:themeColor="text1"/>
        </w:rPr>
        <w:t>Vaart</w:t>
      </w:r>
      <w:proofErr w:type="spellEnd"/>
      <w:r w:rsidRPr="7D19CA66">
        <w:rPr>
          <w:rFonts w:asciiTheme="majorHAnsi" w:hAnsiTheme="majorHAnsi" w:cs="Calibri Light"/>
          <w:color w:val="000000" w:themeColor="text1"/>
        </w:rPr>
        <w:t>, LERU, Feb. 2017</w:t>
      </w:r>
    </w:p>
    <w:p w14:paraId="50E7557F" w14:textId="4534284F" w:rsidR="00387670" w:rsidRPr="00CA2E0F" w:rsidRDefault="001C69F8" w:rsidP="00A86E41">
      <w:pPr>
        <w:pStyle w:val="ListParagraph"/>
        <w:tabs>
          <w:tab w:val="left" w:pos="720"/>
        </w:tabs>
        <w:spacing w:after="0" w:line="240" w:lineRule="auto"/>
        <w:jc w:val="both"/>
        <w:rPr>
          <w:rFonts w:asciiTheme="majorHAnsi" w:hAnsiTheme="majorHAnsi" w:cs="Calibri Light"/>
          <w:color w:val="000000" w:themeColor="text1"/>
        </w:rPr>
      </w:pPr>
      <w:hyperlink r:id="rId9">
        <w:r w:rsidR="5E2D44C7" w:rsidRPr="5E2D44C7">
          <w:rPr>
            <w:rStyle w:val="Hyperlink"/>
            <w:rFonts w:asciiTheme="majorHAnsi" w:hAnsiTheme="majorHAnsi" w:cs="Calibri Light"/>
            <w:color w:val="000000" w:themeColor="text1"/>
          </w:rPr>
          <w:t>http://www.leru.org/files/general/LERU%20Position%20Paper%20Excellent%20Education.pdf</w:t>
        </w:r>
      </w:hyperlink>
    </w:p>
    <w:p w14:paraId="22BE9E2C" w14:textId="286C449E" w:rsidR="00387670" w:rsidRPr="00CA2E0F" w:rsidRDefault="36A7F709" w:rsidP="36A7F709">
      <w:pPr>
        <w:pStyle w:val="ListParagraph"/>
        <w:tabs>
          <w:tab w:val="left" w:pos="720"/>
        </w:tabs>
        <w:spacing w:after="0" w:line="240" w:lineRule="auto"/>
        <w:jc w:val="both"/>
        <w:rPr>
          <w:rFonts w:asciiTheme="majorHAnsi" w:hAnsiTheme="majorHAnsi" w:cs="Calibri Light"/>
          <w:color w:val="000000" w:themeColor="text1"/>
        </w:rPr>
      </w:pPr>
      <w:r w:rsidRPr="36A7F709">
        <w:rPr>
          <w:rFonts w:asciiTheme="majorHAnsi" w:hAnsiTheme="majorHAnsi" w:cs="Calibri Light"/>
          <w:color w:val="000000" w:themeColor="text1"/>
        </w:rPr>
        <w:t>Provides eight key principles for research-rich institutions to consider including strategies that enhance the synergies between research and student education; regarding excellent teaching and education-focused scholarship as on a par with excellent research; fostering culture of quality and enhancement; reward and recognition of excellent teaching; and empowering students to become leaders and agents of change.</w:t>
      </w:r>
    </w:p>
    <w:p w14:paraId="05C6D5E1" w14:textId="77777777" w:rsidR="00387670" w:rsidRPr="00CA2E0F" w:rsidRDefault="00387670" w:rsidP="36A7F709">
      <w:pPr>
        <w:pStyle w:val="ListParagraph"/>
        <w:tabs>
          <w:tab w:val="left" w:pos="720"/>
        </w:tabs>
        <w:spacing w:after="0" w:line="240" w:lineRule="auto"/>
        <w:ind w:left="0"/>
        <w:jc w:val="both"/>
        <w:rPr>
          <w:rFonts w:asciiTheme="majorHAnsi" w:hAnsiTheme="majorHAnsi" w:cs="Calibri Light"/>
          <w:i/>
          <w:iCs/>
          <w:color w:val="000000" w:themeColor="text1"/>
        </w:rPr>
      </w:pPr>
      <w:r w:rsidRPr="36A7F709">
        <w:rPr>
          <w:rFonts w:asciiTheme="majorHAnsi" w:hAnsiTheme="majorHAnsi" w:cs="Calibri Light"/>
          <w:i/>
          <w:iCs/>
          <w:color w:val="000000" w:themeColor="text1"/>
        </w:rPr>
        <w:t>2.</w:t>
      </w:r>
      <w:r w:rsidRPr="00CA2E0F">
        <w:rPr>
          <w:rFonts w:asciiTheme="majorHAnsi" w:hAnsiTheme="majorHAnsi" w:cs="Calibri Light"/>
          <w:i/>
          <w:color w:val="000000" w:themeColor="text1"/>
        </w:rPr>
        <w:tab/>
      </w:r>
      <w:r w:rsidRPr="36A7F709">
        <w:rPr>
          <w:rFonts w:asciiTheme="majorHAnsi" w:hAnsiTheme="majorHAnsi" w:cs="Calibri Light"/>
          <w:i/>
          <w:iCs/>
          <w:color w:val="000000" w:themeColor="text1"/>
        </w:rPr>
        <w:t>“Rewarding Educators and Education Leaders in Research Intensive Universities”</w:t>
      </w:r>
    </w:p>
    <w:p w14:paraId="3807CEB0" w14:textId="77777777" w:rsidR="00387670" w:rsidRPr="00CA2E0F" w:rsidRDefault="36A7F709" w:rsidP="36A7F709">
      <w:pPr>
        <w:pStyle w:val="ListParagraph"/>
        <w:tabs>
          <w:tab w:val="left" w:pos="720"/>
        </w:tabs>
        <w:spacing w:after="0" w:line="240" w:lineRule="auto"/>
        <w:jc w:val="both"/>
        <w:rPr>
          <w:rFonts w:asciiTheme="majorHAnsi" w:hAnsiTheme="majorHAnsi" w:cs="Calibri Light"/>
          <w:color w:val="000000" w:themeColor="text1"/>
        </w:rPr>
      </w:pPr>
      <w:r w:rsidRPr="36A7F709">
        <w:rPr>
          <w:rFonts w:asciiTheme="majorHAnsi" w:hAnsiTheme="majorHAnsi" w:cs="Calibri Light"/>
          <w:color w:val="000000" w:themeColor="text1"/>
        </w:rPr>
        <w:t>D. Fung and C. Gordon, HEA 2016</w:t>
      </w:r>
    </w:p>
    <w:p w14:paraId="056BC978" w14:textId="62159C11" w:rsidR="00387670" w:rsidRPr="00CA2E0F" w:rsidRDefault="001C69F8" w:rsidP="00A86E41">
      <w:pPr>
        <w:pStyle w:val="ListParagraph"/>
        <w:tabs>
          <w:tab w:val="left" w:pos="720"/>
        </w:tabs>
        <w:spacing w:after="0" w:line="240" w:lineRule="auto"/>
        <w:jc w:val="both"/>
        <w:rPr>
          <w:rFonts w:asciiTheme="majorHAnsi" w:hAnsiTheme="majorHAnsi" w:cs="Calibri Light"/>
          <w:color w:val="000000" w:themeColor="text1"/>
        </w:rPr>
      </w:pPr>
      <w:hyperlink r:id="rId10">
        <w:r w:rsidR="5E2D44C7" w:rsidRPr="5E2D44C7">
          <w:rPr>
            <w:rStyle w:val="Hyperlink"/>
            <w:rFonts w:asciiTheme="majorHAnsi" w:hAnsiTheme="majorHAnsi" w:cs="Calibri Light"/>
            <w:color w:val="000000" w:themeColor="text1"/>
          </w:rPr>
          <w:t>https://www.heacademy.ac.uk/system/files/rewarding_educators_and_education_leaders.pdf</w:t>
        </w:r>
      </w:hyperlink>
    </w:p>
    <w:p w14:paraId="1E910763" w14:textId="11FAC6EC" w:rsidR="00387670" w:rsidRPr="00CA2E0F" w:rsidRDefault="36A7F709" w:rsidP="36A7F709">
      <w:pPr>
        <w:pStyle w:val="ListParagraph"/>
        <w:tabs>
          <w:tab w:val="left" w:pos="720"/>
        </w:tabs>
        <w:spacing w:after="0" w:line="240" w:lineRule="auto"/>
        <w:jc w:val="both"/>
        <w:rPr>
          <w:rFonts w:asciiTheme="majorHAnsi" w:hAnsiTheme="majorHAnsi" w:cs="Calibri Light"/>
          <w:color w:val="000000" w:themeColor="text1"/>
        </w:rPr>
      </w:pPr>
      <w:r w:rsidRPr="36A7F709">
        <w:rPr>
          <w:rFonts w:asciiTheme="majorHAnsi" w:hAnsiTheme="majorHAnsi" w:cs="Calibri Light"/>
          <w:color w:val="000000" w:themeColor="text1"/>
        </w:rPr>
        <w:t>Considers drivers for change; job families and opportunities for promotion; promotion criteria and their application; professional development, recognition and reward; student engagement; pedagogical scholarship and research-based education.</w:t>
      </w:r>
    </w:p>
    <w:p w14:paraId="3CD52573" w14:textId="77777777" w:rsidR="00387670" w:rsidRPr="00CA2E0F" w:rsidRDefault="00387670" w:rsidP="36A7F709">
      <w:pPr>
        <w:pStyle w:val="ListParagraph"/>
        <w:tabs>
          <w:tab w:val="left" w:pos="720"/>
        </w:tabs>
        <w:spacing w:after="0" w:line="240" w:lineRule="auto"/>
        <w:ind w:left="0"/>
        <w:jc w:val="both"/>
        <w:rPr>
          <w:rFonts w:asciiTheme="majorHAnsi" w:hAnsiTheme="majorHAnsi" w:cs="Calibri Light"/>
          <w:i/>
          <w:iCs/>
          <w:color w:val="000000" w:themeColor="text1"/>
        </w:rPr>
      </w:pPr>
      <w:r w:rsidRPr="36A7F709">
        <w:rPr>
          <w:rFonts w:asciiTheme="majorHAnsi" w:hAnsiTheme="majorHAnsi" w:cs="Calibri Light"/>
          <w:i/>
          <w:iCs/>
          <w:color w:val="000000" w:themeColor="text1"/>
        </w:rPr>
        <w:t>3.</w:t>
      </w:r>
      <w:r w:rsidRPr="00CA2E0F">
        <w:rPr>
          <w:rFonts w:asciiTheme="majorHAnsi" w:hAnsiTheme="majorHAnsi" w:cs="Calibri Light"/>
          <w:i/>
          <w:color w:val="000000" w:themeColor="text1"/>
        </w:rPr>
        <w:tab/>
      </w:r>
      <w:r w:rsidRPr="36A7F709">
        <w:rPr>
          <w:rFonts w:asciiTheme="majorHAnsi" w:hAnsiTheme="majorHAnsi" w:cs="Calibri Light"/>
          <w:i/>
          <w:iCs/>
          <w:color w:val="000000" w:themeColor="text1"/>
        </w:rPr>
        <w:t>“Reward and recognition for university teaching in STEM subjects”</w:t>
      </w:r>
    </w:p>
    <w:p w14:paraId="580A875D" w14:textId="77777777" w:rsidR="00387670" w:rsidRPr="00CA2E0F" w:rsidRDefault="7D19CA66" w:rsidP="7D19CA66">
      <w:pPr>
        <w:pStyle w:val="ListParagraph"/>
        <w:tabs>
          <w:tab w:val="left" w:pos="720"/>
        </w:tabs>
        <w:spacing w:after="0" w:line="240" w:lineRule="auto"/>
        <w:jc w:val="both"/>
        <w:rPr>
          <w:rFonts w:asciiTheme="majorHAnsi" w:hAnsiTheme="majorHAnsi" w:cs="Calibri Light"/>
          <w:color w:val="000000" w:themeColor="text1"/>
        </w:rPr>
      </w:pPr>
      <w:r w:rsidRPr="7D19CA66">
        <w:rPr>
          <w:rFonts w:asciiTheme="majorHAnsi" w:hAnsiTheme="majorHAnsi" w:cs="Calibri Light"/>
          <w:color w:val="000000" w:themeColor="text1"/>
        </w:rPr>
        <w:t xml:space="preserve">S. </w:t>
      </w:r>
      <w:proofErr w:type="spellStart"/>
      <w:r w:rsidRPr="7D19CA66">
        <w:rPr>
          <w:rFonts w:asciiTheme="majorHAnsi" w:hAnsiTheme="majorHAnsi" w:cs="Calibri Light"/>
          <w:color w:val="000000" w:themeColor="text1"/>
        </w:rPr>
        <w:t>Gretton</w:t>
      </w:r>
      <w:proofErr w:type="spellEnd"/>
      <w:r w:rsidRPr="7D19CA66">
        <w:rPr>
          <w:rFonts w:asciiTheme="majorHAnsi" w:hAnsiTheme="majorHAnsi" w:cs="Calibri Light"/>
          <w:color w:val="000000" w:themeColor="text1"/>
        </w:rPr>
        <w:t xml:space="preserve"> and D. </w:t>
      </w:r>
      <w:proofErr w:type="spellStart"/>
      <w:r w:rsidRPr="7D19CA66">
        <w:rPr>
          <w:rFonts w:asciiTheme="majorHAnsi" w:hAnsiTheme="majorHAnsi" w:cs="Calibri Light"/>
          <w:color w:val="000000" w:themeColor="text1"/>
        </w:rPr>
        <w:t>Raine</w:t>
      </w:r>
      <w:proofErr w:type="spellEnd"/>
      <w:r w:rsidRPr="7D19CA66">
        <w:rPr>
          <w:rFonts w:asciiTheme="majorHAnsi" w:hAnsiTheme="majorHAnsi" w:cs="Calibri Light"/>
          <w:color w:val="000000" w:themeColor="text1"/>
        </w:rPr>
        <w:t>, Journal of Further and Higher Education, 2015</w:t>
      </w:r>
    </w:p>
    <w:p w14:paraId="09CAB92F" w14:textId="688C02AF" w:rsidR="00387670" w:rsidRPr="00CA2E0F" w:rsidRDefault="001C69F8" w:rsidP="00A86E41">
      <w:pPr>
        <w:pStyle w:val="ListParagraph"/>
        <w:tabs>
          <w:tab w:val="left" w:pos="720"/>
        </w:tabs>
        <w:spacing w:after="0" w:line="240" w:lineRule="auto"/>
        <w:jc w:val="both"/>
        <w:rPr>
          <w:rFonts w:asciiTheme="majorHAnsi" w:hAnsiTheme="majorHAnsi" w:cs="Calibri Light"/>
          <w:color w:val="000000" w:themeColor="text1"/>
        </w:rPr>
      </w:pPr>
      <w:hyperlink r:id="rId11">
        <w:r w:rsidR="5E2D44C7" w:rsidRPr="5E2D44C7">
          <w:rPr>
            <w:rStyle w:val="Hyperlink"/>
            <w:rFonts w:asciiTheme="majorHAnsi" w:hAnsiTheme="majorHAnsi" w:cs="Calibri Light"/>
            <w:color w:val="000000" w:themeColor="text1"/>
          </w:rPr>
          <w:t>http://dx.doi.org/10.1080/0309877X.2015.1100714</w:t>
        </w:r>
      </w:hyperlink>
    </w:p>
    <w:p w14:paraId="26F7EBC7" w14:textId="38FD9612" w:rsidR="00387670" w:rsidRPr="00CA2E0F" w:rsidRDefault="36A7F709" w:rsidP="36A7F709">
      <w:pPr>
        <w:pStyle w:val="ListParagraph"/>
        <w:tabs>
          <w:tab w:val="left" w:pos="720"/>
        </w:tabs>
        <w:spacing w:after="0" w:line="240" w:lineRule="auto"/>
        <w:jc w:val="both"/>
        <w:rPr>
          <w:rFonts w:asciiTheme="majorHAnsi" w:hAnsiTheme="majorHAnsi" w:cs="Calibri Light"/>
          <w:color w:val="000000" w:themeColor="text1"/>
        </w:rPr>
      </w:pPr>
      <w:r w:rsidRPr="36A7F709">
        <w:rPr>
          <w:rFonts w:asciiTheme="majorHAnsi" w:hAnsiTheme="majorHAnsi" w:cs="Calibri Light"/>
          <w:color w:val="000000" w:themeColor="text1"/>
        </w:rPr>
        <w:t>A study of ‘teaching-only’ staff in STEM disciplines which concludes there is an enthusiastic workforce that feel undervalued by the system.</w:t>
      </w:r>
    </w:p>
    <w:p w14:paraId="101D07D7" w14:textId="77777777" w:rsidR="00387670" w:rsidRPr="00CA2E0F" w:rsidRDefault="00387670" w:rsidP="36A7F709">
      <w:pPr>
        <w:pStyle w:val="ListParagraph"/>
        <w:tabs>
          <w:tab w:val="left" w:pos="720"/>
        </w:tabs>
        <w:spacing w:after="0" w:line="240" w:lineRule="auto"/>
        <w:ind w:left="0"/>
        <w:jc w:val="both"/>
        <w:rPr>
          <w:rFonts w:asciiTheme="majorHAnsi" w:hAnsiTheme="majorHAnsi" w:cs="Calibri Light"/>
          <w:i/>
          <w:iCs/>
          <w:color w:val="000000" w:themeColor="text1"/>
        </w:rPr>
      </w:pPr>
      <w:r w:rsidRPr="36A7F709">
        <w:rPr>
          <w:rFonts w:asciiTheme="majorHAnsi" w:hAnsiTheme="majorHAnsi" w:cs="Calibri Light"/>
          <w:i/>
          <w:iCs/>
          <w:color w:val="000000" w:themeColor="text1"/>
        </w:rPr>
        <w:t>4.</w:t>
      </w:r>
      <w:r w:rsidRPr="00CA2E0F">
        <w:rPr>
          <w:rFonts w:asciiTheme="majorHAnsi" w:hAnsiTheme="majorHAnsi" w:cs="Calibri Light"/>
          <w:i/>
          <w:color w:val="000000" w:themeColor="text1"/>
        </w:rPr>
        <w:tab/>
      </w:r>
      <w:r w:rsidRPr="36A7F709">
        <w:rPr>
          <w:rFonts w:asciiTheme="majorHAnsi" w:hAnsiTheme="majorHAnsi" w:cs="Calibri Light"/>
          <w:i/>
          <w:iCs/>
          <w:color w:val="000000" w:themeColor="text1"/>
        </w:rPr>
        <w:t xml:space="preserve">“Relationship between research and teaching: a </w:t>
      </w:r>
      <w:proofErr w:type="spellStart"/>
      <w:proofErr w:type="gramStart"/>
      <w:r w:rsidRPr="36A7F709">
        <w:rPr>
          <w:rFonts w:asciiTheme="majorHAnsi" w:hAnsiTheme="majorHAnsi" w:cs="Calibri Light"/>
          <w:i/>
          <w:iCs/>
          <w:color w:val="000000" w:themeColor="text1"/>
        </w:rPr>
        <w:t>meta</w:t>
      </w:r>
      <w:proofErr w:type="gramEnd"/>
      <w:r w:rsidRPr="36A7F709">
        <w:rPr>
          <w:rFonts w:asciiTheme="majorHAnsi" w:hAnsiTheme="majorHAnsi" w:cs="Calibri Light"/>
          <w:i/>
          <w:iCs/>
          <w:color w:val="000000" w:themeColor="text1"/>
        </w:rPr>
        <w:t xml:space="preserve"> analysis</w:t>
      </w:r>
      <w:proofErr w:type="spellEnd"/>
      <w:r w:rsidRPr="36A7F709">
        <w:rPr>
          <w:rFonts w:asciiTheme="majorHAnsi" w:hAnsiTheme="majorHAnsi" w:cs="Calibri Light"/>
          <w:i/>
          <w:iCs/>
          <w:color w:val="000000" w:themeColor="text1"/>
        </w:rPr>
        <w:t>”</w:t>
      </w:r>
    </w:p>
    <w:p w14:paraId="42D4D48B" w14:textId="32CC6255" w:rsidR="00387670" w:rsidRPr="00CA2E0F" w:rsidRDefault="36A7F709" w:rsidP="36A7F709">
      <w:pPr>
        <w:pStyle w:val="ListParagraph"/>
        <w:tabs>
          <w:tab w:val="left" w:pos="720"/>
        </w:tabs>
        <w:spacing w:after="0" w:line="240" w:lineRule="auto"/>
        <w:jc w:val="both"/>
        <w:rPr>
          <w:rFonts w:asciiTheme="majorHAnsi" w:hAnsiTheme="majorHAnsi" w:cs="Calibri Light"/>
          <w:color w:val="000000" w:themeColor="text1"/>
        </w:rPr>
      </w:pPr>
      <w:r w:rsidRPr="36A7F709">
        <w:rPr>
          <w:rFonts w:asciiTheme="majorHAnsi" w:hAnsiTheme="majorHAnsi" w:cs="Calibri Light"/>
          <w:color w:val="000000" w:themeColor="text1"/>
        </w:rPr>
        <w:t xml:space="preserve">J. Hattie and H.W. Marsh, Review of Educational Research Winter 1996, Vol.66, </w:t>
      </w:r>
      <w:proofErr w:type="gramStart"/>
      <w:r w:rsidRPr="36A7F709">
        <w:rPr>
          <w:rFonts w:asciiTheme="majorHAnsi" w:hAnsiTheme="majorHAnsi" w:cs="Calibri Light"/>
          <w:color w:val="000000" w:themeColor="text1"/>
        </w:rPr>
        <w:t>No.4</w:t>
      </w:r>
      <w:proofErr w:type="gramEnd"/>
      <w:r w:rsidRPr="36A7F709">
        <w:rPr>
          <w:rFonts w:asciiTheme="majorHAnsi" w:hAnsiTheme="majorHAnsi" w:cs="Calibri Light"/>
          <w:color w:val="000000" w:themeColor="text1"/>
        </w:rPr>
        <w:t xml:space="preserve">. </w:t>
      </w:r>
      <w:proofErr w:type="gramStart"/>
      <w:r w:rsidRPr="36A7F709">
        <w:rPr>
          <w:rFonts w:asciiTheme="majorHAnsi" w:hAnsiTheme="majorHAnsi" w:cs="Calibri Light"/>
          <w:color w:val="000000" w:themeColor="text1"/>
        </w:rPr>
        <w:t>pp507-542</w:t>
      </w:r>
      <w:proofErr w:type="gramEnd"/>
    </w:p>
    <w:p w14:paraId="44C26EB7" w14:textId="76A1A2A8" w:rsidR="00387670" w:rsidRPr="00CA2E0F" w:rsidRDefault="36A7F709" w:rsidP="36A7F709">
      <w:pPr>
        <w:pStyle w:val="ListParagraph"/>
        <w:tabs>
          <w:tab w:val="left" w:pos="720"/>
        </w:tabs>
        <w:spacing w:after="0" w:line="240" w:lineRule="auto"/>
        <w:jc w:val="both"/>
        <w:rPr>
          <w:rFonts w:asciiTheme="majorHAnsi" w:hAnsiTheme="majorHAnsi" w:cs="Calibri Light"/>
          <w:color w:val="000000" w:themeColor="text1"/>
        </w:rPr>
      </w:pPr>
      <w:proofErr w:type="gramStart"/>
      <w:r w:rsidRPr="36A7F709">
        <w:rPr>
          <w:rFonts w:asciiTheme="majorHAnsi" w:hAnsiTheme="majorHAnsi" w:cs="Calibri Light"/>
          <w:color w:val="000000" w:themeColor="text1"/>
        </w:rPr>
        <w:t>An older article which summarises all the literature to date (1996) on the relationship between research and teaching.</w:t>
      </w:r>
      <w:proofErr w:type="gramEnd"/>
    </w:p>
    <w:p w14:paraId="721E3161" w14:textId="77777777" w:rsidR="00387670" w:rsidRPr="00CA2E0F" w:rsidRDefault="00387670" w:rsidP="36A7F709">
      <w:pPr>
        <w:pStyle w:val="ListParagraph"/>
        <w:tabs>
          <w:tab w:val="left" w:pos="720"/>
        </w:tabs>
        <w:spacing w:after="0" w:line="240" w:lineRule="auto"/>
        <w:ind w:left="0"/>
        <w:jc w:val="both"/>
        <w:rPr>
          <w:rFonts w:asciiTheme="majorHAnsi" w:hAnsiTheme="majorHAnsi" w:cs="Calibri Light"/>
          <w:i/>
          <w:iCs/>
          <w:color w:val="000000" w:themeColor="text1"/>
        </w:rPr>
      </w:pPr>
      <w:r w:rsidRPr="36A7F709">
        <w:rPr>
          <w:rFonts w:asciiTheme="majorHAnsi" w:hAnsiTheme="majorHAnsi" w:cs="Calibri Light"/>
          <w:i/>
          <w:iCs/>
          <w:color w:val="000000" w:themeColor="text1"/>
        </w:rPr>
        <w:t>5.</w:t>
      </w:r>
      <w:r w:rsidRPr="00CA2E0F">
        <w:rPr>
          <w:rFonts w:asciiTheme="majorHAnsi" w:hAnsiTheme="majorHAnsi" w:cs="Calibri Light"/>
          <w:i/>
          <w:color w:val="000000" w:themeColor="text1"/>
        </w:rPr>
        <w:tab/>
      </w:r>
      <w:r w:rsidRPr="36A7F709">
        <w:rPr>
          <w:rFonts w:asciiTheme="majorHAnsi" w:hAnsiTheme="majorHAnsi" w:cs="Calibri Light"/>
          <w:i/>
          <w:iCs/>
          <w:color w:val="000000" w:themeColor="text1"/>
        </w:rPr>
        <w:t>“Recognition of good university teaching: policies from an Australian study”</w:t>
      </w:r>
    </w:p>
    <w:p w14:paraId="0B593A59" w14:textId="17474005" w:rsidR="00387670" w:rsidRPr="00CA2E0F" w:rsidRDefault="36A7F709" w:rsidP="36A7F709">
      <w:pPr>
        <w:pStyle w:val="ListParagraph"/>
        <w:tabs>
          <w:tab w:val="left" w:pos="720"/>
        </w:tabs>
        <w:spacing w:after="0" w:line="240" w:lineRule="auto"/>
        <w:jc w:val="both"/>
        <w:rPr>
          <w:rFonts w:asciiTheme="majorHAnsi" w:hAnsiTheme="majorHAnsi" w:cs="Calibri Light"/>
          <w:color w:val="000000" w:themeColor="text1"/>
        </w:rPr>
      </w:pPr>
      <w:r w:rsidRPr="36A7F709">
        <w:rPr>
          <w:rFonts w:asciiTheme="majorHAnsi" w:hAnsiTheme="majorHAnsi" w:cs="Calibri Light"/>
          <w:color w:val="000000" w:themeColor="text1"/>
        </w:rPr>
        <w:t>P. Ramsden and E. Martin, Studies in Higher Education, Volume 21, 1996 - Issue 3.</w:t>
      </w:r>
    </w:p>
    <w:p w14:paraId="7C777635" w14:textId="76C4FE23" w:rsidR="00824B03" w:rsidRPr="00CA2E0F" w:rsidRDefault="001C69F8" w:rsidP="00A86E41">
      <w:pPr>
        <w:pStyle w:val="ListParagraph"/>
        <w:tabs>
          <w:tab w:val="left" w:pos="720"/>
        </w:tabs>
        <w:spacing w:after="0" w:line="240" w:lineRule="auto"/>
        <w:jc w:val="both"/>
        <w:rPr>
          <w:rFonts w:asciiTheme="majorHAnsi" w:hAnsiTheme="majorHAnsi" w:cs="Calibri Light"/>
          <w:color w:val="000000" w:themeColor="text1"/>
        </w:rPr>
      </w:pPr>
      <w:hyperlink r:id="rId12">
        <w:r w:rsidR="5E2D44C7" w:rsidRPr="5E2D44C7">
          <w:rPr>
            <w:rStyle w:val="Hyperlink"/>
            <w:rFonts w:asciiTheme="majorHAnsi" w:hAnsiTheme="majorHAnsi" w:cs="Calibri Light"/>
            <w:color w:val="000000" w:themeColor="text1"/>
          </w:rPr>
          <w:t>http://www.tandfonline.com/doi/abs/10.1080/03075079612331381231</w:t>
        </w:r>
      </w:hyperlink>
    </w:p>
    <w:p w14:paraId="07A5DA76" w14:textId="549AE77F" w:rsidR="00824B03" w:rsidRPr="00CA2E0F" w:rsidRDefault="36A7F709" w:rsidP="36A7F709">
      <w:pPr>
        <w:pStyle w:val="ListParagraph"/>
        <w:tabs>
          <w:tab w:val="left" w:pos="720"/>
        </w:tabs>
        <w:spacing w:after="0" w:line="240" w:lineRule="auto"/>
        <w:jc w:val="both"/>
        <w:rPr>
          <w:rFonts w:asciiTheme="majorHAnsi" w:hAnsiTheme="majorHAnsi" w:cs="Calibri Light"/>
          <w:color w:val="000000" w:themeColor="text1"/>
        </w:rPr>
      </w:pPr>
      <w:r w:rsidRPr="36A7F709">
        <w:rPr>
          <w:rStyle w:val="Hyperlink"/>
          <w:rFonts w:asciiTheme="majorHAnsi" w:hAnsiTheme="majorHAnsi" w:cs="Calibri Light"/>
          <w:color w:val="000000" w:themeColor="text1"/>
          <w:u w:val="none"/>
        </w:rPr>
        <w:t>Demonstrates</w:t>
      </w:r>
      <w:r w:rsidRPr="36A7F709">
        <w:rPr>
          <w:rFonts w:asciiTheme="majorHAnsi" w:hAnsiTheme="majorHAnsi" w:cs="Calibri Light"/>
          <w:color w:val="000000" w:themeColor="text1"/>
        </w:rPr>
        <w:t xml:space="preserve"> that </w:t>
      </w:r>
      <w:proofErr w:type="gramStart"/>
      <w:r w:rsidRPr="36A7F709">
        <w:rPr>
          <w:rFonts w:asciiTheme="majorHAnsi" w:hAnsiTheme="majorHAnsi" w:cs="Calibri Light"/>
          <w:color w:val="000000" w:themeColor="text1"/>
        </w:rPr>
        <w:t>staff consider</w:t>
      </w:r>
      <w:proofErr w:type="gramEnd"/>
      <w:r w:rsidRPr="36A7F709">
        <w:rPr>
          <w:rFonts w:asciiTheme="majorHAnsi" w:hAnsiTheme="majorHAnsi" w:cs="Calibri Light"/>
          <w:color w:val="000000" w:themeColor="text1"/>
        </w:rPr>
        <w:t xml:space="preserve"> research and teaching activities do not receive equal weighting in reward and recognition processes. </w:t>
      </w:r>
      <w:proofErr w:type="gramStart"/>
      <w:r w:rsidRPr="36A7F709">
        <w:rPr>
          <w:rFonts w:asciiTheme="majorHAnsi" w:hAnsiTheme="majorHAnsi" w:cs="Calibri Light"/>
          <w:color w:val="000000" w:themeColor="text1"/>
        </w:rPr>
        <w:t>Suggests recommendations for policy changes which will require ‘visionary leadership [and] build on existing academic values and expectations, combining changes to organisational climates with changes to reward systems and employment practices.’</w:t>
      </w:r>
      <w:proofErr w:type="gramEnd"/>
    </w:p>
    <w:p w14:paraId="5DF4BB99" w14:textId="77777777" w:rsidR="00387670" w:rsidRPr="00CA2E0F" w:rsidRDefault="00387670" w:rsidP="36A7F709">
      <w:pPr>
        <w:pStyle w:val="ListParagraph"/>
        <w:tabs>
          <w:tab w:val="left" w:pos="720"/>
        </w:tabs>
        <w:spacing w:after="0" w:line="240" w:lineRule="auto"/>
        <w:ind w:left="0"/>
        <w:jc w:val="both"/>
        <w:rPr>
          <w:rFonts w:asciiTheme="majorHAnsi" w:hAnsiTheme="majorHAnsi" w:cs="Calibri Light"/>
          <w:i/>
          <w:iCs/>
          <w:color w:val="000000" w:themeColor="text1"/>
        </w:rPr>
      </w:pPr>
      <w:r w:rsidRPr="36A7F709">
        <w:rPr>
          <w:rFonts w:asciiTheme="majorHAnsi" w:hAnsiTheme="majorHAnsi" w:cs="Calibri Light"/>
          <w:i/>
          <w:iCs/>
          <w:color w:val="000000" w:themeColor="text1"/>
        </w:rPr>
        <w:t>6.</w:t>
      </w:r>
      <w:r w:rsidRPr="00CA2E0F">
        <w:rPr>
          <w:rFonts w:asciiTheme="majorHAnsi" w:hAnsiTheme="majorHAnsi" w:cs="Calibri Light"/>
          <w:i/>
          <w:color w:val="000000" w:themeColor="text1"/>
        </w:rPr>
        <w:tab/>
      </w:r>
      <w:r w:rsidRPr="36A7F709">
        <w:rPr>
          <w:rFonts w:asciiTheme="majorHAnsi" w:hAnsiTheme="majorHAnsi" w:cs="Calibri Light"/>
          <w:i/>
          <w:iCs/>
          <w:color w:val="000000" w:themeColor="text1"/>
        </w:rPr>
        <w:t xml:space="preserve">“Progress and challenges to the recognition and reward of scholarship of teaching in </w:t>
      </w:r>
      <w:proofErr w:type="gramStart"/>
      <w:r w:rsidRPr="36A7F709">
        <w:rPr>
          <w:rFonts w:asciiTheme="majorHAnsi" w:hAnsiTheme="majorHAnsi" w:cs="Calibri Light"/>
          <w:i/>
          <w:iCs/>
          <w:color w:val="000000" w:themeColor="text1"/>
        </w:rPr>
        <w:t>HE</w:t>
      </w:r>
      <w:proofErr w:type="gramEnd"/>
      <w:r w:rsidRPr="36A7F709">
        <w:rPr>
          <w:rFonts w:asciiTheme="majorHAnsi" w:hAnsiTheme="majorHAnsi" w:cs="Calibri Light"/>
          <w:i/>
          <w:iCs/>
          <w:color w:val="000000" w:themeColor="text1"/>
        </w:rPr>
        <w:t>”</w:t>
      </w:r>
    </w:p>
    <w:p w14:paraId="10CDB7EC" w14:textId="77777777" w:rsidR="00387670" w:rsidRPr="00CA2E0F" w:rsidRDefault="36A7F709" w:rsidP="36A7F709">
      <w:pPr>
        <w:pStyle w:val="ListParagraph"/>
        <w:tabs>
          <w:tab w:val="left" w:pos="720"/>
        </w:tabs>
        <w:spacing w:after="0" w:line="240" w:lineRule="auto"/>
        <w:jc w:val="both"/>
        <w:rPr>
          <w:rFonts w:asciiTheme="majorHAnsi" w:hAnsiTheme="majorHAnsi" w:cs="Calibri Light"/>
          <w:color w:val="000000" w:themeColor="text1"/>
        </w:rPr>
      </w:pPr>
      <w:r w:rsidRPr="36A7F709">
        <w:rPr>
          <w:rFonts w:asciiTheme="majorHAnsi" w:hAnsiTheme="majorHAnsi" w:cs="Calibri Light"/>
          <w:color w:val="000000" w:themeColor="text1"/>
        </w:rPr>
        <w:t>D. Chalmers, Higher Education Research &amp; Development, Vol. 30 2011 – Issue 1</w:t>
      </w:r>
    </w:p>
    <w:p w14:paraId="63F7B190" w14:textId="22B674F9" w:rsidR="00387670" w:rsidRPr="00CA2E0F" w:rsidRDefault="001C69F8" w:rsidP="00A86E41">
      <w:pPr>
        <w:pStyle w:val="ListParagraph"/>
        <w:tabs>
          <w:tab w:val="left" w:pos="720"/>
        </w:tabs>
        <w:spacing w:after="0" w:line="240" w:lineRule="auto"/>
        <w:jc w:val="both"/>
        <w:rPr>
          <w:rFonts w:asciiTheme="majorHAnsi" w:hAnsiTheme="majorHAnsi" w:cs="Calibri Light"/>
          <w:color w:val="000000" w:themeColor="text1"/>
        </w:rPr>
      </w:pPr>
      <w:hyperlink r:id="rId13">
        <w:r w:rsidR="5E2D44C7" w:rsidRPr="5E2D44C7">
          <w:rPr>
            <w:rStyle w:val="Hyperlink"/>
            <w:rFonts w:asciiTheme="majorHAnsi" w:hAnsiTheme="majorHAnsi" w:cs="Calibri Light"/>
            <w:color w:val="000000" w:themeColor="text1"/>
          </w:rPr>
          <w:t>http://www.tandfonline.com/doi/abs/10.1080/07294360.2011.536970</w:t>
        </w:r>
      </w:hyperlink>
    </w:p>
    <w:p w14:paraId="3F159C52" w14:textId="41A012A9" w:rsidR="00387670" w:rsidRPr="00CA2E0F" w:rsidRDefault="36A7F709" w:rsidP="36A7F709">
      <w:pPr>
        <w:pStyle w:val="ListParagraph"/>
        <w:tabs>
          <w:tab w:val="left" w:pos="720"/>
        </w:tabs>
        <w:spacing w:after="0" w:line="240" w:lineRule="auto"/>
        <w:jc w:val="both"/>
        <w:rPr>
          <w:rFonts w:asciiTheme="majorHAnsi" w:hAnsiTheme="majorHAnsi" w:cs="Calibri Light"/>
          <w:color w:val="000000" w:themeColor="text1"/>
        </w:rPr>
      </w:pPr>
      <w:proofErr w:type="gramStart"/>
      <w:r w:rsidRPr="36A7F709">
        <w:rPr>
          <w:rFonts w:asciiTheme="majorHAnsi" w:hAnsiTheme="majorHAnsi" w:cs="Calibri Light"/>
          <w:color w:val="000000" w:themeColor="text1"/>
        </w:rPr>
        <w:t>Assesses the progress that has been made across the sector in recognising and rewarding the Scholarship of Teaching and Learning (SOTL).</w:t>
      </w:r>
      <w:proofErr w:type="gramEnd"/>
    </w:p>
    <w:p w14:paraId="3B1AC97C" w14:textId="77777777" w:rsidR="00387670" w:rsidRPr="00CA2E0F" w:rsidRDefault="00387670" w:rsidP="36A7F709">
      <w:pPr>
        <w:pStyle w:val="ListParagraph"/>
        <w:tabs>
          <w:tab w:val="left" w:pos="720"/>
        </w:tabs>
        <w:spacing w:after="0" w:line="240" w:lineRule="auto"/>
        <w:ind w:left="0"/>
        <w:jc w:val="both"/>
        <w:rPr>
          <w:rFonts w:asciiTheme="majorHAnsi" w:hAnsiTheme="majorHAnsi" w:cs="Calibri Light"/>
          <w:i/>
          <w:iCs/>
          <w:color w:val="000000" w:themeColor="text1"/>
        </w:rPr>
      </w:pPr>
      <w:r w:rsidRPr="36A7F709">
        <w:rPr>
          <w:rFonts w:asciiTheme="majorHAnsi" w:hAnsiTheme="majorHAnsi" w:cs="Calibri Light"/>
          <w:i/>
          <w:iCs/>
          <w:color w:val="000000" w:themeColor="text1"/>
        </w:rPr>
        <w:t>7.</w:t>
      </w:r>
      <w:r w:rsidRPr="00CA2E0F">
        <w:rPr>
          <w:rFonts w:asciiTheme="majorHAnsi" w:hAnsiTheme="majorHAnsi" w:cs="Calibri Light"/>
          <w:i/>
          <w:color w:val="000000" w:themeColor="text1"/>
        </w:rPr>
        <w:tab/>
      </w:r>
      <w:r w:rsidRPr="36A7F709">
        <w:rPr>
          <w:rFonts w:asciiTheme="majorHAnsi" w:hAnsiTheme="majorHAnsi" w:cs="Calibri Light"/>
          <w:i/>
          <w:iCs/>
          <w:color w:val="000000" w:themeColor="text1"/>
        </w:rPr>
        <w:t>“Disciplinary differences and University teaching”</w:t>
      </w:r>
    </w:p>
    <w:p w14:paraId="0DB06FC5" w14:textId="77777777" w:rsidR="00387670" w:rsidRPr="00CA2E0F" w:rsidRDefault="36A7F709" w:rsidP="36A7F709">
      <w:pPr>
        <w:pStyle w:val="ListParagraph"/>
        <w:tabs>
          <w:tab w:val="left" w:pos="720"/>
        </w:tabs>
        <w:spacing w:after="0" w:line="240" w:lineRule="auto"/>
        <w:jc w:val="both"/>
        <w:rPr>
          <w:rFonts w:asciiTheme="majorHAnsi" w:hAnsiTheme="majorHAnsi" w:cs="Calibri Light"/>
          <w:color w:val="000000" w:themeColor="text1"/>
        </w:rPr>
      </w:pPr>
      <w:r w:rsidRPr="36A7F709">
        <w:rPr>
          <w:rFonts w:asciiTheme="majorHAnsi" w:hAnsiTheme="majorHAnsi" w:cs="Calibri Light"/>
          <w:color w:val="000000" w:themeColor="text1"/>
        </w:rPr>
        <w:t>R. Neumann, Studies in Higher Education, Vol. 26 2001 – Issue 2</w:t>
      </w:r>
    </w:p>
    <w:p w14:paraId="7AA86366" w14:textId="5B66EA08" w:rsidR="00387670" w:rsidRPr="00CA2E0F" w:rsidRDefault="001C69F8" w:rsidP="00A86E41">
      <w:pPr>
        <w:pStyle w:val="ListParagraph"/>
        <w:tabs>
          <w:tab w:val="left" w:pos="720"/>
        </w:tabs>
        <w:spacing w:after="0" w:line="240" w:lineRule="auto"/>
        <w:jc w:val="both"/>
        <w:rPr>
          <w:rFonts w:asciiTheme="majorHAnsi" w:hAnsiTheme="majorHAnsi" w:cs="Calibri Light"/>
          <w:color w:val="000000" w:themeColor="text1"/>
        </w:rPr>
      </w:pPr>
      <w:hyperlink r:id="rId14">
        <w:r w:rsidR="5E2D44C7" w:rsidRPr="5E2D44C7">
          <w:rPr>
            <w:rStyle w:val="Hyperlink"/>
            <w:rFonts w:asciiTheme="majorHAnsi" w:hAnsiTheme="majorHAnsi" w:cs="Calibri Light"/>
            <w:color w:val="000000" w:themeColor="text1"/>
          </w:rPr>
          <w:t>http://www.tandfonline.com/doi/abs/10.1080/03075070120052071</w:t>
        </w:r>
      </w:hyperlink>
    </w:p>
    <w:p w14:paraId="44BC8440" w14:textId="6016E210" w:rsidR="00387670" w:rsidRPr="00CA2E0F" w:rsidRDefault="36A7F709" w:rsidP="36A7F709">
      <w:pPr>
        <w:pStyle w:val="ListParagraph"/>
        <w:tabs>
          <w:tab w:val="left" w:pos="720"/>
        </w:tabs>
        <w:spacing w:after="0" w:line="240" w:lineRule="auto"/>
        <w:jc w:val="both"/>
        <w:rPr>
          <w:rFonts w:asciiTheme="majorHAnsi" w:hAnsiTheme="majorHAnsi" w:cs="Calibri Light"/>
          <w:color w:val="000000" w:themeColor="text1"/>
        </w:rPr>
      </w:pPr>
      <w:proofErr w:type="gramStart"/>
      <w:r w:rsidRPr="36A7F709">
        <w:rPr>
          <w:rStyle w:val="Hyperlink"/>
          <w:rFonts w:asciiTheme="majorHAnsi" w:hAnsiTheme="majorHAnsi" w:cs="Calibri Light"/>
          <w:color w:val="000000" w:themeColor="text1"/>
          <w:u w:val="none"/>
        </w:rPr>
        <w:t>Considers the importance of the ‘discipline’ in understanding and rewarding teaching excellence.</w:t>
      </w:r>
      <w:proofErr w:type="gramEnd"/>
      <w:r w:rsidRPr="36A7F709">
        <w:rPr>
          <w:rFonts w:asciiTheme="majorHAnsi" w:hAnsiTheme="majorHAnsi" w:cs="Calibri Light"/>
          <w:color w:val="000000" w:themeColor="text1"/>
        </w:rPr>
        <w:t xml:space="preserve"> </w:t>
      </w:r>
    </w:p>
    <w:p w14:paraId="0F2A611F" w14:textId="77777777" w:rsidR="00387670" w:rsidRPr="00CA2E0F" w:rsidRDefault="00387670" w:rsidP="36A7F709">
      <w:pPr>
        <w:pStyle w:val="ListParagraph"/>
        <w:tabs>
          <w:tab w:val="left" w:pos="720"/>
        </w:tabs>
        <w:spacing w:after="0" w:line="240" w:lineRule="auto"/>
        <w:ind w:left="0"/>
        <w:jc w:val="both"/>
        <w:rPr>
          <w:rFonts w:asciiTheme="majorHAnsi" w:hAnsiTheme="majorHAnsi" w:cs="Calibri Light"/>
          <w:i/>
          <w:iCs/>
          <w:color w:val="000000" w:themeColor="text1"/>
        </w:rPr>
      </w:pPr>
      <w:r w:rsidRPr="36A7F709">
        <w:rPr>
          <w:rFonts w:asciiTheme="majorHAnsi" w:hAnsiTheme="majorHAnsi" w:cs="Calibri Light"/>
          <w:i/>
          <w:iCs/>
          <w:color w:val="000000" w:themeColor="text1"/>
        </w:rPr>
        <w:t>8.</w:t>
      </w:r>
      <w:r w:rsidRPr="00CA2E0F">
        <w:rPr>
          <w:rFonts w:asciiTheme="majorHAnsi" w:hAnsiTheme="majorHAnsi" w:cs="Calibri Light"/>
          <w:i/>
          <w:color w:val="000000" w:themeColor="text1"/>
        </w:rPr>
        <w:tab/>
      </w:r>
      <w:r w:rsidRPr="36A7F709">
        <w:rPr>
          <w:rFonts w:asciiTheme="majorHAnsi" w:hAnsiTheme="majorHAnsi" w:cs="Calibri Light"/>
          <w:i/>
          <w:iCs/>
          <w:color w:val="000000" w:themeColor="text1"/>
        </w:rPr>
        <w:t>“Developing the digital literacies of academic staff”</w:t>
      </w:r>
    </w:p>
    <w:p w14:paraId="67DC9BE1" w14:textId="77777777" w:rsidR="00387670" w:rsidRPr="00CA2E0F" w:rsidRDefault="36A7F709" w:rsidP="36A7F709">
      <w:pPr>
        <w:pStyle w:val="ListParagraph"/>
        <w:tabs>
          <w:tab w:val="left" w:pos="720"/>
        </w:tabs>
        <w:spacing w:after="0" w:line="240" w:lineRule="auto"/>
        <w:jc w:val="both"/>
        <w:rPr>
          <w:rFonts w:asciiTheme="majorHAnsi" w:hAnsiTheme="majorHAnsi" w:cs="Calibri Light"/>
          <w:color w:val="000000" w:themeColor="text1"/>
        </w:rPr>
      </w:pPr>
      <w:r w:rsidRPr="36A7F709">
        <w:rPr>
          <w:rFonts w:asciiTheme="majorHAnsi" w:hAnsiTheme="majorHAnsi" w:cs="Calibri Light"/>
          <w:color w:val="000000" w:themeColor="text1"/>
        </w:rPr>
        <w:t>B. Newland and F. Handley, Research in Learning Technology, Published online Oct. 2016</w:t>
      </w:r>
    </w:p>
    <w:p w14:paraId="019FBB6F" w14:textId="5B28DC43" w:rsidR="00387670" w:rsidRPr="00CA2E0F" w:rsidRDefault="001C69F8" w:rsidP="00A86E41">
      <w:pPr>
        <w:pStyle w:val="ListParagraph"/>
        <w:tabs>
          <w:tab w:val="left" w:pos="720"/>
        </w:tabs>
        <w:spacing w:after="0" w:line="240" w:lineRule="auto"/>
        <w:jc w:val="both"/>
        <w:rPr>
          <w:rFonts w:asciiTheme="majorHAnsi" w:hAnsiTheme="majorHAnsi" w:cs="Calibri Light"/>
          <w:color w:val="000000" w:themeColor="text1"/>
        </w:rPr>
      </w:pPr>
      <w:hyperlink r:id="rId15">
        <w:r w:rsidR="5E2D44C7" w:rsidRPr="5E2D44C7">
          <w:rPr>
            <w:rStyle w:val="Hyperlink"/>
            <w:rFonts w:asciiTheme="majorHAnsi" w:hAnsiTheme="majorHAnsi"/>
            <w:color w:val="000000" w:themeColor="text1"/>
          </w:rPr>
          <w:t>http://www.tandfonline.com/doi/full/10.3402/rlt.v24.31501</w:t>
        </w:r>
      </w:hyperlink>
    </w:p>
    <w:p w14:paraId="1554FABB" w14:textId="1FEBF0E9" w:rsidR="00387670" w:rsidRPr="00CA2E0F" w:rsidRDefault="36A7F709" w:rsidP="36A7F709">
      <w:pPr>
        <w:pStyle w:val="ListParagraph"/>
        <w:tabs>
          <w:tab w:val="left" w:pos="720"/>
        </w:tabs>
        <w:spacing w:after="0" w:line="240" w:lineRule="auto"/>
        <w:jc w:val="both"/>
        <w:rPr>
          <w:rFonts w:asciiTheme="majorHAnsi" w:hAnsiTheme="majorHAnsi" w:cs="Calibri Light"/>
          <w:color w:val="000000" w:themeColor="text1"/>
        </w:rPr>
      </w:pPr>
      <w:proofErr w:type="gramStart"/>
      <w:r w:rsidRPr="36A7F709">
        <w:rPr>
          <w:rFonts w:asciiTheme="majorHAnsi" w:hAnsiTheme="majorHAnsi"/>
          <w:color w:val="000000" w:themeColor="text1"/>
        </w:rPr>
        <w:t>Considers the development of a digital literacy framework for academic staff at the University of Brighton and its use in professional development and promotion processes.</w:t>
      </w:r>
      <w:proofErr w:type="gramEnd"/>
      <w:r w:rsidRPr="36A7F709">
        <w:rPr>
          <w:rFonts w:asciiTheme="majorHAnsi" w:hAnsiTheme="majorHAnsi" w:cs="Calibri Light"/>
          <w:color w:val="000000" w:themeColor="text1"/>
        </w:rPr>
        <w:t xml:space="preserve"> </w:t>
      </w:r>
    </w:p>
    <w:p w14:paraId="7823924D" w14:textId="77777777" w:rsidR="00387670" w:rsidRPr="00CA2E0F" w:rsidRDefault="00387670" w:rsidP="36A7F709">
      <w:pPr>
        <w:pStyle w:val="ListParagraph"/>
        <w:tabs>
          <w:tab w:val="left" w:pos="720"/>
        </w:tabs>
        <w:spacing w:after="0" w:line="240" w:lineRule="auto"/>
        <w:ind w:left="0"/>
        <w:jc w:val="both"/>
        <w:rPr>
          <w:rFonts w:asciiTheme="majorHAnsi" w:hAnsiTheme="majorHAnsi" w:cs="Calibri Light"/>
          <w:i/>
          <w:iCs/>
          <w:color w:val="000000" w:themeColor="text1"/>
        </w:rPr>
      </w:pPr>
      <w:r w:rsidRPr="36A7F709">
        <w:rPr>
          <w:rFonts w:asciiTheme="majorHAnsi" w:hAnsiTheme="majorHAnsi" w:cs="Calibri Light"/>
          <w:i/>
          <w:iCs/>
          <w:color w:val="000000" w:themeColor="text1"/>
        </w:rPr>
        <w:lastRenderedPageBreak/>
        <w:t>9.</w:t>
      </w:r>
      <w:r w:rsidRPr="00CA2E0F">
        <w:rPr>
          <w:rFonts w:asciiTheme="majorHAnsi" w:hAnsiTheme="majorHAnsi" w:cs="Calibri Light"/>
          <w:i/>
          <w:color w:val="000000" w:themeColor="text1"/>
        </w:rPr>
        <w:tab/>
      </w:r>
      <w:r w:rsidRPr="36A7F709">
        <w:rPr>
          <w:rFonts w:asciiTheme="majorHAnsi" w:hAnsiTheme="majorHAnsi" w:cs="Calibri Light"/>
          <w:i/>
          <w:iCs/>
          <w:color w:val="000000" w:themeColor="text1"/>
        </w:rPr>
        <w:t>“Digital lens on the UK PSF”</w:t>
      </w:r>
    </w:p>
    <w:p w14:paraId="07B080EC" w14:textId="77777777" w:rsidR="00387670" w:rsidRPr="00CA2E0F" w:rsidRDefault="36A7F709" w:rsidP="36A7F709">
      <w:pPr>
        <w:pStyle w:val="ListParagraph"/>
        <w:tabs>
          <w:tab w:val="left" w:pos="720"/>
        </w:tabs>
        <w:spacing w:after="0" w:line="240" w:lineRule="auto"/>
        <w:jc w:val="both"/>
        <w:rPr>
          <w:rFonts w:asciiTheme="majorHAnsi" w:hAnsiTheme="majorHAnsi" w:cs="Calibri Light"/>
          <w:i/>
          <w:iCs/>
          <w:color w:val="000000" w:themeColor="text1"/>
        </w:rPr>
      </w:pPr>
      <w:r w:rsidRPr="36A7F709">
        <w:rPr>
          <w:rFonts w:asciiTheme="majorHAnsi" w:hAnsiTheme="majorHAnsi" w:cs="Calibri Light"/>
          <w:color w:val="000000" w:themeColor="text1"/>
        </w:rPr>
        <w:t xml:space="preserve">H. </w:t>
      </w:r>
      <w:proofErr w:type="spellStart"/>
      <w:r w:rsidRPr="36A7F709">
        <w:rPr>
          <w:rFonts w:asciiTheme="majorHAnsi" w:hAnsiTheme="majorHAnsi" w:cs="Calibri Light"/>
          <w:color w:val="000000" w:themeColor="text1"/>
        </w:rPr>
        <w:t>Beetham</w:t>
      </w:r>
      <w:proofErr w:type="spellEnd"/>
      <w:r w:rsidRPr="36A7F709">
        <w:rPr>
          <w:rFonts w:asciiTheme="majorHAnsi" w:hAnsiTheme="majorHAnsi" w:cs="Calibri Light"/>
          <w:color w:val="000000" w:themeColor="text1"/>
        </w:rPr>
        <w:t xml:space="preserve">, JISC </w:t>
      </w:r>
      <w:r w:rsidRPr="36A7F709">
        <w:rPr>
          <w:rFonts w:asciiTheme="majorHAnsi" w:hAnsiTheme="majorHAnsi" w:cs="Calibri Light"/>
          <w:i/>
          <w:iCs/>
          <w:color w:val="000000" w:themeColor="text1"/>
        </w:rPr>
        <w:t>Draft for consultation, Revised August 2015</w:t>
      </w:r>
    </w:p>
    <w:p w14:paraId="7363F5D3" w14:textId="58501AF4" w:rsidR="00387670" w:rsidRPr="00CA2E0F" w:rsidRDefault="001C69F8" w:rsidP="00A86E41">
      <w:pPr>
        <w:pStyle w:val="ListParagraph"/>
        <w:tabs>
          <w:tab w:val="left" w:pos="720"/>
        </w:tabs>
        <w:spacing w:after="0" w:line="240" w:lineRule="auto"/>
        <w:jc w:val="both"/>
        <w:rPr>
          <w:rFonts w:asciiTheme="majorHAnsi" w:hAnsiTheme="majorHAnsi" w:cs="Calibri Light"/>
          <w:i/>
          <w:iCs/>
          <w:color w:val="000000" w:themeColor="text1"/>
        </w:rPr>
      </w:pPr>
      <w:hyperlink r:id="rId16">
        <w:r w:rsidR="5E2D44C7" w:rsidRPr="5E2D44C7">
          <w:rPr>
            <w:rStyle w:val="Hyperlink"/>
            <w:rFonts w:asciiTheme="majorHAnsi" w:hAnsiTheme="majorHAnsi" w:cs="Calibri Light"/>
            <w:i/>
            <w:iCs/>
            <w:color w:val="000000" w:themeColor="text1"/>
          </w:rPr>
          <w:t>http://blog.yorksj.ac.uk/tel/files/2013/12/DigitallensontheUKPSF.pdf</w:t>
        </w:r>
      </w:hyperlink>
    </w:p>
    <w:p w14:paraId="194E9569" w14:textId="53584E19" w:rsidR="00387670" w:rsidRPr="00CA2E0F" w:rsidRDefault="36A7F709" w:rsidP="36A7F709">
      <w:pPr>
        <w:pStyle w:val="ListParagraph"/>
        <w:tabs>
          <w:tab w:val="left" w:pos="720"/>
        </w:tabs>
        <w:spacing w:after="0" w:line="240" w:lineRule="auto"/>
        <w:jc w:val="both"/>
        <w:rPr>
          <w:rFonts w:asciiTheme="majorHAnsi" w:hAnsiTheme="majorHAnsi" w:cs="Calibri Light"/>
          <w:i/>
          <w:iCs/>
          <w:color w:val="000000" w:themeColor="text1"/>
        </w:rPr>
      </w:pPr>
      <w:proofErr w:type="gramStart"/>
      <w:r w:rsidRPr="36A7F709">
        <w:rPr>
          <w:rFonts w:asciiTheme="majorHAnsi" w:hAnsiTheme="majorHAnsi" w:cs="Calibri Light"/>
          <w:color w:val="000000" w:themeColor="text1"/>
        </w:rPr>
        <w:t>Discussion paper on using digital capabilities as evidence for the UK Professional Standards Network.</w:t>
      </w:r>
      <w:proofErr w:type="gramEnd"/>
    </w:p>
    <w:p w14:paraId="76C68F0B" w14:textId="77777777" w:rsidR="00387670" w:rsidRPr="00CA2E0F" w:rsidRDefault="00387670" w:rsidP="36A7F709">
      <w:pPr>
        <w:pStyle w:val="ListParagraph"/>
        <w:tabs>
          <w:tab w:val="left" w:pos="720"/>
        </w:tabs>
        <w:spacing w:after="0" w:line="240" w:lineRule="auto"/>
        <w:ind w:left="0"/>
        <w:jc w:val="both"/>
        <w:rPr>
          <w:rFonts w:asciiTheme="majorHAnsi" w:hAnsiTheme="majorHAnsi" w:cs="Calibri Light"/>
          <w:i/>
          <w:iCs/>
          <w:color w:val="000000" w:themeColor="text1"/>
        </w:rPr>
      </w:pPr>
      <w:r w:rsidRPr="36A7F709">
        <w:rPr>
          <w:rFonts w:asciiTheme="majorHAnsi" w:hAnsiTheme="majorHAnsi" w:cs="Calibri Light"/>
          <w:i/>
          <w:iCs/>
          <w:color w:val="000000" w:themeColor="text1"/>
        </w:rPr>
        <w:t>10.</w:t>
      </w:r>
      <w:r w:rsidRPr="00CA2E0F">
        <w:rPr>
          <w:rFonts w:asciiTheme="majorHAnsi" w:hAnsiTheme="majorHAnsi" w:cs="Calibri Light"/>
          <w:i/>
          <w:color w:val="000000" w:themeColor="text1"/>
        </w:rPr>
        <w:tab/>
      </w:r>
      <w:r w:rsidRPr="36A7F709">
        <w:rPr>
          <w:rFonts w:asciiTheme="majorHAnsi" w:hAnsiTheme="majorHAnsi" w:cs="Calibri Light"/>
          <w:i/>
          <w:iCs/>
          <w:color w:val="000000" w:themeColor="text1"/>
        </w:rPr>
        <w:t>“On recognition and respect”</w:t>
      </w:r>
    </w:p>
    <w:p w14:paraId="3A6A9826" w14:textId="218BC5F2" w:rsidR="00387670" w:rsidRPr="00CA2E0F" w:rsidRDefault="36A7F709" w:rsidP="36A7F709">
      <w:pPr>
        <w:pStyle w:val="ListParagraph"/>
        <w:tabs>
          <w:tab w:val="left" w:pos="720"/>
        </w:tabs>
        <w:spacing w:after="0" w:line="240" w:lineRule="auto"/>
        <w:jc w:val="both"/>
        <w:rPr>
          <w:rFonts w:asciiTheme="majorHAnsi" w:hAnsiTheme="majorHAnsi" w:cs="Calibri Light"/>
          <w:color w:val="000000" w:themeColor="text1"/>
        </w:rPr>
      </w:pPr>
      <w:r w:rsidRPr="36A7F709">
        <w:rPr>
          <w:rFonts w:asciiTheme="majorHAnsi" w:hAnsiTheme="majorHAnsi" w:cs="Calibri Light"/>
          <w:color w:val="000000" w:themeColor="text1"/>
        </w:rPr>
        <w:t xml:space="preserve">M. Murphy, Educational future, </w:t>
      </w:r>
      <w:proofErr w:type="gramStart"/>
      <w:r w:rsidRPr="36A7F709">
        <w:rPr>
          <w:rFonts w:asciiTheme="majorHAnsi" w:hAnsiTheme="majorHAnsi" w:cs="Calibri Light"/>
          <w:color w:val="000000" w:themeColor="text1"/>
        </w:rPr>
        <w:t>Vol.2(</w:t>
      </w:r>
      <w:proofErr w:type="gramEnd"/>
      <w:r w:rsidRPr="36A7F709">
        <w:rPr>
          <w:rFonts w:asciiTheme="majorHAnsi" w:hAnsiTheme="majorHAnsi" w:cs="Calibri Light"/>
          <w:color w:val="000000" w:themeColor="text1"/>
        </w:rPr>
        <w:t>2) January 2010</w:t>
      </w:r>
    </w:p>
    <w:p w14:paraId="7B4FA421" w14:textId="1C554E7A" w:rsidR="00387670" w:rsidRPr="00CA2E0F" w:rsidRDefault="001C69F8" w:rsidP="00A86E41">
      <w:pPr>
        <w:pStyle w:val="ListParagraph"/>
        <w:tabs>
          <w:tab w:val="left" w:pos="720"/>
        </w:tabs>
        <w:spacing w:after="0" w:line="240" w:lineRule="auto"/>
        <w:jc w:val="both"/>
        <w:rPr>
          <w:rFonts w:asciiTheme="majorHAnsi" w:hAnsiTheme="majorHAnsi" w:cs="Calibri Light"/>
          <w:color w:val="000000" w:themeColor="text1"/>
        </w:rPr>
      </w:pPr>
      <w:hyperlink r:id="rId17">
        <w:r w:rsidR="5E2D44C7" w:rsidRPr="5E2D44C7">
          <w:rPr>
            <w:rStyle w:val="Hyperlink"/>
            <w:rFonts w:asciiTheme="majorHAnsi" w:hAnsiTheme="majorHAnsi" w:cs="Calibri Light"/>
            <w:color w:val="000000" w:themeColor="text1"/>
          </w:rPr>
          <w:t>http://educationstudies.org.uk/journal/ef/volume-2-2-2010/recognition-respect-honneth-intersubjectivity-education/murphyf2/</w:t>
        </w:r>
      </w:hyperlink>
    </w:p>
    <w:p w14:paraId="265BCD16" w14:textId="59CB3078" w:rsidR="00387670" w:rsidRPr="00CA2E0F" w:rsidRDefault="36A7F709" w:rsidP="36A7F709">
      <w:pPr>
        <w:pStyle w:val="ListParagraph"/>
        <w:tabs>
          <w:tab w:val="left" w:pos="720"/>
        </w:tabs>
        <w:spacing w:after="0" w:line="240" w:lineRule="auto"/>
        <w:jc w:val="both"/>
        <w:rPr>
          <w:rFonts w:asciiTheme="majorHAnsi" w:hAnsiTheme="majorHAnsi" w:cs="Calibri Light"/>
          <w:color w:val="000000" w:themeColor="text1"/>
        </w:rPr>
      </w:pPr>
      <w:proofErr w:type="gramStart"/>
      <w:r w:rsidRPr="36A7F709">
        <w:rPr>
          <w:rStyle w:val="Hyperlink"/>
          <w:rFonts w:asciiTheme="majorHAnsi" w:hAnsiTheme="majorHAnsi" w:cs="Calibri Light"/>
          <w:color w:val="000000" w:themeColor="text1"/>
          <w:u w:val="none"/>
        </w:rPr>
        <w:t>A philosophical study</w:t>
      </w:r>
      <w:r w:rsidRPr="36A7F709">
        <w:rPr>
          <w:rFonts w:asciiTheme="majorHAnsi" w:hAnsiTheme="majorHAnsi" w:cs="Calibri Light"/>
          <w:color w:val="000000" w:themeColor="text1"/>
        </w:rPr>
        <w:t xml:space="preserve"> of the struggle for academic recognition.</w:t>
      </w:r>
      <w:proofErr w:type="gramEnd"/>
    </w:p>
    <w:p w14:paraId="2AD79252" w14:textId="77777777" w:rsidR="00387670" w:rsidRPr="00CA2E0F" w:rsidRDefault="00387670" w:rsidP="36A7F709">
      <w:pPr>
        <w:pStyle w:val="ListParagraph"/>
        <w:tabs>
          <w:tab w:val="left" w:pos="720"/>
        </w:tabs>
        <w:spacing w:after="0" w:line="240" w:lineRule="auto"/>
        <w:ind w:hanging="720"/>
        <w:jc w:val="both"/>
        <w:rPr>
          <w:rFonts w:asciiTheme="majorHAnsi" w:hAnsiTheme="majorHAnsi" w:cs="Calibri Light"/>
          <w:color w:val="000000" w:themeColor="text1"/>
        </w:rPr>
      </w:pPr>
      <w:r w:rsidRPr="36A7F709">
        <w:rPr>
          <w:rFonts w:asciiTheme="majorHAnsi" w:hAnsiTheme="majorHAnsi" w:cs="Calibri Light"/>
          <w:color w:val="000000" w:themeColor="text1"/>
        </w:rPr>
        <w:t>11.</w:t>
      </w:r>
      <w:r w:rsidRPr="00CA2E0F">
        <w:rPr>
          <w:rFonts w:asciiTheme="majorHAnsi" w:hAnsiTheme="majorHAnsi" w:cs="Calibri Light"/>
          <w:color w:val="000000" w:themeColor="text1"/>
        </w:rPr>
        <w:tab/>
      </w:r>
      <w:r w:rsidRPr="36A7F709">
        <w:rPr>
          <w:rFonts w:asciiTheme="majorHAnsi" w:hAnsiTheme="majorHAnsi" w:cs="Calibri Light"/>
          <w:color w:val="000000" w:themeColor="text1"/>
        </w:rPr>
        <w:t>“</w:t>
      </w:r>
      <w:r w:rsidRPr="36A7F709">
        <w:rPr>
          <w:rFonts w:asciiTheme="majorHAnsi" w:hAnsiTheme="majorHAnsi" w:cs="Calibri Light"/>
          <w:i/>
          <w:iCs/>
          <w:color w:val="000000" w:themeColor="text1"/>
        </w:rPr>
        <w:t>Promoting Teaching - Bench Marking Guide</w:t>
      </w:r>
      <w:r w:rsidRPr="36A7F709">
        <w:rPr>
          <w:rFonts w:asciiTheme="majorHAnsi" w:hAnsiTheme="majorHAnsi" w:cs="Calibri Light"/>
          <w:color w:val="000000" w:themeColor="text1"/>
        </w:rPr>
        <w:t xml:space="preserve">” (HEA </w:t>
      </w:r>
      <w:r w:rsidRPr="36A7F709">
        <w:rPr>
          <w:rFonts w:asciiTheme="majorHAnsi" w:hAnsiTheme="majorHAnsi" w:cs="Calibri Light"/>
          <w:i/>
          <w:iCs/>
          <w:color w:val="000000" w:themeColor="text1"/>
        </w:rPr>
        <w:t xml:space="preserve">Promoting Teaching </w:t>
      </w:r>
      <w:r w:rsidRPr="36A7F709">
        <w:rPr>
          <w:rFonts w:asciiTheme="majorHAnsi" w:hAnsiTheme="majorHAnsi" w:cs="Calibri Light"/>
          <w:color w:val="000000" w:themeColor="text1"/>
        </w:rPr>
        <w:t>Project, 2014)</w:t>
      </w:r>
    </w:p>
    <w:p w14:paraId="57B2E4F8" w14:textId="43F87972" w:rsidR="00CA2E0F" w:rsidRPr="00CA2E0F" w:rsidRDefault="001C69F8" w:rsidP="00A86E41">
      <w:pPr>
        <w:pStyle w:val="ListParagraph"/>
        <w:tabs>
          <w:tab w:val="left" w:pos="720"/>
        </w:tabs>
        <w:spacing w:after="0" w:line="240" w:lineRule="auto"/>
        <w:contextualSpacing w:val="0"/>
        <w:jc w:val="both"/>
        <w:rPr>
          <w:rStyle w:val="Hyperlink"/>
          <w:rFonts w:asciiTheme="majorHAnsi" w:hAnsiTheme="majorHAnsi" w:cs="Calibri Light"/>
          <w:color w:val="000000" w:themeColor="text1"/>
        </w:rPr>
      </w:pPr>
      <w:hyperlink r:id="rId18" w:history="1">
        <w:r w:rsidR="00387670" w:rsidRPr="5E2D44C7">
          <w:rPr>
            <w:rStyle w:val="Hyperlink"/>
            <w:rFonts w:asciiTheme="majorHAnsi" w:hAnsiTheme="majorHAnsi" w:cs="Calibri Light"/>
            <w:color w:val="000000" w:themeColor="text1"/>
          </w:rPr>
          <w:t>https://www.heacademy.ac.uk/system/files/resources/benchmarking_guide_web.pdf</w:t>
        </w:r>
      </w:hyperlink>
    </w:p>
    <w:p w14:paraId="518146E3" w14:textId="2E57E4C7" w:rsidR="00CA2E0F" w:rsidRPr="00CA2E0F" w:rsidRDefault="36A7F709" w:rsidP="36A7F709">
      <w:pPr>
        <w:pStyle w:val="ListParagraph"/>
        <w:tabs>
          <w:tab w:val="left" w:pos="720"/>
        </w:tabs>
        <w:spacing w:after="0" w:line="240" w:lineRule="auto"/>
        <w:contextualSpacing w:val="0"/>
        <w:jc w:val="both"/>
        <w:rPr>
          <w:rStyle w:val="Hyperlink"/>
          <w:rFonts w:asciiTheme="majorHAnsi" w:hAnsiTheme="majorHAnsi" w:cs="Calibri Light"/>
          <w:color w:val="000000" w:themeColor="text1"/>
        </w:rPr>
      </w:pPr>
      <w:proofErr w:type="gramStart"/>
      <w:r w:rsidRPr="36A7F709">
        <w:rPr>
          <w:rStyle w:val="Hyperlink"/>
          <w:rFonts w:asciiTheme="majorHAnsi" w:hAnsiTheme="majorHAnsi" w:cs="Calibri Light"/>
          <w:color w:val="000000" w:themeColor="text1"/>
          <w:u w:val="none"/>
        </w:rPr>
        <w:t>Templates for institutions to use promoting teaching benchmarks to self-review against sector good practice and to compare themselves to comparator institutions.</w:t>
      </w:r>
      <w:proofErr w:type="gramEnd"/>
    </w:p>
    <w:p w14:paraId="635F6F5F" w14:textId="77777777" w:rsidR="00387670" w:rsidRPr="00CA2E0F" w:rsidRDefault="00387670" w:rsidP="36A7F709">
      <w:pPr>
        <w:pStyle w:val="ListParagraph"/>
        <w:tabs>
          <w:tab w:val="left" w:pos="720"/>
        </w:tabs>
        <w:spacing w:after="0" w:line="240" w:lineRule="auto"/>
        <w:ind w:left="0"/>
        <w:contextualSpacing w:val="0"/>
        <w:jc w:val="both"/>
        <w:rPr>
          <w:rFonts w:asciiTheme="majorHAnsi" w:hAnsiTheme="majorHAnsi" w:cs="Calibri Light"/>
          <w:color w:val="000000" w:themeColor="text1"/>
        </w:rPr>
      </w:pPr>
      <w:r w:rsidRPr="36A7F709">
        <w:rPr>
          <w:rFonts w:asciiTheme="majorHAnsi" w:hAnsiTheme="majorHAnsi" w:cs="Calibri Light"/>
          <w:color w:val="000000" w:themeColor="text1"/>
        </w:rPr>
        <w:t>12.</w:t>
      </w:r>
      <w:r w:rsidRPr="00CA2E0F">
        <w:rPr>
          <w:rFonts w:asciiTheme="majorHAnsi" w:hAnsiTheme="majorHAnsi" w:cs="Calibri Light"/>
          <w:color w:val="000000" w:themeColor="text1"/>
        </w:rPr>
        <w:tab/>
      </w:r>
      <w:r w:rsidRPr="36A7F709">
        <w:rPr>
          <w:rFonts w:asciiTheme="majorHAnsi" w:hAnsiTheme="majorHAnsi" w:cs="Calibri Light"/>
          <w:color w:val="000000" w:themeColor="text1"/>
        </w:rPr>
        <w:t>“</w:t>
      </w:r>
      <w:r w:rsidRPr="36A7F709">
        <w:rPr>
          <w:rFonts w:asciiTheme="majorHAnsi" w:hAnsiTheme="majorHAnsi" w:cs="Calibri Light"/>
          <w:i/>
          <w:iCs/>
          <w:color w:val="000000" w:themeColor="text1"/>
        </w:rPr>
        <w:t xml:space="preserve">Promoting Teaching - Making Evidence Count” </w:t>
      </w:r>
      <w:r w:rsidRPr="36A7F709">
        <w:rPr>
          <w:rFonts w:asciiTheme="majorHAnsi" w:hAnsiTheme="majorHAnsi" w:cs="Calibri Light"/>
          <w:color w:val="000000" w:themeColor="text1"/>
        </w:rPr>
        <w:t xml:space="preserve">(HEA </w:t>
      </w:r>
      <w:r w:rsidRPr="36A7F709">
        <w:rPr>
          <w:rFonts w:asciiTheme="majorHAnsi" w:hAnsiTheme="majorHAnsi" w:cs="Calibri Light"/>
          <w:i/>
          <w:iCs/>
          <w:color w:val="000000" w:themeColor="text1"/>
        </w:rPr>
        <w:t xml:space="preserve">Promoting Teaching </w:t>
      </w:r>
      <w:r w:rsidRPr="36A7F709">
        <w:rPr>
          <w:rFonts w:asciiTheme="majorHAnsi" w:hAnsiTheme="majorHAnsi" w:cs="Calibri Light"/>
          <w:color w:val="000000" w:themeColor="text1"/>
        </w:rPr>
        <w:t>Project, 2013)</w:t>
      </w:r>
    </w:p>
    <w:p w14:paraId="6D89E3AF" w14:textId="4C1DD86A" w:rsidR="00387670" w:rsidRPr="00CA2E0F" w:rsidRDefault="00387670" w:rsidP="00A86E41">
      <w:pPr>
        <w:tabs>
          <w:tab w:val="left" w:pos="720"/>
        </w:tabs>
        <w:spacing w:after="0" w:line="240" w:lineRule="auto"/>
        <w:ind w:left="709"/>
        <w:jc w:val="both"/>
        <w:rPr>
          <w:rFonts w:asciiTheme="majorHAnsi" w:hAnsiTheme="majorHAnsi" w:cs="Calibri Light"/>
          <w:color w:val="000000" w:themeColor="text1"/>
        </w:rPr>
      </w:pPr>
      <w:r w:rsidRPr="00CA2E0F">
        <w:rPr>
          <w:rFonts w:asciiTheme="majorHAnsi" w:hAnsiTheme="majorHAnsi"/>
          <w:color w:val="000000" w:themeColor="text1"/>
        </w:rPr>
        <w:tab/>
      </w:r>
      <w:hyperlink r:id="rId19" w:history="1">
        <w:r w:rsidRPr="5E2D44C7">
          <w:rPr>
            <w:rStyle w:val="Hyperlink"/>
            <w:rFonts w:asciiTheme="majorHAnsi" w:hAnsiTheme="majorHAnsi" w:cs="Calibri Light"/>
            <w:color w:val="000000" w:themeColor="text1"/>
          </w:rPr>
          <w:t>https://www.heacademy.ac.uk/system/files/making-evidence-count-web_0.pdf</w:t>
        </w:r>
      </w:hyperlink>
    </w:p>
    <w:p w14:paraId="5F406BE6" w14:textId="68D8160F" w:rsidR="00387670" w:rsidRPr="00CA2E0F" w:rsidRDefault="36A7F709" w:rsidP="36A7F709">
      <w:pPr>
        <w:tabs>
          <w:tab w:val="left" w:pos="720"/>
        </w:tabs>
        <w:spacing w:after="0" w:line="240" w:lineRule="auto"/>
        <w:ind w:left="709"/>
        <w:jc w:val="both"/>
        <w:rPr>
          <w:rFonts w:asciiTheme="majorHAnsi" w:hAnsiTheme="majorHAnsi" w:cs="Calibri Light"/>
          <w:color w:val="000000" w:themeColor="text1"/>
        </w:rPr>
      </w:pPr>
      <w:proofErr w:type="gramStart"/>
      <w:r w:rsidRPr="36A7F709">
        <w:rPr>
          <w:rStyle w:val="Hyperlink"/>
          <w:rFonts w:asciiTheme="majorHAnsi" w:hAnsiTheme="majorHAnsi" w:cs="Calibri Light"/>
          <w:color w:val="000000" w:themeColor="text1"/>
          <w:u w:val="none"/>
        </w:rPr>
        <w:t>An evidence framework to assist HE providers to clarify evidence of teaching achievement at different academic promotion levels.</w:t>
      </w:r>
      <w:proofErr w:type="gramEnd"/>
    </w:p>
    <w:p w14:paraId="45782EF8" w14:textId="77777777" w:rsidR="00387670" w:rsidRPr="00CA2E0F" w:rsidRDefault="00387670" w:rsidP="36A7F709">
      <w:pPr>
        <w:pStyle w:val="ListParagraph"/>
        <w:tabs>
          <w:tab w:val="left" w:pos="720"/>
        </w:tabs>
        <w:spacing w:after="0" w:line="240" w:lineRule="auto"/>
        <w:ind w:left="0"/>
        <w:contextualSpacing w:val="0"/>
        <w:jc w:val="both"/>
        <w:rPr>
          <w:rFonts w:asciiTheme="majorHAnsi" w:hAnsiTheme="majorHAnsi" w:cs="Calibri Light"/>
          <w:color w:val="000000" w:themeColor="text1"/>
        </w:rPr>
      </w:pPr>
      <w:r w:rsidRPr="36A7F709">
        <w:rPr>
          <w:rFonts w:asciiTheme="majorHAnsi" w:hAnsiTheme="majorHAnsi" w:cs="Calibri Light"/>
          <w:color w:val="000000" w:themeColor="text1"/>
        </w:rPr>
        <w:t>13.</w:t>
      </w:r>
      <w:r w:rsidRPr="00CA2E0F">
        <w:rPr>
          <w:rFonts w:asciiTheme="majorHAnsi" w:hAnsiTheme="majorHAnsi" w:cs="Calibri Light"/>
          <w:color w:val="000000" w:themeColor="text1"/>
        </w:rPr>
        <w:tab/>
      </w:r>
      <w:r w:rsidRPr="36A7F709">
        <w:rPr>
          <w:rFonts w:asciiTheme="majorHAnsi" w:hAnsiTheme="majorHAnsi" w:cs="Calibri Light"/>
          <w:color w:val="000000" w:themeColor="text1"/>
        </w:rPr>
        <w:t>“</w:t>
      </w:r>
      <w:r w:rsidRPr="36A7F709">
        <w:rPr>
          <w:rFonts w:asciiTheme="majorHAnsi" w:hAnsiTheme="majorHAnsi" w:cs="Calibri Light"/>
          <w:i/>
          <w:iCs/>
          <w:color w:val="000000" w:themeColor="text1"/>
        </w:rPr>
        <w:t>What makes great teaching? – Review of the underpinning research</w:t>
      </w:r>
      <w:r w:rsidRPr="36A7F709">
        <w:rPr>
          <w:rFonts w:asciiTheme="majorHAnsi" w:hAnsiTheme="majorHAnsi" w:cs="Calibri Light"/>
          <w:color w:val="000000" w:themeColor="text1"/>
        </w:rPr>
        <w:t>”</w:t>
      </w:r>
    </w:p>
    <w:p w14:paraId="2EAEC6D2" w14:textId="77777777" w:rsidR="00387670" w:rsidRPr="00CA2E0F" w:rsidRDefault="7D19CA66" w:rsidP="7D19CA66">
      <w:pPr>
        <w:pStyle w:val="Default"/>
        <w:tabs>
          <w:tab w:val="left" w:pos="720"/>
        </w:tabs>
        <w:ind w:left="720"/>
        <w:rPr>
          <w:rFonts w:asciiTheme="majorHAnsi" w:hAnsiTheme="majorHAnsi" w:cs="Calibri Light"/>
          <w:color w:val="000000" w:themeColor="text1"/>
          <w:sz w:val="22"/>
          <w:szCs w:val="22"/>
        </w:rPr>
      </w:pPr>
      <w:r w:rsidRPr="7D19CA66">
        <w:rPr>
          <w:rFonts w:asciiTheme="majorHAnsi" w:hAnsiTheme="majorHAnsi"/>
          <w:color w:val="000000" w:themeColor="text1"/>
          <w:sz w:val="22"/>
          <w:szCs w:val="22"/>
        </w:rPr>
        <w:t xml:space="preserve">Robert Coe, Cesare </w:t>
      </w:r>
      <w:proofErr w:type="spellStart"/>
      <w:r w:rsidRPr="7D19CA66">
        <w:rPr>
          <w:rFonts w:asciiTheme="majorHAnsi" w:hAnsiTheme="majorHAnsi"/>
          <w:color w:val="000000" w:themeColor="text1"/>
          <w:sz w:val="22"/>
          <w:szCs w:val="22"/>
        </w:rPr>
        <w:t>Aloisi</w:t>
      </w:r>
      <w:proofErr w:type="spellEnd"/>
      <w:r w:rsidRPr="7D19CA66">
        <w:rPr>
          <w:rFonts w:asciiTheme="majorHAnsi" w:hAnsiTheme="majorHAnsi"/>
          <w:color w:val="000000" w:themeColor="text1"/>
          <w:sz w:val="22"/>
          <w:szCs w:val="22"/>
        </w:rPr>
        <w:t>, Steve Higgins and Lee Elliot Major, October 2014</w:t>
      </w:r>
    </w:p>
    <w:p w14:paraId="514A490B" w14:textId="1BA983D1" w:rsidR="00387670" w:rsidRPr="00CA2E0F" w:rsidRDefault="36A7F709" w:rsidP="36A7F709">
      <w:pPr>
        <w:tabs>
          <w:tab w:val="left" w:pos="720"/>
        </w:tabs>
        <w:spacing w:after="0" w:line="240" w:lineRule="auto"/>
        <w:ind w:left="720"/>
        <w:rPr>
          <w:rFonts w:asciiTheme="majorHAnsi" w:hAnsiTheme="majorHAnsi"/>
          <w:color w:val="000000" w:themeColor="text1"/>
        </w:rPr>
      </w:pPr>
      <w:r w:rsidRPr="36A7F709">
        <w:rPr>
          <w:rFonts w:asciiTheme="majorHAnsi" w:hAnsiTheme="majorHAnsi" w:cs="Calibri Light"/>
          <w:color w:val="000000" w:themeColor="text1"/>
        </w:rPr>
        <w:t xml:space="preserve">http://www.suttontrust.com/wp-content/uploads/2014/10/What-Makes-Great-Teaching-REPORT.pdf </w:t>
      </w:r>
    </w:p>
    <w:p w14:paraId="3FC1E4AF" w14:textId="50A81DFF" w:rsidR="00387670" w:rsidRPr="00CA2E0F" w:rsidRDefault="36A7F709" w:rsidP="36A7F709">
      <w:pPr>
        <w:tabs>
          <w:tab w:val="left" w:pos="720"/>
        </w:tabs>
        <w:spacing w:after="0" w:line="240" w:lineRule="auto"/>
        <w:ind w:left="720"/>
        <w:rPr>
          <w:rFonts w:asciiTheme="majorHAnsi" w:hAnsiTheme="majorHAnsi"/>
          <w:color w:val="000000" w:themeColor="text1"/>
        </w:rPr>
      </w:pPr>
      <w:r w:rsidRPr="36A7F709">
        <w:rPr>
          <w:rFonts w:asciiTheme="majorHAnsi" w:hAnsiTheme="majorHAnsi" w:cs="Calibri Light"/>
          <w:color w:val="000000" w:themeColor="text1"/>
        </w:rPr>
        <w:t>Aimed mainly at schools but seeks to define the principles that make great teaching.</w:t>
      </w:r>
      <w:bookmarkStart w:id="0" w:name="_GoBack"/>
      <w:bookmarkEnd w:id="0"/>
    </w:p>
    <w:sectPr w:rsidR="00387670" w:rsidRPr="00CA2E0F" w:rsidSect="001E3983">
      <w:pgSz w:w="11906" w:h="16838"/>
      <w:pgMar w:top="1440" w:right="1196" w:bottom="1440" w:left="1440" w:header="708" w:footer="708" w:gutter="0"/>
      <w:cols w:space="708"/>
      <w:docGrid w:linePitch="360"/>
    </w:sectPr>
  </w:body>
</w:document>
</file>

<file path=word/commentsExtended.xml><?xml version="1.0" encoding="utf-8"?>
<w15:commentsEx xmlns:mc="http://schemas.openxmlformats.org/markup-compatibility/2006" xmlns:w15="http://schemas.microsoft.com/office/word/2012/wordml" mc:Ignorable="w15">
  <w15:commentEx w15:done="0" w15:paraId="06200E33"/>
  <w15:commentEx w15:done="0" w15:paraId="5CFA71B5"/>
  <w15:commentEx w15:done="0" w15:paraId="41815138"/>
  <w15:commentEx w15:done="0" w15:paraId="0709D885"/>
  <w15:commentEx w15:done="0" w15:paraId="71426B5B"/>
  <w15:commentEx w15:done="0" w15:paraId="48D163C5"/>
  <w15:commentEx w15:done="0" w15:paraId="63FEF0F8"/>
  <w15:commentEx w15:done="0" w15:paraId="6F1D8E99"/>
  <w15:commentEx w15:done="0" w15:paraId="1DA4EBC8"/>
  <w15:commentEx w15:done="0" w15:paraId="500B2436"/>
  <w15:commentEx w15:done="0" w15:paraId="2F383A3D"/>
  <w15:commentEx w15:done="0" w15:paraId="60EE1898"/>
</w15:commentsEx>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5FB2EC7"/>
    <w:multiLevelType w:val="hybridMultilevel"/>
    <w:tmpl w:val="8E78111E"/>
    <w:lvl w:ilvl="0" w:tplc="13308FEC">
      <w:start w:val="1"/>
      <w:numFmt w:val="bullet"/>
      <w:lvlText w:val=""/>
      <w:lvlJc w:val="left"/>
      <w:pPr>
        <w:ind w:left="720" w:hanging="360"/>
      </w:pPr>
      <w:rPr>
        <w:rFonts w:ascii="Symbol" w:hAnsi="Symbol" w:hint="default"/>
      </w:rPr>
    </w:lvl>
    <w:lvl w:ilvl="1" w:tplc="DF160D18">
      <w:start w:val="1"/>
      <w:numFmt w:val="bullet"/>
      <w:lvlText w:val="o"/>
      <w:lvlJc w:val="left"/>
      <w:pPr>
        <w:ind w:left="1440" w:hanging="360"/>
      </w:pPr>
      <w:rPr>
        <w:rFonts w:ascii="Courier New" w:hAnsi="Courier New" w:hint="default"/>
      </w:rPr>
    </w:lvl>
    <w:lvl w:ilvl="2" w:tplc="A18CE06E">
      <w:start w:val="1"/>
      <w:numFmt w:val="bullet"/>
      <w:lvlText w:val=""/>
      <w:lvlJc w:val="left"/>
      <w:pPr>
        <w:ind w:left="2160" w:hanging="360"/>
      </w:pPr>
      <w:rPr>
        <w:rFonts w:ascii="Wingdings" w:hAnsi="Wingdings" w:hint="default"/>
      </w:rPr>
    </w:lvl>
    <w:lvl w:ilvl="3" w:tplc="60B0B298">
      <w:start w:val="1"/>
      <w:numFmt w:val="bullet"/>
      <w:lvlText w:val=""/>
      <w:lvlJc w:val="left"/>
      <w:pPr>
        <w:ind w:left="2880" w:hanging="360"/>
      </w:pPr>
      <w:rPr>
        <w:rFonts w:ascii="Symbol" w:hAnsi="Symbol" w:hint="default"/>
      </w:rPr>
    </w:lvl>
    <w:lvl w:ilvl="4" w:tplc="E74CF68C">
      <w:start w:val="1"/>
      <w:numFmt w:val="bullet"/>
      <w:lvlText w:val="o"/>
      <w:lvlJc w:val="left"/>
      <w:pPr>
        <w:ind w:left="3600" w:hanging="360"/>
      </w:pPr>
      <w:rPr>
        <w:rFonts w:ascii="Courier New" w:hAnsi="Courier New" w:hint="default"/>
      </w:rPr>
    </w:lvl>
    <w:lvl w:ilvl="5" w:tplc="DBC6F02C">
      <w:start w:val="1"/>
      <w:numFmt w:val="bullet"/>
      <w:lvlText w:val=""/>
      <w:lvlJc w:val="left"/>
      <w:pPr>
        <w:ind w:left="4320" w:hanging="360"/>
      </w:pPr>
      <w:rPr>
        <w:rFonts w:ascii="Wingdings" w:hAnsi="Wingdings" w:hint="default"/>
      </w:rPr>
    </w:lvl>
    <w:lvl w:ilvl="6" w:tplc="7276BA2A">
      <w:start w:val="1"/>
      <w:numFmt w:val="bullet"/>
      <w:lvlText w:val=""/>
      <w:lvlJc w:val="left"/>
      <w:pPr>
        <w:ind w:left="5040" w:hanging="360"/>
      </w:pPr>
      <w:rPr>
        <w:rFonts w:ascii="Symbol" w:hAnsi="Symbol" w:hint="default"/>
      </w:rPr>
    </w:lvl>
    <w:lvl w:ilvl="7" w:tplc="88628ECC">
      <w:start w:val="1"/>
      <w:numFmt w:val="bullet"/>
      <w:lvlText w:val="o"/>
      <w:lvlJc w:val="left"/>
      <w:pPr>
        <w:ind w:left="5760" w:hanging="360"/>
      </w:pPr>
      <w:rPr>
        <w:rFonts w:ascii="Courier New" w:hAnsi="Courier New" w:hint="default"/>
      </w:rPr>
    </w:lvl>
    <w:lvl w:ilvl="8" w:tplc="C4FA4544">
      <w:start w:val="1"/>
      <w:numFmt w:val="bullet"/>
      <w:lvlText w:val=""/>
      <w:lvlJc w:val="left"/>
      <w:pPr>
        <w:ind w:left="6480" w:hanging="360"/>
      </w:pPr>
      <w:rPr>
        <w:rFonts w:ascii="Wingdings" w:hAnsi="Wingdings" w:hint="default"/>
      </w:rPr>
    </w:lvl>
  </w:abstractNum>
  <w:abstractNum w:abstractNumId="1">
    <w:nsid w:val="17054C24"/>
    <w:multiLevelType w:val="multilevel"/>
    <w:tmpl w:val="6FA45F2A"/>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1C0D63AB"/>
    <w:multiLevelType w:val="hybridMultilevel"/>
    <w:tmpl w:val="E76A62B4"/>
    <w:lvl w:ilvl="0" w:tplc="EC06569A">
      <w:start w:val="1"/>
      <w:numFmt w:val="bullet"/>
      <w:lvlText w:val=""/>
      <w:lvlJc w:val="left"/>
      <w:pPr>
        <w:ind w:left="720" w:hanging="360"/>
      </w:pPr>
      <w:rPr>
        <w:rFonts w:ascii="Symbol" w:hAnsi="Symbol" w:hint="default"/>
      </w:rPr>
    </w:lvl>
    <w:lvl w:ilvl="1" w:tplc="A4921C90">
      <w:start w:val="1"/>
      <w:numFmt w:val="bullet"/>
      <w:lvlText w:val="o"/>
      <w:lvlJc w:val="left"/>
      <w:pPr>
        <w:ind w:left="1440" w:hanging="360"/>
      </w:pPr>
      <w:rPr>
        <w:rFonts w:ascii="Courier New" w:hAnsi="Courier New" w:hint="default"/>
      </w:rPr>
    </w:lvl>
    <w:lvl w:ilvl="2" w:tplc="192039C8">
      <w:start w:val="1"/>
      <w:numFmt w:val="bullet"/>
      <w:lvlText w:val=""/>
      <w:lvlJc w:val="left"/>
      <w:pPr>
        <w:ind w:left="2160" w:hanging="360"/>
      </w:pPr>
      <w:rPr>
        <w:rFonts w:ascii="Wingdings" w:hAnsi="Wingdings" w:hint="default"/>
      </w:rPr>
    </w:lvl>
    <w:lvl w:ilvl="3" w:tplc="2EB66C94">
      <w:start w:val="1"/>
      <w:numFmt w:val="bullet"/>
      <w:lvlText w:val=""/>
      <w:lvlJc w:val="left"/>
      <w:pPr>
        <w:ind w:left="2880" w:hanging="360"/>
      </w:pPr>
      <w:rPr>
        <w:rFonts w:ascii="Symbol" w:hAnsi="Symbol" w:hint="default"/>
      </w:rPr>
    </w:lvl>
    <w:lvl w:ilvl="4" w:tplc="CDF600C2">
      <w:start w:val="1"/>
      <w:numFmt w:val="bullet"/>
      <w:lvlText w:val="o"/>
      <w:lvlJc w:val="left"/>
      <w:pPr>
        <w:ind w:left="3600" w:hanging="360"/>
      </w:pPr>
      <w:rPr>
        <w:rFonts w:ascii="Courier New" w:hAnsi="Courier New" w:hint="default"/>
      </w:rPr>
    </w:lvl>
    <w:lvl w:ilvl="5" w:tplc="8BA8582A">
      <w:start w:val="1"/>
      <w:numFmt w:val="bullet"/>
      <w:lvlText w:val=""/>
      <w:lvlJc w:val="left"/>
      <w:pPr>
        <w:ind w:left="4320" w:hanging="360"/>
      </w:pPr>
      <w:rPr>
        <w:rFonts w:ascii="Wingdings" w:hAnsi="Wingdings" w:hint="default"/>
      </w:rPr>
    </w:lvl>
    <w:lvl w:ilvl="6" w:tplc="A476C4B2">
      <w:start w:val="1"/>
      <w:numFmt w:val="bullet"/>
      <w:lvlText w:val=""/>
      <w:lvlJc w:val="left"/>
      <w:pPr>
        <w:ind w:left="5040" w:hanging="360"/>
      </w:pPr>
      <w:rPr>
        <w:rFonts w:ascii="Symbol" w:hAnsi="Symbol" w:hint="default"/>
      </w:rPr>
    </w:lvl>
    <w:lvl w:ilvl="7" w:tplc="7DCEABC2">
      <w:start w:val="1"/>
      <w:numFmt w:val="bullet"/>
      <w:lvlText w:val="o"/>
      <w:lvlJc w:val="left"/>
      <w:pPr>
        <w:ind w:left="5760" w:hanging="360"/>
      </w:pPr>
      <w:rPr>
        <w:rFonts w:ascii="Courier New" w:hAnsi="Courier New" w:hint="default"/>
      </w:rPr>
    </w:lvl>
    <w:lvl w:ilvl="8" w:tplc="AEE88A30">
      <w:start w:val="1"/>
      <w:numFmt w:val="bullet"/>
      <w:lvlText w:val=""/>
      <w:lvlJc w:val="left"/>
      <w:pPr>
        <w:ind w:left="6480" w:hanging="360"/>
      </w:pPr>
      <w:rPr>
        <w:rFonts w:ascii="Wingdings" w:hAnsi="Wingdings" w:hint="default"/>
      </w:rPr>
    </w:lvl>
  </w:abstractNum>
  <w:abstractNum w:abstractNumId="3">
    <w:nsid w:val="1EDE6F03"/>
    <w:multiLevelType w:val="hybridMultilevel"/>
    <w:tmpl w:val="3CB2FA2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nsid w:val="1F6A5BBF"/>
    <w:multiLevelType w:val="hybridMultilevel"/>
    <w:tmpl w:val="E904D442"/>
    <w:lvl w:ilvl="0" w:tplc="08090001">
      <w:start w:val="1"/>
      <w:numFmt w:val="bullet"/>
      <w:lvlText w:val=""/>
      <w:lvlJc w:val="left"/>
      <w:pPr>
        <w:ind w:left="720" w:hanging="360"/>
      </w:pPr>
      <w:rPr>
        <w:rFonts w:ascii="Symbol" w:hAnsi="Symbol" w:hint="default"/>
      </w:rPr>
    </w:lvl>
    <w:lvl w:ilvl="1" w:tplc="08090001">
      <w:start w:val="1"/>
      <w:numFmt w:val="bullet"/>
      <w:lvlText w:val=""/>
      <w:lvlJc w:val="left"/>
      <w:pPr>
        <w:ind w:left="1440" w:hanging="360"/>
      </w:pPr>
      <w:rPr>
        <w:rFonts w:ascii="Symbol" w:hAnsi="Symbo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nsid w:val="2DB5335F"/>
    <w:multiLevelType w:val="hybridMultilevel"/>
    <w:tmpl w:val="070E04E4"/>
    <w:lvl w:ilvl="0" w:tplc="D96A54E8">
      <w:start w:val="1"/>
      <w:numFmt w:val="bullet"/>
      <w:lvlText w:val=""/>
      <w:lvlJc w:val="left"/>
      <w:pPr>
        <w:ind w:left="720" w:hanging="360"/>
      </w:pPr>
      <w:rPr>
        <w:rFonts w:ascii="Symbol" w:hAnsi="Symbol" w:hint="default"/>
      </w:rPr>
    </w:lvl>
    <w:lvl w:ilvl="1" w:tplc="BD1EAF0E">
      <w:start w:val="1"/>
      <w:numFmt w:val="bullet"/>
      <w:lvlText w:val="o"/>
      <w:lvlJc w:val="left"/>
      <w:pPr>
        <w:ind w:left="1440" w:hanging="360"/>
      </w:pPr>
      <w:rPr>
        <w:rFonts w:ascii="Courier New" w:hAnsi="Courier New" w:hint="default"/>
      </w:rPr>
    </w:lvl>
    <w:lvl w:ilvl="2" w:tplc="58DEB53C">
      <w:start w:val="1"/>
      <w:numFmt w:val="bullet"/>
      <w:lvlText w:val=""/>
      <w:lvlJc w:val="left"/>
      <w:pPr>
        <w:ind w:left="2160" w:hanging="360"/>
      </w:pPr>
      <w:rPr>
        <w:rFonts w:ascii="Wingdings" w:hAnsi="Wingdings" w:hint="default"/>
      </w:rPr>
    </w:lvl>
    <w:lvl w:ilvl="3" w:tplc="30269F9E">
      <w:start w:val="1"/>
      <w:numFmt w:val="bullet"/>
      <w:lvlText w:val=""/>
      <w:lvlJc w:val="left"/>
      <w:pPr>
        <w:ind w:left="2880" w:hanging="360"/>
      </w:pPr>
      <w:rPr>
        <w:rFonts w:ascii="Symbol" w:hAnsi="Symbol" w:hint="default"/>
      </w:rPr>
    </w:lvl>
    <w:lvl w:ilvl="4" w:tplc="F7227D84">
      <w:start w:val="1"/>
      <w:numFmt w:val="bullet"/>
      <w:lvlText w:val="o"/>
      <w:lvlJc w:val="left"/>
      <w:pPr>
        <w:ind w:left="3600" w:hanging="360"/>
      </w:pPr>
      <w:rPr>
        <w:rFonts w:ascii="Courier New" w:hAnsi="Courier New" w:hint="default"/>
      </w:rPr>
    </w:lvl>
    <w:lvl w:ilvl="5" w:tplc="A0EACAD2">
      <w:start w:val="1"/>
      <w:numFmt w:val="bullet"/>
      <w:lvlText w:val=""/>
      <w:lvlJc w:val="left"/>
      <w:pPr>
        <w:ind w:left="4320" w:hanging="360"/>
      </w:pPr>
      <w:rPr>
        <w:rFonts w:ascii="Wingdings" w:hAnsi="Wingdings" w:hint="default"/>
      </w:rPr>
    </w:lvl>
    <w:lvl w:ilvl="6" w:tplc="687E2336">
      <w:start w:val="1"/>
      <w:numFmt w:val="bullet"/>
      <w:lvlText w:val=""/>
      <w:lvlJc w:val="left"/>
      <w:pPr>
        <w:ind w:left="5040" w:hanging="360"/>
      </w:pPr>
      <w:rPr>
        <w:rFonts w:ascii="Symbol" w:hAnsi="Symbol" w:hint="default"/>
      </w:rPr>
    </w:lvl>
    <w:lvl w:ilvl="7" w:tplc="1BA614D8">
      <w:start w:val="1"/>
      <w:numFmt w:val="bullet"/>
      <w:lvlText w:val="o"/>
      <w:lvlJc w:val="left"/>
      <w:pPr>
        <w:ind w:left="5760" w:hanging="360"/>
      </w:pPr>
      <w:rPr>
        <w:rFonts w:ascii="Courier New" w:hAnsi="Courier New" w:hint="default"/>
      </w:rPr>
    </w:lvl>
    <w:lvl w:ilvl="8" w:tplc="12105BB0">
      <w:start w:val="1"/>
      <w:numFmt w:val="bullet"/>
      <w:lvlText w:val=""/>
      <w:lvlJc w:val="left"/>
      <w:pPr>
        <w:ind w:left="6480" w:hanging="360"/>
      </w:pPr>
      <w:rPr>
        <w:rFonts w:ascii="Wingdings" w:hAnsi="Wingdings" w:hint="default"/>
      </w:rPr>
    </w:lvl>
  </w:abstractNum>
  <w:abstractNum w:abstractNumId="6">
    <w:nsid w:val="3B4A5212"/>
    <w:multiLevelType w:val="hybridMultilevel"/>
    <w:tmpl w:val="A58A2DD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nsid w:val="3C320F2E"/>
    <w:multiLevelType w:val="hybridMultilevel"/>
    <w:tmpl w:val="F4CE4ACC"/>
    <w:lvl w:ilvl="0" w:tplc="F000D626">
      <w:start w:val="1"/>
      <w:numFmt w:val="bullet"/>
      <w:lvlText w:val=""/>
      <w:lvlJc w:val="left"/>
      <w:pPr>
        <w:ind w:left="720" w:hanging="360"/>
      </w:pPr>
      <w:rPr>
        <w:rFonts w:ascii="Symbol" w:hAnsi="Symbol" w:hint="default"/>
      </w:rPr>
    </w:lvl>
    <w:lvl w:ilvl="1" w:tplc="F49EF9FA">
      <w:start w:val="1"/>
      <w:numFmt w:val="bullet"/>
      <w:lvlText w:val="o"/>
      <w:lvlJc w:val="left"/>
      <w:pPr>
        <w:ind w:left="1440" w:hanging="360"/>
      </w:pPr>
      <w:rPr>
        <w:rFonts w:ascii="Courier New" w:hAnsi="Courier New" w:hint="default"/>
      </w:rPr>
    </w:lvl>
    <w:lvl w:ilvl="2" w:tplc="9F5AD826">
      <w:start w:val="1"/>
      <w:numFmt w:val="bullet"/>
      <w:lvlText w:val=""/>
      <w:lvlJc w:val="left"/>
      <w:pPr>
        <w:ind w:left="2160" w:hanging="360"/>
      </w:pPr>
      <w:rPr>
        <w:rFonts w:ascii="Wingdings" w:hAnsi="Wingdings" w:hint="default"/>
      </w:rPr>
    </w:lvl>
    <w:lvl w:ilvl="3" w:tplc="D67E1A2A">
      <w:start w:val="1"/>
      <w:numFmt w:val="bullet"/>
      <w:lvlText w:val=""/>
      <w:lvlJc w:val="left"/>
      <w:pPr>
        <w:ind w:left="2880" w:hanging="360"/>
      </w:pPr>
      <w:rPr>
        <w:rFonts w:ascii="Symbol" w:hAnsi="Symbol" w:hint="default"/>
      </w:rPr>
    </w:lvl>
    <w:lvl w:ilvl="4" w:tplc="0BDC3786">
      <w:start w:val="1"/>
      <w:numFmt w:val="bullet"/>
      <w:lvlText w:val="o"/>
      <w:lvlJc w:val="left"/>
      <w:pPr>
        <w:ind w:left="3600" w:hanging="360"/>
      </w:pPr>
      <w:rPr>
        <w:rFonts w:ascii="Courier New" w:hAnsi="Courier New" w:hint="default"/>
      </w:rPr>
    </w:lvl>
    <w:lvl w:ilvl="5" w:tplc="9E687F16">
      <w:start w:val="1"/>
      <w:numFmt w:val="bullet"/>
      <w:lvlText w:val=""/>
      <w:lvlJc w:val="left"/>
      <w:pPr>
        <w:ind w:left="4320" w:hanging="360"/>
      </w:pPr>
      <w:rPr>
        <w:rFonts w:ascii="Wingdings" w:hAnsi="Wingdings" w:hint="default"/>
      </w:rPr>
    </w:lvl>
    <w:lvl w:ilvl="6" w:tplc="1332D2E8">
      <w:start w:val="1"/>
      <w:numFmt w:val="bullet"/>
      <w:lvlText w:val=""/>
      <w:lvlJc w:val="left"/>
      <w:pPr>
        <w:ind w:left="5040" w:hanging="360"/>
      </w:pPr>
      <w:rPr>
        <w:rFonts w:ascii="Symbol" w:hAnsi="Symbol" w:hint="default"/>
      </w:rPr>
    </w:lvl>
    <w:lvl w:ilvl="7" w:tplc="8A207A6E">
      <w:start w:val="1"/>
      <w:numFmt w:val="bullet"/>
      <w:lvlText w:val="o"/>
      <w:lvlJc w:val="left"/>
      <w:pPr>
        <w:ind w:left="5760" w:hanging="360"/>
      </w:pPr>
      <w:rPr>
        <w:rFonts w:ascii="Courier New" w:hAnsi="Courier New" w:hint="default"/>
      </w:rPr>
    </w:lvl>
    <w:lvl w:ilvl="8" w:tplc="73761648">
      <w:start w:val="1"/>
      <w:numFmt w:val="bullet"/>
      <w:lvlText w:val=""/>
      <w:lvlJc w:val="left"/>
      <w:pPr>
        <w:ind w:left="6480" w:hanging="360"/>
      </w:pPr>
      <w:rPr>
        <w:rFonts w:ascii="Wingdings" w:hAnsi="Wingdings" w:hint="default"/>
      </w:rPr>
    </w:lvl>
  </w:abstractNum>
  <w:abstractNum w:abstractNumId="8">
    <w:nsid w:val="407D2E1D"/>
    <w:multiLevelType w:val="hybridMultilevel"/>
    <w:tmpl w:val="B4E2EC4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nsid w:val="42311728"/>
    <w:multiLevelType w:val="multilevel"/>
    <w:tmpl w:val="FC387F0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nsid w:val="43240407"/>
    <w:multiLevelType w:val="hybridMultilevel"/>
    <w:tmpl w:val="3AEAA120"/>
    <w:lvl w:ilvl="0" w:tplc="08090001">
      <w:start w:val="1"/>
      <w:numFmt w:val="bullet"/>
      <w:lvlText w:val=""/>
      <w:lvlJc w:val="left"/>
      <w:pPr>
        <w:ind w:left="720" w:hanging="360"/>
      </w:pPr>
      <w:rPr>
        <w:rFonts w:ascii="Symbol" w:hAnsi="Symbol" w:hint="default"/>
      </w:rPr>
    </w:lvl>
    <w:lvl w:ilvl="1" w:tplc="08090001">
      <w:start w:val="1"/>
      <w:numFmt w:val="bullet"/>
      <w:lvlText w:val=""/>
      <w:lvlJc w:val="left"/>
      <w:pPr>
        <w:ind w:left="1440" w:hanging="360"/>
      </w:pPr>
      <w:rPr>
        <w:rFonts w:ascii="Symbol" w:hAnsi="Symbo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nsid w:val="458261EB"/>
    <w:multiLevelType w:val="hybridMultilevel"/>
    <w:tmpl w:val="66A8D920"/>
    <w:lvl w:ilvl="0" w:tplc="4D98405E">
      <w:start w:val="1"/>
      <w:numFmt w:val="bullet"/>
      <w:lvlText w:val=""/>
      <w:lvlJc w:val="left"/>
      <w:pPr>
        <w:ind w:left="720" w:hanging="360"/>
      </w:pPr>
      <w:rPr>
        <w:rFonts w:ascii="Symbol" w:hAnsi="Symbol" w:hint="default"/>
      </w:rPr>
    </w:lvl>
    <w:lvl w:ilvl="1" w:tplc="A384B03E">
      <w:start w:val="1"/>
      <w:numFmt w:val="bullet"/>
      <w:lvlText w:val="o"/>
      <w:lvlJc w:val="left"/>
      <w:pPr>
        <w:ind w:left="1440" w:hanging="360"/>
      </w:pPr>
      <w:rPr>
        <w:rFonts w:ascii="Courier New" w:hAnsi="Courier New" w:hint="default"/>
      </w:rPr>
    </w:lvl>
    <w:lvl w:ilvl="2" w:tplc="B9B29C16">
      <w:start w:val="1"/>
      <w:numFmt w:val="bullet"/>
      <w:lvlText w:val=""/>
      <w:lvlJc w:val="left"/>
      <w:pPr>
        <w:ind w:left="2160" w:hanging="360"/>
      </w:pPr>
      <w:rPr>
        <w:rFonts w:ascii="Wingdings" w:hAnsi="Wingdings" w:hint="default"/>
      </w:rPr>
    </w:lvl>
    <w:lvl w:ilvl="3" w:tplc="900EFD44">
      <w:start w:val="1"/>
      <w:numFmt w:val="bullet"/>
      <w:lvlText w:val=""/>
      <w:lvlJc w:val="left"/>
      <w:pPr>
        <w:ind w:left="2880" w:hanging="360"/>
      </w:pPr>
      <w:rPr>
        <w:rFonts w:ascii="Symbol" w:hAnsi="Symbol" w:hint="default"/>
      </w:rPr>
    </w:lvl>
    <w:lvl w:ilvl="4" w:tplc="DEF63C68">
      <w:start w:val="1"/>
      <w:numFmt w:val="bullet"/>
      <w:lvlText w:val="o"/>
      <w:lvlJc w:val="left"/>
      <w:pPr>
        <w:ind w:left="3600" w:hanging="360"/>
      </w:pPr>
      <w:rPr>
        <w:rFonts w:ascii="Courier New" w:hAnsi="Courier New" w:hint="default"/>
      </w:rPr>
    </w:lvl>
    <w:lvl w:ilvl="5" w:tplc="DD3E0C78">
      <w:start w:val="1"/>
      <w:numFmt w:val="bullet"/>
      <w:lvlText w:val=""/>
      <w:lvlJc w:val="left"/>
      <w:pPr>
        <w:ind w:left="4320" w:hanging="360"/>
      </w:pPr>
      <w:rPr>
        <w:rFonts w:ascii="Wingdings" w:hAnsi="Wingdings" w:hint="default"/>
      </w:rPr>
    </w:lvl>
    <w:lvl w:ilvl="6" w:tplc="C52248F6">
      <w:start w:val="1"/>
      <w:numFmt w:val="bullet"/>
      <w:lvlText w:val=""/>
      <w:lvlJc w:val="left"/>
      <w:pPr>
        <w:ind w:left="5040" w:hanging="360"/>
      </w:pPr>
      <w:rPr>
        <w:rFonts w:ascii="Symbol" w:hAnsi="Symbol" w:hint="default"/>
      </w:rPr>
    </w:lvl>
    <w:lvl w:ilvl="7" w:tplc="8E0E49EE">
      <w:start w:val="1"/>
      <w:numFmt w:val="bullet"/>
      <w:lvlText w:val="o"/>
      <w:lvlJc w:val="left"/>
      <w:pPr>
        <w:ind w:left="5760" w:hanging="360"/>
      </w:pPr>
      <w:rPr>
        <w:rFonts w:ascii="Courier New" w:hAnsi="Courier New" w:hint="default"/>
      </w:rPr>
    </w:lvl>
    <w:lvl w:ilvl="8" w:tplc="B9F43F3C">
      <w:start w:val="1"/>
      <w:numFmt w:val="bullet"/>
      <w:lvlText w:val=""/>
      <w:lvlJc w:val="left"/>
      <w:pPr>
        <w:ind w:left="6480" w:hanging="360"/>
      </w:pPr>
      <w:rPr>
        <w:rFonts w:ascii="Wingdings" w:hAnsi="Wingdings" w:hint="default"/>
      </w:rPr>
    </w:lvl>
  </w:abstractNum>
  <w:abstractNum w:abstractNumId="12">
    <w:nsid w:val="6041737B"/>
    <w:multiLevelType w:val="hybridMultilevel"/>
    <w:tmpl w:val="17CC4118"/>
    <w:lvl w:ilvl="0" w:tplc="89C61AA2">
      <w:start w:val="1"/>
      <w:numFmt w:val="bullet"/>
      <w:lvlText w:val=""/>
      <w:lvlJc w:val="left"/>
      <w:pPr>
        <w:ind w:left="720" w:hanging="360"/>
      </w:pPr>
      <w:rPr>
        <w:rFonts w:ascii="Symbol" w:hAnsi="Symbol" w:hint="default"/>
      </w:rPr>
    </w:lvl>
    <w:lvl w:ilvl="1" w:tplc="2274FDDE">
      <w:start w:val="1"/>
      <w:numFmt w:val="bullet"/>
      <w:lvlText w:val="o"/>
      <w:lvlJc w:val="left"/>
      <w:pPr>
        <w:ind w:left="1440" w:hanging="360"/>
      </w:pPr>
      <w:rPr>
        <w:rFonts w:ascii="Courier New" w:hAnsi="Courier New" w:hint="default"/>
      </w:rPr>
    </w:lvl>
    <w:lvl w:ilvl="2" w:tplc="D4242988">
      <w:start w:val="1"/>
      <w:numFmt w:val="bullet"/>
      <w:lvlText w:val=""/>
      <w:lvlJc w:val="left"/>
      <w:pPr>
        <w:ind w:left="2160" w:hanging="360"/>
      </w:pPr>
      <w:rPr>
        <w:rFonts w:ascii="Wingdings" w:hAnsi="Wingdings" w:hint="default"/>
      </w:rPr>
    </w:lvl>
    <w:lvl w:ilvl="3" w:tplc="C5F6E28E">
      <w:start w:val="1"/>
      <w:numFmt w:val="bullet"/>
      <w:lvlText w:val=""/>
      <w:lvlJc w:val="left"/>
      <w:pPr>
        <w:ind w:left="2880" w:hanging="360"/>
      </w:pPr>
      <w:rPr>
        <w:rFonts w:ascii="Symbol" w:hAnsi="Symbol" w:hint="default"/>
      </w:rPr>
    </w:lvl>
    <w:lvl w:ilvl="4" w:tplc="0D4ED79A">
      <w:start w:val="1"/>
      <w:numFmt w:val="bullet"/>
      <w:lvlText w:val="o"/>
      <w:lvlJc w:val="left"/>
      <w:pPr>
        <w:ind w:left="3600" w:hanging="360"/>
      </w:pPr>
      <w:rPr>
        <w:rFonts w:ascii="Courier New" w:hAnsi="Courier New" w:hint="default"/>
      </w:rPr>
    </w:lvl>
    <w:lvl w:ilvl="5" w:tplc="CDC0C77A">
      <w:start w:val="1"/>
      <w:numFmt w:val="bullet"/>
      <w:lvlText w:val=""/>
      <w:lvlJc w:val="left"/>
      <w:pPr>
        <w:ind w:left="4320" w:hanging="360"/>
      </w:pPr>
      <w:rPr>
        <w:rFonts w:ascii="Wingdings" w:hAnsi="Wingdings" w:hint="default"/>
      </w:rPr>
    </w:lvl>
    <w:lvl w:ilvl="6" w:tplc="436E6852">
      <w:start w:val="1"/>
      <w:numFmt w:val="bullet"/>
      <w:lvlText w:val=""/>
      <w:lvlJc w:val="left"/>
      <w:pPr>
        <w:ind w:left="5040" w:hanging="360"/>
      </w:pPr>
      <w:rPr>
        <w:rFonts w:ascii="Symbol" w:hAnsi="Symbol" w:hint="default"/>
      </w:rPr>
    </w:lvl>
    <w:lvl w:ilvl="7" w:tplc="7F984A6C">
      <w:start w:val="1"/>
      <w:numFmt w:val="bullet"/>
      <w:lvlText w:val="o"/>
      <w:lvlJc w:val="left"/>
      <w:pPr>
        <w:ind w:left="5760" w:hanging="360"/>
      </w:pPr>
      <w:rPr>
        <w:rFonts w:ascii="Courier New" w:hAnsi="Courier New" w:hint="default"/>
      </w:rPr>
    </w:lvl>
    <w:lvl w:ilvl="8" w:tplc="A2F0608A">
      <w:start w:val="1"/>
      <w:numFmt w:val="bullet"/>
      <w:lvlText w:val=""/>
      <w:lvlJc w:val="left"/>
      <w:pPr>
        <w:ind w:left="6480" w:hanging="360"/>
      </w:pPr>
      <w:rPr>
        <w:rFonts w:ascii="Wingdings" w:hAnsi="Wingdings" w:hint="default"/>
      </w:rPr>
    </w:lvl>
  </w:abstractNum>
  <w:abstractNum w:abstractNumId="13">
    <w:nsid w:val="67C118C7"/>
    <w:multiLevelType w:val="hybridMultilevel"/>
    <w:tmpl w:val="8D0C7766"/>
    <w:lvl w:ilvl="0" w:tplc="FFFCEF90">
      <w:start w:val="1"/>
      <w:numFmt w:val="bullet"/>
      <w:lvlText w:val=""/>
      <w:lvlJc w:val="left"/>
      <w:pPr>
        <w:ind w:left="720" w:hanging="360"/>
      </w:pPr>
      <w:rPr>
        <w:rFonts w:ascii="Symbol" w:hAnsi="Symbol" w:hint="default"/>
      </w:rPr>
    </w:lvl>
    <w:lvl w:ilvl="1" w:tplc="279C1954">
      <w:start w:val="1"/>
      <w:numFmt w:val="bullet"/>
      <w:lvlText w:val="o"/>
      <w:lvlJc w:val="left"/>
      <w:pPr>
        <w:ind w:left="1440" w:hanging="360"/>
      </w:pPr>
      <w:rPr>
        <w:rFonts w:ascii="Courier New" w:hAnsi="Courier New" w:hint="default"/>
      </w:rPr>
    </w:lvl>
    <w:lvl w:ilvl="2" w:tplc="2F484410">
      <w:start w:val="1"/>
      <w:numFmt w:val="bullet"/>
      <w:lvlText w:val=""/>
      <w:lvlJc w:val="left"/>
      <w:pPr>
        <w:ind w:left="2160" w:hanging="360"/>
      </w:pPr>
      <w:rPr>
        <w:rFonts w:ascii="Wingdings" w:hAnsi="Wingdings" w:hint="default"/>
      </w:rPr>
    </w:lvl>
    <w:lvl w:ilvl="3" w:tplc="9E327EB0">
      <w:start w:val="1"/>
      <w:numFmt w:val="bullet"/>
      <w:lvlText w:val=""/>
      <w:lvlJc w:val="left"/>
      <w:pPr>
        <w:ind w:left="2880" w:hanging="360"/>
      </w:pPr>
      <w:rPr>
        <w:rFonts w:ascii="Symbol" w:hAnsi="Symbol" w:hint="default"/>
      </w:rPr>
    </w:lvl>
    <w:lvl w:ilvl="4" w:tplc="BC5EE51E">
      <w:start w:val="1"/>
      <w:numFmt w:val="bullet"/>
      <w:lvlText w:val="o"/>
      <w:lvlJc w:val="left"/>
      <w:pPr>
        <w:ind w:left="3600" w:hanging="360"/>
      </w:pPr>
      <w:rPr>
        <w:rFonts w:ascii="Courier New" w:hAnsi="Courier New" w:hint="default"/>
      </w:rPr>
    </w:lvl>
    <w:lvl w:ilvl="5" w:tplc="580672A2">
      <w:start w:val="1"/>
      <w:numFmt w:val="bullet"/>
      <w:lvlText w:val=""/>
      <w:lvlJc w:val="left"/>
      <w:pPr>
        <w:ind w:left="4320" w:hanging="360"/>
      </w:pPr>
      <w:rPr>
        <w:rFonts w:ascii="Wingdings" w:hAnsi="Wingdings" w:hint="default"/>
      </w:rPr>
    </w:lvl>
    <w:lvl w:ilvl="6" w:tplc="0A8636FA">
      <w:start w:val="1"/>
      <w:numFmt w:val="bullet"/>
      <w:lvlText w:val=""/>
      <w:lvlJc w:val="left"/>
      <w:pPr>
        <w:ind w:left="5040" w:hanging="360"/>
      </w:pPr>
      <w:rPr>
        <w:rFonts w:ascii="Symbol" w:hAnsi="Symbol" w:hint="default"/>
      </w:rPr>
    </w:lvl>
    <w:lvl w:ilvl="7" w:tplc="A03C8700">
      <w:start w:val="1"/>
      <w:numFmt w:val="bullet"/>
      <w:lvlText w:val="o"/>
      <w:lvlJc w:val="left"/>
      <w:pPr>
        <w:ind w:left="5760" w:hanging="360"/>
      </w:pPr>
      <w:rPr>
        <w:rFonts w:ascii="Courier New" w:hAnsi="Courier New" w:hint="default"/>
      </w:rPr>
    </w:lvl>
    <w:lvl w:ilvl="8" w:tplc="8B78E6BC">
      <w:start w:val="1"/>
      <w:numFmt w:val="bullet"/>
      <w:lvlText w:val=""/>
      <w:lvlJc w:val="left"/>
      <w:pPr>
        <w:ind w:left="6480" w:hanging="360"/>
      </w:pPr>
      <w:rPr>
        <w:rFonts w:ascii="Wingdings" w:hAnsi="Wingdings" w:hint="default"/>
      </w:rPr>
    </w:lvl>
  </w:abstractNum>
  <w:abstractNum w:abstractNumId="14">
    <w:nsid w:val="6B64318B"/>
    <w:multiLevelType w:val="hybridMultilevel"/>
    <w:tmpl w:val="97D8E25A"/>
    <w:lvl w:ilvl="0" w:tplc="40E26B76">
      <w:start w:val="1"/>
      <w:numFmt w:val="bullet"/>
      <w:lvlText w:val=""/>
      <w:lvlJc w:val="left"/>
      <w:pPr>
        <w:ind w:left="720" w:hanging="360"/>
      </w:pPr>
      <w:rPr>
        <w:rFonts w:ascii="Symbol" w:hAnsi="Symbol" w:hint="default"/>
      </w:rPr>
    </w:lvl>
    <w:lvl w:ilvl="1" w:tplc="25D23C0C">
      <w:start w:val="1"/>
      <w:numFmt w:val="bullet"/>
      <w:lvlText w:val="o"/>
      <w:lvlJc w:val="left"/>
      <w:pPr>
        <w:ind w:left="1440" w:hanging="360"/>
      </w:pPr>
      <w:rPr>
        <w:rFonts w:ascii="Courier New" w:hAnsi="Courier New" w:hint="default"/>
      </w:rPr>
    </w:lvl>
    <w:lvl w:ilvl="2" w:tplc="08249F22">
      <w:start w:val="1"/>
      <w:numFmt w:val="bullet"/>
      <w:lvlText w:val=""/>
      <w:lvlJc w:val="left"/>
      <w:pPr>
        <w:ind w:left="2160" w:hanging="360"/>
      </w:pPr>
      <w:rPr>
        <w:rFonts w:ascii="Wingdings" w:hAnsi="Wingdings" w:hint="default"/>
      </w:rPr>
    </w:lvl>
    <w:lvl w:ilvl="3" w:tplc="8B164EFC">
      <w:start w:val="1"/>
      <w:numFmt w:val="bullet"/>
      <w:lvlText w:val=""/>
      <w:lvlJc w:val="left"/>
      <w:pPr>
        <w:ind w:left="2880" w:hanging="360"/>
      </w:pPr>
      <w:rPr>
        <w:rFonts w:ascii="Symbol" w:hAnsi="Symbol" w:hint="default"/>
      </w:rPr>
    </w:lvl>
    <w:lvl w:ilvl="4" w:tplc="ACD26B1A">
      <w:start w:val="1"/>
      <w:numFmt w:val="bullet"/>
      <w:lvlText w:val="o"/>
      <w:lvlJc w:val="left"/>
      <w:pPr>
        <w:ind w:left="3600" w:hanging="360"/>
      </w:pPr>
      <w:rPr>
        <w:rFonts w:ascii="Courier New" w:hAnsi="Courier New" w:hint="default"/>
      </w:rPr>
    </w:lvl>
    <w:lvl w:ilvl="5" w:tplc="4C049A6C">
      <w:start w:val="1"/>
      <w:numFmt w:val="bullet"/>
      <w:lvlText w:val=""/>
      <w:lvlJc w:val="left"/>
      <w:pPr>
        <w:ind w:left="4320" w:hanging="360"/>
      </w:pPr>
      <w:rPr>
        <w:rFonts w:ascii="Wingdings" w:hAnsi="Wingdings" w:hint="default"/>
      </w:rPr>
    </w:lvl>
    <w:lvl w:ilvl="6" w:tplc="9134FFB2">
      <w:start w:val="1"/>
      <w:numFmt w:val="bullet"/>
      <w:lvlText w:val=""/>
      <w:lvlJc w:val="left"/>
      <w:pPr>
        <w:ind w:left="5040" w:hanging="360"/>
      </w:pPr>
      <w:rPr>
        <w:rFonts w:ascii="Symbol" w:hAnsi="Symbol" w:hint="default"/>
      </w:rPr>
    </w:lvl>
    <w:lvl w:ilvl="7" w:tplc="1B8E75AC">
      <w:start w:val="1"/>
      <w:numFmt w:val="bullet"/>
      <w:lvlText w:val="o"/>
      <w:lvlJc w:val="left"/>
      <w:pPr>
        <w:ind w:left="5760" w:hanging="360"/>
      </w:pPr>
      <w:rPr>
        <w:rFonts w:ascii="Courier New" w:hAnsi="Courier New" w:hint="default"/>
      </w:rPr>
    </w:lvl>
    <w:lvl w:ilvl="8" w:tplc="A85C80AA">
      <w:start w:val="1"/>
      <w:numFmt w:val="bullet"/>
      <w:lvlText w:val=""/>
      <w:lvlJc w:val="left"/>
      <w:pPr>
        <w:ind w:left="6480" w:hanging="360"/>
      </w:pPr>
      <w:rPr>
        <w:rFonts w:ascii="Wingdings" w:hAnsi="Wingdings" w:hint="default"/>
      </w:rPr>
    </w:lvl>
  </w:abstractNum>
  <w:abstractNum w:abstractNumId="15">
    <w:nsid w:val="731A6ED8"/>
    <w:multiLevelType w:val="hybridMultilevel"/>
    <w:tmpl w:val="40DED48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nsid w:val="7E8218A6"/>
    <w:multiLevelType w:val="hybridMultilevel"/>
    <w:tmpl w:val="B058BBAA"/>
    <w:lvl w:ilvl="0" w:tplc="043E23BC">
      <w:start w:val="1"/>
      <w:numFmt w:val="bullet"/>
      <w:lvlText w:val=""/>
      <w:lvlJc w:val="left"/>
      <w:pPr>
        <w:ind w:left="720" w:hanging="360"/>
      </w:pPr>
      <w:rPr>
        <w:rFonts w:ascii="Symbol" w:hAnsi="Symbol" w:hint="default"/>
      </w:rPr>
    </w:lvl>
    <w:lvl w:ilvl="1" w:tplc="44805366">
      <w:start w:val="1"/>
      <w:numFmt w:val="bullet"/>
      <w:lvlText w:val="o"/>
      <w:lvlJc w:val="left"/>
      <w:pPr>
        <w:ind w:left="1440" w:hanging="360"/>
      </w:pPr>
      <w:rPr>
        <w:rFonts w:ascii="Courier New" w:hAnsi="Courier New" w:hint="default"/>
      </w:rPr>
    </w:lvl>
    <w:lvl w:ilvl="2" w:tplc="F7C4AB4E">
      <w:start w:val="1"/>
      <w:numFmt w:val="bullet"/>
      <w:lvlText w:val=""/>
      <w:lvlJc w:val="left"/>
      <w:pPr>
        <w:ind w:left="2160" w:hanging="360"/>
      </w:pPr>
      <w:rPr>
        <w:rFonts w:ascii="Wingdings" w:hAnsi="Wingdings" w:hint="default"/>
      </w:rPr>
    </w:lvl>
    <w:lvl w:ilvl="3" w:tplc="3AA676DC">
      <w:start w:val="1"/>
      <w:numFmt w:val="bullet"/>
      <w:lvlText w:val=""/>
      <w:lvlJc w:val="left"/>
      <w:pPr>
        <w:ind w:left="2880" w:hanging="360"/>
      </w:pPr>
      <w:rPr>
        <w:rFonts w:ascii="Symbol" w:hAnsi="Symbol" w:hint="default"/>
      </w:rPr>
    </w:lvl>
    <w:lvl w:ilvl="4" w:tplc="39967A24">
      <w:start w:val="1"/>
      <w:numFmt w:val="bullet"/>
      <w:lvlText w:val="o"/>
      <w:lvlJc w:val="left"/>
      <w:pPr>
        <w:ind w:left="3600" w:hanging="360"/>
      </w:pPr>
      <w:rPr>
        <w:rFonts w:ascii="Courier New" w:hAnsi="Courier New" w:hint="default"/>
      </w:rPr>
    </w:lvl>
    <w:lvl w:ilvl="5" w:tplc="5844955C">
      <w:start w:val="1"/>
      <w:numFmt w:val="bullet"/>
      <w:lvlText w:val=""/>
      <w:lvlJc w:val="left"/>
      <w:pPr>
        <w:ind w:left="4320" w:hanging="360"/>
      </w:pPr>
      <w:rPr>
        <w:rFonts w:ascii="Wingdings" w:hAnsi="Wingdings" w:hint="default"/>
      </w:rPr>
    </w:lvl>
    <w:lvl w:ilvl="6" w:tplc="7A1CE816">
      <w:start w:val="1"/>
      <w:numFmt w:val="bullet"/>
      <w:lvlText w:val=""/>
      <w:lvlJc w:val="left"/>
      <w:pPr>
        <w:ind w:left="5040" w:hanging="360"/>
      </w:pPr>
      <w:rPr>
        <w:rFonts w:ascii="Symbol" w:hAnsi="Symbol" w:hint="default"/>
      </w:rPr>
    </w:lvl>
    <w:lvl w:ilvl="7" w:tplc="3132A266">
      <w:start w:val="1"/>
      <w:numFmt w:val="bullet"/>
      <w:lvlText w:val="o"/>
      <w:lvlJc w:val="left"/>
      <w:pPr>
        <w:ind w:left="5760" w:hanging="360"/>
      </w:pPr>
      <w:rPr>
        <w:rFonts w:ascii="Courier New" w:hAnsi="Courier New" w:hint="default"/>
      </w:rPr>
    </w:lvl>
    <w:lvl w:ilvl="8" w:tplc="C5223E66">
      <w:start w:val="1"/>
      <w:numFmt w:val="bullet"/>
      <w:lvlText w:val=""/>
      <w:lvlJc w:val="left"/>
      <w:pPr>
        <w:ind w:left="6480" w:hanging="360"/>
      </w:pPr>
      <w:rPr>
        <w:rFonts w:ascii="Wingdings" w:hAnsi="Wingdings" w:hint="default"/>
      </w:rPr>
    </w:lvl>
  </w:abstractNum>
  <w:num w:numId="1">
    <w:abstractNumId w:val="12"/>
  </w:num>
  <w:num w:numId="2">
    <w:abstractNumId w:val="0"/>
  </w:num>
  <w:num w:numId="3">
    <w:abstractNumId w:val="14"/>
  </w:num>
  <w:num w:numId="4">
    <w:abstractNumId w:val="11"/>
  </w:num>
  <w:num w:numId="5">
    <w:abstractNumId w:val="5"/>
  </w:num>
  <w:num w:numId="6">
    <w:abstractNumId w:val="13"/>
  </w:num>
  <w:num w:numId="7">
    <w:abstractNumId w:val="7"/>
  </w:num>
  <w:num w:numId="8">
    <w:abstractNumId w:val="2"/>
  </w:num>
  <w:num w:numId="9">
    <w:abstractNumId w:val="16"/>
  </w:num>
  <w:num w:numId="10">
    <w:abstractNumId w:val="1"/>
  </w:num>
  <w:num w:numId="11">
    <w:abstractNumId w:val="3"/>
  </w:num>
  <w:num w:numId="12">
    <w:abstractNumId w:val="8"/>
  </w:num>
  <w:num w:numId="13">
    <w:abstractNumId w:val="6"/>
  </w:num>
  <w:num w:numId="14">
    <w:abstractNumId w:val="15"/>
  </w:num>
  <w:num w:numId="15">
    <w:abstractNumId w:val="10"/>
  </w:num>
  <w:num w:numId="16">
    <w:abstractNumId w:val="9"/>
  </w:num>
  <w:num w:numId="17">
    <w:abstractNumId w:val="4"/>
  </w:num>
</w:numbering>
</file>

<file path=word/people.xml><?xml version="1.0" encoding="utf-8"?>
<w15:people xmlns:mc="http://schemas.openxmlformats.org/markup-compatibility/2006" xmlns:w15="http://schemas.microsoft.com/office/word/2012/wordml" mc:Ignorable="w15">
  <w15:person w15:author="Gramaglia, Letizia">
    <w15:presenceInfo w15:providerId="AD" w15:userId="S-1-5-21-94802787-2259107539-412602403-103145"/>
  </w15:person>
  <w15:person w15:author="MacKinnon, Teresa">
    <w15:presenceInfo w15:providerId="AD" w15:userId="10033FFF8248253C@LIVE.COM"/>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7091D"/>
    <w:rsid w:val="000D6EB8"/>
    <w:rsid w:val="000F517A"/>
    <w:rsid w:val="001C69F8"/>
    <w:rsid w:val="001D1A22"/>
    <w:rsid w:val="001E3983"/>
    <w:rsid w:val="0027091D"/>
    <w:rsid w:val="00294FE9"/>
    <w:rsid w:val="002A4959"/>
    <w:rsid w:val="002C4486"/>
    <w:rsid w:val="002C70AC"/>
    <w:rsid w:val="00387670"/>
    <w:rsid w:val="003921D9"/>
    <w:rsid w:val="003D7E77"/>
    <w:rsid w:val="003E0CCC"/>
    <w:rsid w:val="00440BC7"/>
    <w:rsid w:val="004905D3"/>
    <w:rsid w:val="004F39BA"/>
    <w:rsid w:val="00500E8B"/>
    <w:rsid w:val="005150FC"/>
    <w:rsid w:val="00530487"/>
    <w:rsid w:val="00596AB3"/>
    <w:rsid w:val="005A3CB8"/>
    <w:rsid w:val="005A6A1F"/>
    <w:rsid w:val="005B0F49"/>
    <w:rsid w:val="00613C61"/>
    <w:rsid w:val="006A33C4"/>
    <w:rsid w:val="006D4412"/>
    <w:rsid w:val="00753035"/>
    <w:rsid w:val="007971CA"/>
    <w:rsid w:val="007B48CC"/>
    <w:rsid w:val="007E4C56"/>
    <w:rsid w:val="007F1EFA"/>
    <w:rsid w:val="00813E1A"/>
    <w:rsid w:val="00824B03"/>
    <w:rsid w:val="00832E14"/>
    <w:rsid w:val="008B5823"/>
    <w:rsid w:val="008D22F4"/>
    <w:rsid w:val="00900443"/>
    <w:rsid w:val="0092514E"/>
    <w:rsid w:val="009D06B8"/>
    <w:rsid w:val="009E0069"/>
    <w:rsid w:val="00A312EC"/>
    <w:rsid w:val="00A33637"/>
    <w:rsid w:val="00A45BD5"/>
    <w:rsid w:val="00A86E41"/>
    <w:rsid w:val="00AE5DED"/>
    <w:rsid w:val="00B13EA5"/>
    <w:rsid w:val="00B207BC"/>
    <w:rsid w:val="00B65B6B"/>
    <w:rsid w:val="00BC6CCF"/>
    <w:rsid w:val="00BD5975"/>
    <w:rsid w:val="00BF24B2"/>
    <w:rsid w:val="00BF6B8F"/>
    <w:rsid w:val="00CA2E0F"/>
    <w:rsid w:val="00CB37A0"/>
    <w:rsid w:val="00CD7583"/>
    <w:rsid w:val="00D07FD6"/>
    <w:rsid w:val="00D41278"/>
    <w:rsid w:val="00D80917"/>
    <w:rsid w:val="00D86294"/>
    <w:rsid w:val="00D95617"/>
    <w:rsid w:val="00E10CA8"/>
    <w:rsid w:val="00E318F4"/>
    <w:rsid w:val="00E44A67"/>
    <w:rsid w:val="00EA7976"/>
    <w:rsid w:val="00F43ADD"/>
    <w:rsid w:val="00FA4905"/>
    <w:rsid w:val="00FB1E14"/>
    <w:rsid w:val="00FC46E3"/>
    <w:rsid w:val="0220D85B"/>
    <w:rsid w:val="36A7F709"/>
    <w:rsid w:val="5E2D44C7"/>
    <w:rsid w:val="7C6B8269"/>
    <w:rsid w:val="7D19CA6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2A755C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
    <w:qFormat/>
    <w:rsid w:val="0027091D"/>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7091D"/>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27091D"/>
    <w:pPr>
      <w:spacing w:after="0" w:line="240" w:lineRule="auto"/>
    </w:pPr>
  </w:style>
  <w:style w:type="character" w:customStyle="1" w:styleId="Heading1Char">
    <w:name w:val="Heading 1 Char"/>
    <w:basedOn w:val="DefaultParagraphFont"/>
    <w:link w:val="Heading1"/>
    <w:uiPriority w:val="9"/>
    <w:rsid w:val="0027091D"/>
    <w:rPr>
      <w:rFonts w:asciiTheme="majorHAnsi" w:eastAsiaTheme="majorEastAsia" w:hAnsiTheme="majorHAnsi" w:cstheme="majorBidi"/>
      <w:b/>
      <w:bCs/>
      <w:color w:val="365F91" w:themeColor="accent1" w:themeShade="BF"/>
      <w:sz w:val="28"/>
      <w:szCs w:val="28"/>
    </w:rPr>
  </w:style>
  <w:style w:type="paragraph" w:styleId="Title">
    <w:name w:val="Title"/>
    <w:basedOn w:val="Normal"/>
    <w:next w:val="Normal"/>
    <w:link w:val="TitleChar"/>
    <w:uiPriority w:val="10"/>
    <w:qFormat/>
    <w:rsid w:val="0027091D"/>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27091D"/>
    <w:rPr>
      <w:rFonts w:asciiTheme="majorHAnsi" w:eastAsiaTheme="majorEastAsia" w:hAnsiTheme="majorHAnsi" w:cstheme="majorBidi"/>
      <w:color w:val="17365D" w:themeColor="text2" w:themeShade="BF"/>
      <w:spacing w:val="5"/>
      <w:kern w:val="28"/>
      <w:sz w:val="52"/>
      <w:szCs w:val="52"/>
    </w:rPr>
  </w:style>
  <w:style w:type="character" w:customStyle="1" w:styleId="Heading2Char">
    <w:name w:val="Heading 2 Char"/>
    <w:basedOn w:val="DefaultParagraphFont"/>
    <w:link w:val="Heading2"/>
    <w:uiPriority w:val="9"/>
    <w:rsid w:val="0027091D"/>
    <w:rPr>
      <w:rFonts w:asciiTheme="majorHAnsi" w:eastAsiaTheme="majorEastAsia" w:hAnsiTheme="majorHAnsi" w:cstheme="majorBidi"/>
      <w:b/>
      <w:bCs/>
      <w:color w:val="4F81BD" w:themeColor="accent1"/>
      <w:sz w:val="26"/>
      <w:szCs w:val="26"/>
    </w:rPr>
  </w:style>
  <w:style w:type="paragraph" w:styleId="ListParagraph">
    <w:name w:val="List Paragraph"/>
    <w:basedOn w:val="Normal"/>
    <w:uiPriority w:val="34"/>
    <w:qFormat/>
    <w:rsid w:val="00500E8B"/>
    <w:pPr>
      <w:ind w:left="720"/>
      <w:contextualSpacing/>
    </w:pPr>
  </w:style>
  <w:style w:type="character" w:styleId="Strong">
    <w:name w:val="Strong"/>
    <w:basedOn w:val="DefaultParagraphFont"/>
    <w:uiPriority w:val="22"/>
    <w:qFormat/>
    <w:rsid w:val="00500E8B"/>
    <w:rPr>
      <w:b/>
      <w:bCs/>
    </w:rPr>
  </w:style>
  <w:style w:type="paragraph" w:styleId="NormalWeb">
    <w:name w:val="Normal (Web)"/>
    <w:basedOn w:val="Normal"/>
    <w:uiPriority w:val="99"/>
    <w:semiHidden/>
    <w:unhideWhenUsed/>
    <w:rsid w:val="00500E8B"/>
    <w:pPr>
      <w:spacing w:after="165" w:line="240" w:lineRule="auto"/>
    </w:pPr>
    <w:rPr>
      <w:rFonts w:ascii="Times New Roman" w:eastAsia="Times New Roman" w:hAnsi="Times New Roman" w:cs="Times New Roman"/>
      <w:sz w:val="24"/>
      <w:szCs w:val="24"/>
      <w:lang w:eastAsia="en-GB"/>
    </w:rPr>
  </w:style>
  <w:style w:type="table" w:styleId="TableGrid">
    <w:name w:val="Table Grid"/>
    <w:basedOn w:val="TableNormal"/>
    <w:uiPriority w:val="59"/>
    <w:rsid w:val="00BC6CC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4F39BA"/>
    <w:rPr>
      <w:color w:val="0000FF" w:themeColor="hyperlink"/>
      <w:u w:val="single"/>
    </w:rPr>
  </w:style>
  <w:style w:type="paragraph" w:customStyle="1" w:styleId="Default">
    <w:name w:val="Default"/>
    <w:rsid w:val="004F39BA"/>
    <w:pPr>
      <w:autoSpaceDE w:val="0"/>
      <w:autoSpaceDN w:val="0"/>
      <w:adjustRightInd w:val="0"/>
      <w:spacing w:after="0" w:line="240" w:lineRule="auto"/>
    </w:pPr>
    <w:rPr>
      <w:rFonts w:ascii="Arial" w:hAnsi="Arial" w:cs="Arial"/>
      <w:color w:val="000000"/>
      <w:sz w:val="24"/>
      <w:szCs w:val="24"/>
    </w:rPr>
  </w:style>
  <w:style w:type="character" w:styleId="FollowedHyperlink">
    <w:name w:val="FollowedHyperlink"/>
    <w:basedOn w:val="DefaultParagraphFont"/>
    <w:uiPriority w:val="99"/>
    <w:semiHidden/>
    <w:unhideWhenUsed/>
    <w:rsid w:val="00AE5DED"/>
    <w:rPr>
      <w:color w:val="800080" w:themeColor="followedHyperlink"/>
      <w:u w:val="single"/>
    </w:rPr>
  </w:style>
  <w:style w:type="character" w:styleId="CommentReference">
    <w:name w:val="annotation reference"/>
    <w:basedOn w:val="DefaultParagraphFont"/>
    <w:uiPriority w:val="99"/>
    <w:semiHidden/>
    <w:unhideWhenUsed/>
    <w:rsid w:val="003E0CCC"/>
    <w:rPr>
      <w:sz w:val="16"/>
      <w:szCs w:val="16"/>
    </w:rPr>
  </w:style>
  <w:style w:type="paragraph" w:styleId="CommentText">
    <w:name w:val="annotation text"/>
    <w:basedOn w:val="Normal"/>
    <w:link w:val="CommentTextChar"/>
    <w:uiPriority w:val="99"/>
    <w:semiHidden/>
    <w:unhideWhenUsed/>
    <w:rsid w:val="003E0CCC"/>
    <w:pPr>
      <w:spacing w:line="240" w:lineRule="auto"/>
    </w:pPr>
    <w:rPr>
      <w:sz w:val="20"/>
      <w:szCs w:val="20"/>
    </w:rPr>
  </w:style>
  <w:style w:type="character" w:customStyle="1" w:styleId="CommentTextChar">
    <w:name w:val="Comment Text Char"/>
    <w:basedOn w:val="DefaultParagraphFont"/>
    <w:link w:val="CommentText"/>
    <w:uiPriority w:val="99"/>
    <w:semiHidden/>
    <w:rsid w:val="003E0CCC"/>
    <w:rPr>
      <w:sz w:val="20"/>
      <w:szCs w:val="20"/>
    </w:rPr>
  </w:style>
  <w:style w:type="paragraph" w:styleId="CommentSubject">
    <w:name w:val="annotation subject"/>
    <w:basedOn w:val="CommentText"/>
    <w:next w:val="CommentText"/>
    <w:link w:val="CommentSubjectChar"/>
    <w:uiPriority w:val="99"/>
    <w:semiHidden/>
    <w:unhideWhenUsed/>
    <w:rsid w:val="003E0CCC"/>
    <w:rPr>
      <w:b/>
      <w:bCs/>
    </w:rPr>
  </w:style>
  <w:style w:type="character" w:customStyle="1" w:styleId="CommentSubjectChar">
    <w:name w:val="Comment Subject Char"/>
    <w:basedOn w:val="CommentTextChar"/>
    <w:link w:val="CommentSubject"/>
    <w:uiPriority w:val="99"/>
    <w:semiHidden/>
    <w:rsid w:val="003E0CCC"/>
    <w:rPr>
      <w:b/>
      <w:bCs/>
      <w:sz w:val="20"/>
      <w:szCs w:val="20"/>
    </w:rPr>
  </w:style>
  <w:style w:type="paragraph" w:styleId="BalloonText">
    <w:name w:val="Balloon Text"/>
    <w:basedOn w:val="Normal"/>
    <w:link w:val="BalloonTextChar"/>
    <w:uiPriority w:val="99"/>
    <w:semiHidden/>
    <w:unhideWhenUsed/>
    <w:rsid w:val="003E0CCC"/>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3E0CCC"/>
    <w:rPr>
      <w:rFonts w:ascii="Segoe UI" w:hAnsi="Segoe UI" w:cs="Segoe UI"/>
      <w:sz w:val="18"/>
      <w:szCs w:val="18"/>
    </w:rPr>
  </w:style>
  <w:style w:type="table" w:customStyle="1" w:styleId="GridTableLight">
    <w:name w:val="Grid Table Light"/>
    <w:basedOn w:val="TableNormal"/>
    <w:uiPriority w:val="40"/>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
    <w:qFormat/>
    <w:rsid w:val="0027091D"/>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7091D"/>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27091D"/>
    <w:pPr>
      <w:spacing w:after="0" w:line="240" w:lineRule="auto"/>
    </w:pPr>
  </w:style>
  <w:style w:type="character" w:customStyle="1" w:styleId="Heading1Char">
    <w:name w:val="Heading 1 Char"/>
    <w:basedOn w:val="DefaultParagraphFont"/>
    <w:link w:val="Heading1"/>
    <w:uiPriority w:val="9"/>
    <w:rsid w:val="0027091D"/>
    <w:rPr>
      <w:rFonts w:asciiTheme="majorHAnsi" w:eastAsiaTheme="majorEastAsia" w:hAnsiTheme="majorHAnsi" w:cstheme="majorBidi"/>
      <w:b/>
      <w:bCs/>
      <w:color w:val="365F91" w:themeColor="accent1" w:themeShade="BF"/>
      <w:sz w:val="28"/>
      <w:szCs w:val="28"/>
    </w:rPr>
  </w:style>
  <w:style w:type="paragraph" w:styleId="Title">
    <w:name w:val="Title"/>
    <w:basedOn w:val="Normal"/>
    <w:next w:val="Normal"/>
    <w:link w:val="TitleChar"/>
    <w:uiPriority w:val="10"/>
    <w:qFormat/>
    <w:rsid w:val="0027091D"/>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27091D"/>
    <w:rPr>
      <w:rFonts w:asciiTheme="majorHAnsi" w:eastAsiaTheme="majorEastAsia" w:hAnsiTheme="majorHAnsi" w:cstheme="majorBidi"/>
      <w:color w:val="17365D" w:themeColor="text2" w:themeShade="BF"/>
      <w:spacing w:val="5"/>
      <w:kern w:val="28"/>
      <w:sz w:val="52"/>
      <w:szCs w:val="52"/>
    </w:rPr>
  </w:style>
  <w:style w:type="character" w:customStyle="1" w:styleId="Heading2Char">
    <w:name w:val="Heading 2 Char"/>
    <w:basedOn w:val="DefaultParagraphFont"/>
    <w:link w:val="Heading2"/>
    <w:uiPriority w:val="9"/>
    <w:rsid w:val="0027091D"/>
    <w:rPr>
      <w:rFonts w:asciiTheme="majorHAnsi" w:eastAsiaTheme="majorEastAsia" w:hAnsiTheme="majorHAnsi" w:cstheme="majorBidi"/>
      <w:b/>
      <w:bCs/>
      <w:color w:val="4F81BD" w:themeColor="accent1"/>
      <w:sz w:val="26"/>
      <w:szCs w:val="26"/>
    </w:rPr>
  </w:style>
  <w:style w:type="paragraph" w:styleId="ListParagraph">
    <w:name w:val="List Paragraph"/>
    <w:basedOn w:val="Normal"/>
    <w:uiPriority w:val="34"/>
    <w:qFormat/>
    <w:rsid w:val="00500E8B"/>
    <w:pPr>
      <w:ind w:left="720"/>
      <w:contextualSpacing/>
    </w:pPr>
  </w:style>
  <w:style w:type="character" w:styleId="Strong">
    <w:name w:val="Strong"/>
    <w:basedOn w:val="DefaultParagraphFont"/>
    <w:uiPriority w:val="22"/>
    <w:qFormat/>
    <w:rsid w:val="00500E8B"/>
    <w:rPr>
      <w:b/>
      <w:bCs/>
    </w:rPr>
  </w:style>
  <w:style w:type="paragraph" w:styleId="NormalWeb">
    <w:name w:val="Normal (Web)"/>
    <w:basedOn w:val="Normal"/>
    <w:uiPriority w:val="99"/>
    <w:semiHidden/>
    <w:unhideWhenUsed/>
    <w:rsid w:val="00500E8B"/>
    <w:pPr>
      <w:spacing w:after="165" w:line="240" w:lineRule="auto"/>
    </w:pPr>
    <w:rPr>
      <w:rFonts w:ascii="Times New Roman" w:eastAsia="Times New Roman" w:hAnsi="Times New Roman" w:cs="Times New Roman"/>
      <w:sz w:val="24"/>
      <w:szCs w:val="24"/>
      <w:lang w:eastAsia="en-GB"/>
    </w:rPr>
  </w:style>
  <w:style w:type="table" w:styleId="TableGrid">
    <w:name w:val="Table Grid"/>
    <w:basedOn w:val="TableNormal"/>
    <w:uiPriority w:val="59"/>
    <w:rsid w:val="00BC6CC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4F39BA"/>
    <w:rPr>
      <w:color w:val="0000FF" w:themeColor="hyperlink"/>
      <w:u w:val="single"/>
    </w:rPr>
  </w:style>
  <w:style w:type="paragraph" w:customStyle="1" w:styleId="Default">
    <w:name w:val="Default"/>
    <w:rsid w:val="004F39BA"/>
    <w:pPr>
      <w:autoSpaceDE w:val="0"/>
      <w:autoSpaceDN w:val="0"/>
      <w:adjustRightInd w:val="0"/>
      <w:spacing w:after="0" w:line="240" w:lineRule="auto"/>
    </w:pPr>
    <w:rPr>
      <w:rFonts w:ascii="Arial" w:hAnsi="Arial" w:cs="Arial"/>
      <w:color w:val="000000"/>
      <w:sz w:val="24"/>
      <w:szCs w:val="24"/>
    </w:rPr>
  </w:style>
  <w:style w:type="character" w:styleId="FollowedHyperlink">
    <w:name w:val="FollowedHyperlink"/>
    <w:basedOn w:val="DefaultParagraphFont"/>
    <w:uiPriority w:val="99"/>
    <w:semiHidden/>
    <w:unhideWhenUsed/>
    <w:rsid w:val="00AE5DED"/>
    <w:rPr>
      <w:color w:val="800080" w:themeColor="followedHyperlink"/>
      <w:u w:val="single"/>
    </w:rPr>
  </w:style>
  <w:style w:type="character" w:styleId="CommentReference">
    <w:name w:val="annotation reference"/>
    <w:basedOn w:val="DefaultParagraphFont"/>
    <w:uiPriority w:val="99"/>
    <w:semiHidden/>
    <w:unhideWhenUsed/>
    <w:rsid w:val="003E0CCC"/>
    <w:rPr>
      <w:sz w:val="16"/>
      <w:szCs w:val="16"/>
    </w:rPr>
  </w:style>
  <w:style w:type="paragraph" w:styleId="CommentText">
    <w:name w:val="annotation text"/>
    <w:basedOn w:val="Normal"/>
    <w:link w:val="CommentTextChar"/>
    <w:uiPriority w:val="99"/>
    <w:semiHidden/>
    <w:unhideWhenUsed/>
    <w:rsid w:val="003E0CCC"/>
    <w:pPr>
      <w:spacing w:line="240" w:lineRule="auto"/>
    </w:pPr>
    <w:rPr>
      <w:sz w:val="20"/>
      <w:szCs w:val="20"/>
    </w:rPr>
  </w:style>
  <w:style w:type="character" w:customStyle="1" w:styleId="CommentTextChar">
    <w:name w:val="Comment Text Char"/>
    <w:basedOn w:val="DefaultParagraphFont"/>
    <w:link w:val="CommentText"/>
    <w:uiPriority w:val="99"/>
    <w:semiHidden/>
    <w:rsid w:val="003E0CCC"/>
    <w:rPr>
      <w:sz w:val="20"/>
      <w:szCs w:val="20"/>
    </w:rPr>
  </w:style>
  <w:style w:type="paragraph" w:styleId="CommentSubject">
    <w:name w:val="annotation subject"/>
    <w:basedOn w:val="CommentText"/>
    <w:next w:val="CommentText"/>
    <w:link w:val="CommentSubjectChar"/>
    <w:uiPriority w:val="99"/>
    <w:semiHidden/>
    <w:unhideWhenUsed/>
    <w:rsid w:val="003E0CCC"/>
    <w:rPr>
      <w:b/>
      <w:bCs/>
    </w:rPr>
  </w:style>
  <w:style w:type="character" w:customStyle="1" w:styleId="CommentSubjectChar">
    <w:name w:val="Comment Subject Char"/>
    <w:basedOn w:val="CommentTextChar"/>
    <w:link w:val="CommentSubject"/>
    <w:uiPriority w:val="99"/>
    <w:semiHidden/>
    <w:rsid w:val="003E0CCC"/>
    <w:rPr>
      <w:b/>
      <w:bCs/>
      <w:sz w:val="20"/>
      <w:szCs w:val="20"/>
    </w:rPr>
  </w:style>
  <w:style w:type="paragraph" w:styleId="BalloonText">
    <w:name w:val="Balloon Text"/>
    <w:basedOn w:val="Normal"/>
    <w:link w:val="BalloonTextChar"/>
    <w:uiPriority w:val="99"/>
    <w:semiHidden/>
    <w:unhideWhenUsed/>
    <w:rsid w:val="003E0CCC"/>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3E0CCC"/>
    <w:rPr>
      <w:rFonts w:ascii="Segoe UI" w:hAnsi="Segoe UI" w:cs="Segoe UI"/>
      <w:sz w:val="18"/>
      <w:szCs w:val="18"/>
    </w:rPr>
  </w:style>
  <w:style w:type="table" w:customStyle="1" w:styleId="GridTableLight">
    <w:name w:val="Grid Table Light"/>
    <w:basedOn w:val="TableNormal"/>
    <w:uiPriority w:val="40"/>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836798475">
      <w:bodyDiv w:val="1"/>
      <w:marLeft w:val="0"/>
      <w:marRight w:val="0"/>
      <w:marTop w:val="0"/>
      <w:marBottom w:val="0"/>
      <w:divBdr>
        <w:top w:val="none" w:sz="0" w:space="0" w:color="auto"/>
        <w:left w:val="none" w:sz="0" w:space="0" w:color="auto"/>
        <w:bottom w:val="none" w:sz="0" w:space="0" w:color="auto"/>
        <w:right w:val="none" w:sz="0" w:space="0" w:color="auto"/>
      </w:divBdr>
      <w:divsChild>
        <w:div w:id="505219289">
          <w:marLeft w:val="0"/>
          <w:marRight w:val="0"/>
          <w:marTop w:val="0"/>
          <w:marBottom w:val="0"/>
          <w:divBdr>
            <w:top w:val="none" w:sz="0" w:space="0" w:color="auto"/>
            <w:left w:val="none" w:sz="0" w:space="0" w:color="auto"/>
            <w:bottom w:val="none" w:sz="0" w:space="0" w:color="auto"/>
            <w:right w:val="none" w:sz="0" w:space="0" w:color="auto"/>
          </w:divBdr>
          <w:divsChild>
            <w:div w:id="1211377471">
              <w:marLeft w:val="0"/>
              <w:marRight w:val="0"/>
              <w:marTop w:val="0"/>
              <w:marBottom w:val="0"/>
              <w:divBdr>
                <w:top w:val="none" w:sz="0" w:space="0" w:color="auto"/>
                <w:left w:val="none" w:sz="0" w:space="0" w:color="auto"/>
                <w:bottom w:val="none" w:sz="0" w:space="0" w:color="auto"/>
                <w:right w:val="none" w:sz="0" w:space="0" w:color="auto"/>
              </w:divBdr>
              <w:divsChild>
                <w:div w:id="2020768355">
                  <w:marLeft w:val="0"/>
                  <w:marRight w:val="0"/>
                  <w:marTop w:val="0"/>
                  <w:marBottom w:val="0"/>
                  <w:divBdr>
                    <w:top w:val="none" w:sz="0" w:space="0" w:color="auto"/>
                    <w:left w:val="none" w:sz="0" w:space="0" w:color="auto"/>
                    <w:bottom w:val="none" w:sz="0" w:space="0" w:color="auto"/>
                    <w:right w:val="none" w:sz="0" w:space="0" w:color="auto"/>
                  </w:divBdr>
                  <w:divsChild>
                    <w:div w:id="1884058989">
                      <w:marLeft w:val="0"/>
                      <w:marRight w:val="0"/>
                      <w:marTop w:val="0"/>
                      <w:marBottom w:val="0"/>
                      <w:divBdr>
                        <w:top w:val="none" w:sz="0" w:space="0" w:color="auto"/>
                        <w:left w:val="none" w:sz="0" w:space="0" w:color="auto"/>
                        <w:bottom w:val="none" w:sz="0" w:space="0" w:color="auto"/>
                        <w:right w:val="none" w:sz="0" w:space="0" w:color="auto"/>
                      </w:divBdr>
                      <w:divsChild>
                        <w:div w:id="984890258">
                          <w:marLeft w:val="0"/>
                          <w:marRight w:val="0"/>
                          <w:marTop w:val="0"/>
                          <w:marBottom w:val="0"/>
                          <w:divBdr>
                            <w:top w:val="none" w:sz="0" w:space="0" w:color="auto"/>
                            <w:left w:val="none" w:sz="0" w:space="0" w:color="auto"/>
                            <w:bottom w:val="none" w:sz="0" w:space="0" w:color="auto"/>
                            <w:right w:val="none" w:sz="0" w:space="0" w:color="auto"/>
                          </w:divBdr>
                          <w:divsChild>
                            <w:div w:id="542641651">
                              <w:marLeft w:val="0"/>
                              <w:marRight w:val="0"/>
                              <w:marTop w:val="0"/>
                              <w:marBottom w:val="33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www.tandfonline.com/doi/abs/10.1080/07294360.2011.536970" TargetMode="External"/><Relationship Id="rId18" Type="http://schemas.openxmlformats.org/officeDocument/2006/relationships/hyperlink" Target="https://www.heacademy.ac.uk/system/files/resources/benchmarking_guide_web.pdf" TargetMode="Externa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ettings" Target="settings.xml"/><Relationship Id="rId12" Type="http://schemas.openxmlformats.org/officeDocument/2006/relationships/hyperlink" Target="http://www.tandfonline.com/doi/abs/10.1080/03075079612331381231" TargetMode="External"/><Relationship Id="rId17" Type="http://schemas.openxmlformats.org/officeDocument/2006/relationships/hyperlink" Target="http://educationstudies.org.uk/journal/ef/volume-2-2-2010/recognition-respect-honneth-intersubjectivity-education/murphyf2/" TargetMode="External"/><Relationship Id="rId2" Type="http://schemas.openxmlformats.org/officeDocument/2006/relationships/customXml" Target="../customXml/item2.xml"/><Relationship Id="rId16" Type="http://schemas.openxmlformats.org/officeDocument/2006/relationships/hyperlink" Target="http://blog.yorksj.ac.uk/tel/files/2013/12/DigitallensontheUKPSF.pdf" TargetMode="External"/><Relationship Id="rId20" Type="http://schemas.openxmlformats.org/officeDocument/2006/relationships/fontTable" Target="fontTable.xml"/><Relationship Id="rId1" Type="http://schemas.openxmlformats.org/officeDocument/2006/relationships/customXml" Target="../customXml/item1.xml"/><Relationship Id="rId6" Type="http://schemas.microsoft.com/office/2007/relationships/stylesWithEffects" Target="stylesWithEffects.xml"/><Relationship Id="rId11" Type="http://schemas.openxmlformats.org/officeDocument/2006/relationships/hyperlink" Target="http://dx.doi.org/10.1080/0309877X.2015.1100714" TargetMode="External"/><Relationship Id="rId5" Type="http://schemas.openxmlformats.org/officeDocument/2006/relationships/styles" Target="styles.xml"/><Relationship Id="rId15" Type="http://schemas.openxmlformats.org/officeDocument/2006/relationships/hyperlink" Target="http://www.tandfonline.com/doi/full/10.3402/rlt.v24.31501" TargetMode="External"/><Relationship Id="rId23" Type="http://schemas.microsoft.com/office/2011/relationships/people" Target="people.xml"/><Relationship Id="rId10" Type="http://schemas.openxmlformats.org/officeDocument/2006/relationships/hyperlink" Target="https://www.heacademy.ac.uk/system/files/rewarding_educators_and_education_leaders.pdf" TargetMode="External"/><Relationship Id="rId19" Type="http://schemas.openxmlformats.org/officeDocument/2006/relationships/hyperlink" Target="https://www.heacademy.ac.uk/system/files/making-evidence-count-web_0.pdf" TargetMode="External"/><Relationship Id="rId4" Type="http://schemas.openxmlformats.org/officeDocument/2006/relationships/numbering" Target="numbering.xml"/><Relationship Id="rId9" Type="http://schemas.openxmlformats.org/officeDocument/2006/relationships/hyperlink" Target="http://www.leru.org/files/general/LERU%20Position%20Paper%20Excellent%20Education.pdf" TargetMode="External"/><Relationship Id="rId14" Type="http://schemas.openxmlformats.org/officeDocument/2006/relationships/hyperlink" Target="http://www.tandfonline.com/doi/abs/10.1080/03075070120052071" TargetMode="External"/><Relationship Id="rId22" Type="http://schemas.microsoft.com/office/2011/relationships/commentsExtended" Target="commentsExtended.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rc7f xmlns="5ce733ee-0c87-4b60-8849-92d3c678ea61" xsi:nil="true"/>
    <_x0073_d39 xmlns="5ce733ee-0c87-4b60-8849-92d3c678ea61"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32A2A48319B83041B8B078640432C42A" ma:contentTypeVersion="4" ma:contentTypeDescription="Create a new document." ma:contentTypeScope="" ma:versionID="46f126b7058a53392580b3fa6784ebed">
  <xsd:schema xmlns:xsd="http://www.w3.org/2001/XMLSchema" xmlns:xs="http://www.w3.org/2001/XMLSchema" xmlns:p="http://schemas.microsoft.com/office/2006/metadata/properties" xmlns:ns2="5ce733ee-0c87-4b60-8849-92d3c678ea61" targetNamespace="http://schemas.microsoft.com/office/2006/metadata/properties" ma:root="true" ma:fieldsID="8fa9b8edd5b2fdccc7b028aec2db0c69" ns2:_="">
    <xsd:import namespace="5ce733ee-0c87-4b60-8849-92d3c678ea61"/>
    <xsd:element name="properties">
      <xsd:complexType>
        <xsd:sequence>
          <xsd:element name="documentManagement">
            <xsd:complexType>
              <xsd:all>
                <xsd:element ref="ns2:_x0073_d39" minOccurs="0"/>
                <xsd:element ref="ns2:rc7f" minOccurs="0"/>
                <xsd:element ref="ns2:MediaServiceMetadata" minOccurs="0"/>
                <xsd:element ref="ns2:MediaServiceFast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ce733ee-0c87-4b60-8849-92d3c678ea61" elementFormDefault="qualified">
    <xsd:import namespace="http://schemas.microsoft.com/office/2006/documentManagement/types"/>
    <xsd:import namespace="http://schemas.microsoft.com/office/infopath/2007/PartnerControls"/>
    <xsd:element name="_x0073_d39" ma:index="8" nillable="true" ma:displayName="Comments" ma:internalName="_x0073_d39">
      <xsd:simpleType>
        <xsd:restriction base="dms:Text"/>
      </xsd:simpleType>
    </xsd:element>
    <xsd:element name="rc7f" ma:index="9" nillable="true" ma:displayName="Comment" ma:internalName="rc7f">
      <xsd:simpleType>
        <xsd:restriction base="dms:Text"/>
      </xsd:simpleType>
    </xsd:element>
    <xsd:element name="MediaServiceMetadata" ma:index="10" nillable="true" ma:displayName="MediaServiceMetadata" ma:description="" ma:hidden="true" ma:internalName="MediaServiceMetadata" ma:readOnly="true">
      <xsd:simpleType>
        <xsd:restriction base="dms:Note"/>
      </xsd:simpleType>
    </xsd:element>
    <xsd:element name="MediaServiceFastMetadata" ma:index="11" nillable="true" ma:displayName="MediaServiceFastMetadata" ma:description="" ma:hidden="true" ma:internalName="MediaServiceFastMetadata"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1A4900FA-2346-4BA7-9219-B9BA19CA3B7C}">
  <ds:schemaRefs>
    <ds:schemaRef ds:uri="http://schemas.microsoft.com/sharepoint/v3/contenttype/forms"/>
  </ds:schemaRefs>
</ds:datastoreItem>
</file>

<file path=customXml/itemProps2.xml><?xml version="1.0" encoding="utf-8"?>
<ds:datastoreItem xmlns:ds="http://schemas.openxmlformats.org/officeDocument/2006/customXml" ds:itemID="{75A1DB27-7677-480C-B03D-1859365C5FEB}">
  <ds:schemaRefs>
    <ds:schemaRef ds:uri="http://schemas.microsoft.com/office/2006/metadata/properties"/>
    <ds:schemaRef ds:uri="http://schemas.microsoft.com/office/infopath/2007/PartnerControls"/>
    <ds:schemaRef ds:uri="5ce733ee-0c87-4b60-8849-92d3c678ea61"/>
  </ds:schemaRefs>
</ds:datastoreItem>
</file>

<file path=customXml/itemProps3.xml><?xml version="1.0" encoding="utf-8"?>
<ds:datastoreItem xmlns:ds="http://schemas.openxmlformats.org/officeDocument/2006/customXml" ds:itemID="{9A4F4312-B954-4CF8-BB33-C46803A6CF1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ce733ee-0c87-4b60-8849-92d3c678ea6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7</Pages>
  <Words>2865</Words>
  <Characters>16333</Characters>
  <Application>Microsoft Office Word</Application>
  <DocSecurity>0</DocSecurity>
  <Lines>136</Lines>
  <Paragraphs>38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19160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Sarah Richardson</dc:creator>
  <cp:lastModifiedBy>Sarah Richardson</cp:lastModifiedBy>
  <cp:revision>4</cp:revision>
  <dcterms:created xsi:type="dcterms:W3CDTF">2017-09-18T08:34:00Z</dcterms:created>
  <dcterms:modified xsi:type="dcterms:W3CDTF">2018-08-22T08:57:00Z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0x01010032A2A48319B83041B8B078640432C42A</vt:lpwstr>
  </property>
</Properties>
</file>