
<file path=[Content_Types].xml><?xml version="1.0" encoding="utf-8"?>
<Types xmlns="http://schemas.openxmlformats.org/package/2006/content-types">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df" ContentType="application/pdf"/>
  <Override PartName="/word/webSettings.xml" ContentType="application/vnd.openxmlformats-officedocument.wordprocessingml.webSettings+xml"/>
  <Override PartName="/word/theme/theme1.xml" ContentType="application/vnd.openxmlformats-officedocument.theme+xml"/>
  <Default Extension="png" ContentType="image/png"/>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4614DB" w:rsidRDefault="004614DB" w:rsidP="004614DB">
      <w:pPr>
        <w:rPr>
          <w:rFonts w:ascii="Arial" w:hAnsi="Arial"/>
          <w:sz w:val="22"/>
          <w:szCs w:val="20"/>
        </w:rPr>
      </w:pPr>
      <w:r>
        <w:rPr>
          <w:rFonts w:ascii="Arial" w:hAnsi="Arial"/>
          <w:sz w:val="22"/>
          <w:szCs w:val="20"/>
        </w:rPr>
        <w:t xml:space="preserve">Complexity </w:t>
      </w:r>
      <w:proofErr w:type="spellStart"/>
      <w:r>
        <w:rPr>
          <w:rFonts w:ascii="Arial" w:hAnsi="Arial"/>
          <w:sz w:val="22"/>
          <w:szCs w:val="20"/>
        </w:rPr>
        <w:t>miniproject</w:t>
      </w:r>
      <w:proofErr w:type="spellEnd"/>
      <w:r>
        <w:rPr>
          <w:rFonts w:ascii="Arial" w:hAnsi="Arial"/>
          <w:sz w:val="22"/>
          <w:szCs w:val="20"/>
        </w:rPr>
        <w:t xml:space="preserve"> 2013</w:t>
      </w:r>
      <w:r w:rsidR="00484D51">
        <w:rPr>
          <w:rFonts w:ascii="Arial" w:hAnsi="Arial"/>
          <w:sz w:val="22"/>
          <w:szCs w:val="20"/>
        </w:rPr>
        <w:t xml:space="preserve">: </w:t>
      </w:r>
      <w:r w:rsidRPr="00484D51">
        <w:rPr>
          <w:rFonts w:ascii="Arial" w:hAnsi="Arial"/>
          <w:b/>
          <w:sz w:val="22"/>
          <w:szCs w:val="20"/>
        </w:rPr>
        <w:t>Mechanism of microtubule assembly and disassembly</w:t>
      </w:r>
    </w:p>
    <w:p w:rsidR="004614DB" w:rsidRDefault="004614DB" w:rsidP="004614DB">
      <w:pPr>
        <w:rPr>
          <w:rFonts w:ascii="Arial" w:hAnsi="Arial"/>
          <w:sz w:val="22"/>
          <w:szCs w:val="20"/>
        </w:rPr>
      </w:pPr>
    </w:p>
    <w:p w:rsidR="004614DB" w:rsidRDefault="004614DB" w:rsidP="004614DB">
      <w:pPr>
        <w:rPr>
          <w:rFonts w:ascii="Arial" w:hAnsi="Arial"/>
          <w:sz w:val="22"/>
          <w:szCs w:val="20"/>
        </w:rPr>
      </w:pPr>
      <w:r>
        <w:rPr>
          <w:rFonts w:ascii="Arial" w:hAnsi="Arial"/>
          <w:sz w:val="22"/>
          <w:szCs w:val="20"/>
        </w:rPr>
        <w:t xml:space="preserve">Supervisors: </w:t>
      </w:r>
      <w:r>
        <w:rPr>
          <w:rFonts w:ascii="Arial" w:hAnsi="Arial"/>
          <w:sz w:val="22"/>
          <w:szCs w:val="20"/>
        </w:rPr>
        <w:tab/>
        <w:t xml:space="preserve">Dr Stefan </w:t>
      </w:r>
      <w:proofErr w:type="spellStart"/>
      <w:r>
        <w:rPr>
          <w:rFonts w:ascii="Arial" w:hAnsi="Arial"/>
          <w:sz w:val="22"/>
          <w:szCs w:val="20"/>
        </w:rPr>
        <w:t>Grosskinsky</w:t>
      </w:r>
      <w:proofErr w:type="spellEnd"/>
      <w:r>
        <w:rPr>
          <w:rFonts w:ascii="Arial" w:hAnsi="Arial"/>
          <w:sz w:val="22"/>
          <w:szCs w:val="20"/>
        </w:rPr>
        <w:t>, Complexity Centre / Mathematics</w:t>
      </w:r>
    </w:p>
    <w:p w:rsidR="004614DB" w:rsidRDefault="004614DB" w:rsidP="004614DB">
      <w:pPr>
        <w:rPr>
          <w:rFonts w:ascii="Arial" w:hAnsi="Arial"/>
          <w:sz w:val="22"/>
          <w:szCs w:val="20"/>
        </w:rPr>
      </w:pPr>
      <w:r>
        <w:rPr>
          <w:rFonts w:ascii="Arial" w:hAnsi="Arial"/>
          <w:sz w:val="22"/>
          <w:szCs w:val="20"/>
        </w:rPr>
        <w:tab/>
      </w:r>
      <w:r>
        <w:rPr>
          <w:rFonts w:ascii="Arial" w:hAnsi="Arial"/>
          <w:sz w:val="22"/>
          <w:szCs w:val="20"/>
        </w:rPr>
        <w:tab/>
        <w:t>Dr Anne Straube, CMCB / Warwick Medical School</w:t>
      </w:r>
    </w:p>
    <w:p w:rsidR="004614DB" w:rsidRDefault="004614DB" w:rsidP="004614DB">
      <w:pPr>
        <w:rPr>
          <w:rFonts w:ascii="Arial" w:hAnsi="Arial"/>
          <w:sz w:val="22"/>
          <w:szCs w:val="20"/>
        </w:rPr>
      </w:pPr>
    </w:p>
    <w:p w:rsidR="000F5C79" w:rsidRPr="00AA06E6" w:rsidRDefault="000F5C79" w:rsidP="004614DB">
      <w:pPr>
        <w:rPr>
          <w:rFonts w:ascii="Arial" w:hAnsi="Arial"/>
          <w:b/>
          <w:sz w:val="22"/>
          <w:szCs w:val="20"/>
        </w:rPr>
      </w:pPr>
      <w:r w:rsidRPr="00AA06E6">
        <w:rPr>
          <w:rFonts w:ascii="Arial" w:hAnsi="Arial"/>
          <w:b/>
          <w:sz w:val="22"/>
          <w:szCs w:val="20"/>
        </w:rPr>
        <w:t>Background:</w:t>
      </w:r>
    </w:p>
    <w:p w:rsidR="007423BA" w:rsidRDefault="000F5C79" w:rsidP="004614DB">
      <w:pPr>
        <w:rPr>
          <w:rFonts w:ascii="Arial" w:hAnsi="Arial"/>
          <w:sz w:val="22"/>
          <w:szCs w:val="20"/>
        </w:rPr>
      </w:pPr>
      <w:r>
        <w:rPr>
          <w:rFonts w:ascii="Arial" w:hAnsi="Arial"/>
          <w:sz w:val="22"/>
          <w:szCs w:val="20"/>
        </w:rPr>
        <w:t xml:space="preserve">Microtubules are </w:t>
      </w:r>
      <w:r w:rsidR="00B70EA7">
        <w:rPr>
          <w:rFonts w:ascii="Arial" w:hAnsi="Arial"/>
          <w:sz w:val="22"/>
          <w:szCs w:val="20"/>
        </w:rPr>
        <w:t>dynamic, cylindrical filaments that serve as the intracellular transport network and fulfil v</w:t>
      </w:r>
      <w:r w:rsidR="00E559BE">
        <w:rPr>
          <w:rFonts w:ascii="Arial" w:hAnsi="Arial"/>
          <w:sz w:val="22"/>
          <w:szCs w:val="20"/>
        </w:rPr>
        <w:t>ital</w:t>
      </w:r>
      <w:r w:rsidR="00B70EA7">
        <w:rPr>
          <w:rFonts w:ascii="Arial" w:hAnsi="Arial"/>
          <w:sz w:val="22"/>
          <w:szCs w:val="20"/>
        </w:rPr>
        <w:t xml:space="preserve"> structural and signalling roles in the cell. Microtubules are assembled from </w:t>
      </w:r>
      <w:r w:rsidR="00B70EA7">
        <w:rPr>
          <w:rFonts w:ascii="Arial" w:hAnsi="Arial"/>
          <w:sz w:val="22"/>
          <w:szCs w:val="20"/>
        </w:rPr>
        <w:sym w:font="Symbol" w:char="F061"/>
      </w:r>
      <w:r w:rsidR="00B70EA7">
        <w:rPr>
          <w:rFonts w:ascii="Arial" w:hAnsi="Arial"/>
          <w:sz w:val="22"/>
          <w:szCs w:val="20"/>
        </w:rPr>
        <w:sym w:font="Symbol" w:char="F062"/>
      </w:r>
      <w:r w:rsidR="00B70EA7">
        <w:rPr>
          <w:rFonts w:ascii="Arial" w:hAnsi="Arial"/>
          <w:sz w:val="22"/>
          <w:szCs w:val="20"/>
        </w:rPr>
        <w:t xml:space="preserve">-tubulin dimers that attach head-to-tail </w:t>
      </w:r>
      <w:r w:rsidR="007423BA">
        <w:rPr>
          <w:rFonts w:ascii="Arial" w:hAnsi="Arial"/>
          <w:sz w:val="22"/>
          <w:szCs w:val="20"/>
        </w:rPr>
        <w:t>in</w:t>
      </w:r>
      <w:r w:rsidR="00B70EA7">
        <w:rPr>
          <w:rFonts w:ascii="Arial" w:hAnsi="Arial"/>
          <w:sz w:val="22"/>
          <w:szCs w:val="20"/>
        </w:rPr>
        <w:t>to protofilaments, 13 of which form a hollow tube of ~25nm diameter. Assembly and disassembly of microtubules occurs at the ends of the microtubules and is tightly regulated by a lar</w:t>
      </w:r>
      <w:r w:rsidR="007423BA">
        <w:rPr>
          <w:rFonts w:ascii="Arial" w:hAnsi="Arial"/>
          <w:sz w:val="22"/>
          <w:szCs w:val="20"/>
        </w:rPr>
        <w:t>ger number of factors in cells</w:t>
      </w:r>
      <w:r w:rsidR="00A95371">
        <w:rPr>
          <w:rFonts w:ascii="Arial" w:hAnsi="Arial"/>
          <w:sz w:val="22"/>
          <w:szCs w:val="20"/>
        </w:rPr>
        <w:t xml:space="preserve"> [1-2</w:t>
      </w:r>
      <w:r w:rsidR="005A478E">
        <w:rPr>
          <w:rFonts w:ascii="Arial" w:hAnsi="Arial"/>
          <w:sz w:val="22"/>
          <w:szCs w:val="20"/>
        </w:rPr>
        <w:t>]</w:t>
      </w:r>
      <w:r w:rsidR="007423BA">
        <w:rPr>
          <w:rFonts w:ascii="Arial" w:hAnsi="Arial"/>
          <w:sz w:val="22"/>
          <w:szCs w:val="20"/>
        </w:rPr>
        <w:t>.</w:t>
      </w:r>
    </w:p>
    <w:p w:rsidR="001078B0" w:rsidRDefault="007423BA" w:rsidP="004614DB">
      <w:pPr>
        <w:rPr>
          <w:rFonts w:ascii="Arial" w:hAnsi="Arial"/>
          <w:sz w:val="22"/>
          <w:szCs w:val="20"/>
        </w:rPr>
      </w:pPr>
      <w:r>
        <w:rPr>
          <w:rFonts w:ascii="Arial" w:hAnsi="Arial"/>
          <w:sz w:val="22"/>
          <w:szCs w:val="20"/>
        </w:rPr>
        <w:t>Pure t</w:t>
      </w:r>
      <w:r w:rsidR="00B70EA7">
        <w:rPr>
          <w:rFonts w:ascii="Arial" w:hAnsi="Arial"/>
          <w:sz w:val="22"/>
          <w:szCs w:val="20"/>
        </w:rPr>
        <w:t xml:space="preserve">ubulin and GTP as energy source are sufficient to </w:t>
      </w:r>
      <w:r>
        <w:rPr>
          <w:rFonts w:ascii="Arial" w:hAnsi="Arial"/>
          <w:sz w:val="22"/>
          <w:szCs w:val="20"/>
        </w:rPr>
        <w:t xml:space="preserve">reconstitute dynamic instability in vitro and allow to study the effect of microtubule dynamics regulators in a controlled system. In this project we aim to </w:t>
      </w:r>
      <w:r w:rsidR="00484D51">
        <w:rPr>
          <w:rFonts w:ascii="Arial" w:hAnsi="Arial"/>
          <w:sz w:val="22"/>
          <w:szCs w:val="20"/>
        </w:rPr>
        <w:t>propose</w:t>
      </w:r>
      <w:r>
        <w:rPr>
          <w:rFonts w:ascii="Arial" w:hAnsi="Arial"/>
          <w:sz w:val="22"/>
          <w:szCs w:val="20"/>
        </w:rPr>
        <w:t xml:space="preserve"> a model how EB3 increases the microtubule assembly rate and at the same time induces frequent transitions to shrinkage, so-called catastrophes.</w:t>
      </w:r>
    </w:p>
    <w:p w:rsidR="00484D51" w:rsidRDefault="001078B0" w:rsidP="004614DB">
      <w:pPr>
        <w:rPr>
          <w:rFonts w:ascii="Arial" w:hAnsi="Arial"/>
          <w:sz w:val="22"/>
          <w:szCs w:val="20"/>
        </w:rPr>
      </w:pPr>
      <w:r>
        <w:rPr>
          <w:rFonts w:ascii="Arial" w:hAnsi="Arial"/>
          <w:noProof/>
          <w:sz w:val="22"/>
          <w:szCs w:val="20"/>
          <w:lang w:val="en-US"/>
        </w:rPr>
        <w:drawing>
          <wp:inline distT="0" distB="0" distL="0" distR="0">
            <wp:extent cx="6083300" cy="933450"/>
            <wp:effectExtent l="2540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ve:Choice xmlns:ma="http://schemas.microsoft.com/office/mac/drawingml/2008/main" Requires="ma">
                      <pic:blipFill>
                        <a:blip r:embed="rId4"/>
                        <a:srcRect/>
                        <a:stretch>
                          <a:fillRect/>
                        </a:stretch>
                      </pic:blipFill>
                    </ve:Choice>
                    <ve:Fallback>
                      <pic:blipFill>
                        <a:blip r:embed="rId5"/>
                        <a:srcRect/>
                        <a:stretch>
                          <a:fillRect/>
                        </a:stretch>
                      </pic:blipFill>
                    </ve:Fallback>
                  </ve:AlternateContent>
                  <pic:spPr bwMode="auto">
                    <a:xfrm>
                      <a:off x="0" y="0"/>
                      <a:ext cx="6083300" cy="933450"/>
                    </a:xfrm>
                    <a:prstGeom prst="rect">
                      <a:avLst/>
                    </a:prstGeom>
                    <a:noFill/>
                    <a:ln w="9525">
                      <a:noFill/>
                      <a:miter lim="800000"/>
                      <a:headEnd/>
                      <a:tailEnd/>
                    </a:ln>
                  </pic:spPr>
                </pic:pic>
              </a:graphicData>
            </a:graphic>
          </wp:inline>
        </w:drawing>
      </w:r>
    </w:p>
    <w:p w:rsidR="000F5C79" w:rsidRDefault="00E559BE" w:rsidP="004614DB">
      <w:pPr>
        <w:rPr>
          <w:rFonts w:ascii="Arial" w:hAnsi="Arial"/>
          <w:sz w:val="22"/>
          <w:szCs w:val="20"/>
        </w:rPr>
      </w:pPr>
      <w:r w:rsidRPr="00AA06E6">
        <w:rPr>
          <w:rFonts w:ascii="Arial" w:hAnsi="Arial"/>
          <w:b/>
          <w:noProof/>
          <w:sz w:val="22"/>
          <w:szCs w:val="20"/>
          <w:lang w:val="en-US"/>
        </w:rPr>
        <w:pict>
          <v:shapetype id="_x0000_t202" coordsize="21600,21600" o:spt="202" path="m0,0l0,21600,21600,21600,21600,0xe">
            <v:stroke joinstyle="miter"/>
            <v:path gradientshapeok="t" o:connecttype="rect"/>
          </v:shapetype>
          <v:shape id="_x0000_s1029" type="#_x0000_t202" style="position:absolute;margin-left:217.05pt;margin-top:32.75pt;width:268.95pt;height:153.05pt;z-index:251660288;mso-wrap-edited:f;mso-position-horizontal:absolute;mso-position-vertical:absolute" wrapcoords="0 0 21600 0 21600 21600 0 21600 0 0" filled="f" stroked="f">
            <v:fill o:detectmouseclick="t"/>
            <v:textbox style="mso-next-textbox:#_x0000_s1029" inset="0,0,0,0">
              <w:txbxContent>
                <w:p w:rsidR="002F4908" w:rsidRPr="00D22987" w:rsidRDefault="002F4908" w:rsidP="00AA06E6">
                  <w:pPr>
                    <w:rPr>
                      <w:sz w:val="18"/>
                    </w:rPr>
                  </w:pPr>
                  <w:r w:rsidRPr="00D22987">
                    <w:rPr>
                      <w:sz w:val="18"/>
                    </w:rPr>
                    <w:drawing>
                      <wp:inline distT="0" distB="0" distL="0" distR="0">
                        <wp:extent cx="381000" cy="1374140"/>
                        <wp:effectExtent l="25400" t="0" r="0" b="0"/>
                        <wp:docPr id="7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srcRect/>
                                <a:stretch>
                                  <a:fillRect/>
                                </a:stretch>
                              </pic:blipFill>
                              <pic:spPr bwMode="auto">
                                <a:xfrm>
                                  <a:off x="0" y="0"/>
                                  <a:ext cx="381000" cy="137160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srcRect/>
                                <a:stretch>
                                  <a:fillRect/>
                                </a:stretch>
                              </pic:blipFill>
                              <pic:spPr bwMode="auto">
                                <a:xfrm>
                                  <a:off x="0" y="0"/>
                                  <a:ext cx="381000" cy="137160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381000" cy="137160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381000" cy="137414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srcRect/>
                                <a:stretch>
                                  <a:fillRect/>
                                </a:stretch>
                              </pic:blipFill>
                              <pic:spPr bwMode="auto">
                                <a:xfrm>
                                  <a:off x="0" y="0"/>
                                  <a:ext cx="381000" cy="137414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srcRect/>
                                <a:stretch>
                                  <a:fillRect/>
                                </a:stretch>
                              </pic:blipFill>
                              <pic:spPr bwMode="auto">
                                <a:xfrm>
                                  <a:off x="0" y="0"/>
                                  <a:ext cx="381000" cy="137414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srcRect/>
                                <a:stretch>
                                  <a:fillRect/>
                                </a:stretch>
                              </pic:blipFill>
                              <pic:spPr bwMode="auto">
                                <a:xfrm>
                                  <a:off x="0" y="0"/>
                                  <a:ext cx="381000" cy="1374140"/>
                                </a:xfrm>
                                <a:prstGeom prst="rect">
                                  <a:avLst/>
                                </a:prstGeom>
                                <a:noFill/>
                                <a:ln w="9525">
                                  <a:noFill/>
                                  <a:miter lim="800000"/>
                                  <a:headEnd/>
                                  <a:tailEnd/>
                                </a:ln>
                              </pic:spPr>
                            </pic:pic>
                          </a:graphicData>
                        </a:graphic>
                      </wp:inline>
                    </w:drawing>
                  </w:r>
                  <w:r w:rsidRPr="00D22987">
                    <w:rPr>
                      <w:sz w:val="18"/>
                    </w:rPr>
                    <w:drawing>
                      <wp:inline distT="0" distB="0" distL="0" distR="0">
                        <wp:extent cx="381000" cy="1374140"/>
                        <wp:effectExtent l="25400" t="0" r="0" b="0"/>
                        <wp:docPr id="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srcRect/>
                                <a:stretch>
                                  <a:fillRect/>
                                </a:stretch>
                              </pic:blipFill>
                              <pic:spPr bwMode="auto">
                                <a:xfrm>
                                  <a:off x="0" y="0"/>
                                  <a:ext cx="381000" cy="1374140"/>
                                </a:xfrm>
                                <a:prstGeom prst="rect">
                                  <a:avLst/>
                                </a:prstGeom>
                                <a:noFill/>
                                <a:ln w="9525">
                                  <a:noFill/>
                                  <a:miter lim="800000"/>
                                  <a:headEnd/>
                                  <a:tailEnd/>
                                </a:ln>
                              </pic:spPr>
                            </pic:pic>
                          </a:graphicData>
                        </a:graphic>
                      </wp:inline>
                    </w:drawing>
                  </w:r>
                </w:p>
                <w:p w:rsidR="002F4908" w:rsidRPr="00D22987" w:rsidRDefault="002F4908" w:rsidP="00AA06E6">
                  <w:pPr>
                    <w:rPr>
                      <w:rFonts w:ascii="Arial" w:hAnsi="Arial"/>
                      <w:sz w:val="18"/>
                      <w:szCs w:val="20"/>
                    </w:rPr>
                  </w:pPr>
                  <w:r w:rsidRPr="00D22987">
                    <w:rPr>
                      <w:rFonts w:ascii="Arial" w:hAnsi="Arial"/>
                      <w:sz w:val="18"/>
                    </w:rPr>
                    <w:t xml:space="preserve">Fig. 2: Tubulin assembly from a stabilised seed. </w:t>
                  </w:r>
                  <w:r w:rsidRPr="00D22987">
                    <w:rPr>
                      <w:rFonts w:ascii="Arial" w:hAnsi="Arial"/>
                      <w:sz w:val="18"/>
                      <w:szCs w:val="20"/>
                    </w:rPr>
                    <w:t>A cap of GTP-tubulin (red) protects the growing microtubule end during growth. Catastrophe occurs when the GTP cap is lost and GDP-tubulin (yellow) is exposed at the end.</w:t>
                  </w:r>
                </w:p>
              </w:txbxContent>
            </v:textbox>
            <w10:wrap type="tight"/>
          </v:shape>
        </w:pict>
      </w:r>
      <w:r w:rsidR="00850422">
        <w:rPr>
          <w:rFonts w:ascii="Arial" w:hAnsi="Arial"/>
          <w:sz w:val="18"/>
          <w:szCs w:val="20"/>
        </w:rPr>
        <w:t>Fig. 1: Microtubule dynamics in vitro in the presence of EB3 that marks the growing end. Phases are designated as growth (G), shrinkage (S) and transitions as catastrophe (C) and rescue (R). Scale bar: 5µm.</w:t>
      </w:r>
      <w:r w:rsidR="00A95371">
        <w:rPr>
          <w:rFonts w:ascii="Arial" w:hAnsi="Arial"/>
          <w:sz w:val="18"/>
          <w:szCs w:val="20"/>
        </w:rPr>
        <w:t xml:space="preserve"> Taken from [3].</w:t>
      </w:r>
    </w:p>
    <w:p w:rsidR="00AA06E6" w:rsidRDefault="00AA06E6" w:rsidP="004614DB">
      <w:pPr>
        <w:rPr>
          <w:rFonts w:ascii="Arial" w:hAnsi="Arial"/>
          <w:sz w:val="22"/>
          <w:szCs w:val="20"/>
        </w:rPr>
      </w:pPr>
    </w:p>
    <w:p w:rsidR="00E559BE" w:rsidRDefault="00AA06E6" w:rsidP="004614DB">
      <w:pPr>
        <w:rPr>
          <w:rFonts w:ascii="Arial" w:hAnsi="Arial"/>
          <w:b/>
          <w:sz w:val="22"/>
          <w:szCs w:val="20"/>
        </w:rPr>
      </w:pPr>
      <w:r w:rsidRPr="00AA06E6">
        <w:rPr>
          <w:rFonts w:ascii="Arial" w:hAnsi="Arial"/>
          <w:b/>
          <w:sz w:val="22"/>
          <w:szCs w:val="20"/>
        </w:rPr>
        <w:t>Objectives:</w:t>
      </w:r>
    </w:p>
    <w:p w:rsidR="004614DB" w:rsidRPr="00E559BE" w:rsidRDefault="00AA06E6" w:rsidP="004614DB">
      <w:pPr>
        <w:rPr>
          <w:rFonts w:ascii="Arial" w:hAnsi="Arial"/>
          <w:b/>
          <w:sz w:val="22"/>
          <w:szCs w:val="20"/>
        </w:rPr>
      </w:pPr>
      <w:r>
        <w:rPr>
          <w:rFonts w:ascii="Arial" w:hAnsi="Arial"/>
          <w:sz w:val="22"/>
          <w:szCs w:val="20"/>
        </w:rPr>
        <w:t>To develop a model with the following elements: 13 vectors (protofilaments) with different lengths consisting of subunits in 2 states (GTP and GDP). Growth of the 13 protofilaments is neighbour-dependent due to lateral bonds that stabilise subunits incorporated where neighbours exist. The model should be based on</w:t>
      </w:r>
      <w:r w:rsidR="004614DB">
        <w:rPr>
          <w:rFonts w:ascii="Arial" w:hAnsi="Arial"/>
          <w:sz w:val="22"/>
          <w:szCs w:val="20"/>
        </w:rPr>
        <w:t xml:space="preserve"> existing models of m</w:t>
      </w:r>
      <w:r w:rsidR="005A478E">
        <w:rPr>
          <w:rFonts w:ascii="Arial" w:hAnsi="Arial"/>
          <w:sz w:val="22"/>
          <w:szCs w:val="20"/>
        </w:rPr>
        <w:t>icrotubule dynamic instability [4-7]</w:t>
      </w:r>
      <w:r w:rsidR="004614DB">
        <w:rPr>
          <w:rFonts w:ascii="Arial" w:hAnsi="Arial"/>
          <w:sz w:val="22"/>
          <w:szCs w:val="20"/>
        </w:rPr>
        <w:t xml:space="preserve"> </w:t>
      </w:r>
      <w:r>
        <w:rPr>
          <w:rFonts w:ascii="Arial" w:hAnsi="Arial"/>
          <w:sz w:val="22"/>
          <w:szCs w:val="20"/>
        </w:rPr>
        <w:t>with</w:t>
      </w:r>
      <w:r w:rsidR="004614DB">
        <w:rPr>
          <w:rFonts w:ascii="Arial" w:hAnsi="Arial"/>
          <w:sz w:val="22"/>
          <w:szCs w:val="20"/>
        </w:rPr>
        <w:t xml:space="preserve"> parameters </w:t>
      </w:r>
      <w:r>
        <w:rPr>
          <w:rFonts w:ascii="Arial" w:hAnsi="Arial"/>
          <w:sz w:val="22"/>
          <w:szCs w:val="20"/>
        </w:rPr>
        <w:t>fitted to</w:t>
      </w:r>
      <w:r w:rsidR="004614DB">
        <w:rPr>
          <w:rFonts w:ascii="Arial" w:hAnsi="Arial"/>
          <w:sz w:val="22"/>
          <w:szCs w:val="20"/>
        </w:rPr>
        <w:t xml:space="preserve"> experimental data from the Straube lab. These data show microtubul</w:t>
      </w:r>
      <w:r w:rsidR="00A95371">
        <w:rPr>
          <w:rFonts w:ascii="Arial" w:hAnsi="Arial"/>
          <w:sz w:val="22"/>
          <w:szCs w:val="20"/>
        </w:rPr>
        <w:t>e length fluctuations over time and</w:t>
      </w:r>
      <w:r w:rsidR="004614DB">
        <w:rPr>
          <w:rFonts w:ascii="Arial" w:hAnsi="Arial"/>
          <w:sz w:val="22"/>
          <w:szCs w:val="20"/>
        </w:rPr>
        <w:t xml:space="preserve"> correlated taper length</w:t>
      </w:r>
      <w:r>
        <w:rPr>
          <w:rFonts w:ascii="Arial" w:hAnsi="Arial"/>
          <w:sz w:val="22"/>
          <w:szCs w:val="20"/>
        </w:rPr>
        <w:t xml:space="preserve"> (i.e. the distance between longest and shortest protofilament)</w:t>
      </w:r>
      <w:r w:rsidR="004614DB">
        <w:rPr>
          <w:rFonts w:ascii="Arial" w:hAnsi="Arial"/>
          <w:sz w:val="22"/>
          <w:szCs w:val="20"/>
        </w:rPr>
        <w:t>.</w:t>
      </w:r>
      <w:r w:rsidR="00C55B02">
        <w:rPr>
          <w:rFonts w:ascii="Arial" w:hAnsi="Arial"/>
          <w:sz w:val="22"/>
          <w:szCs w:val="20"/>
        </w:rPr>
        <w:t xml:space="preserve"> </w:t>
      </w:r>
      <w:r w:rsidR="005A478E">
        <w:rPr>
          <w:rFonts w:ascii="Arial" w:hAnsi="Arial"/>
          <w:sz w:val="22"/>
          <w:szCs w:val="20"/>
        </w:rPr>
        <w:t>S</w:t>
      </w:r>
      <w:r w:rsidR="00C55B02">
        <w:rPr>
          <w:rFonts w:ascii="Arial" w:hAnsi="Arial"/>
          <w:sz w:val="22"/>
          <w:szCs w:val="20"/>
        </w:rPr>
        <w:t xml:space="preserve">tatistical analysis of the raw data </w:t>
      </w:r>
      <w:r w:rsidR="005A478E">
        <w:rPr>
          <w:rFonts w:ascii="Arial" w:hAnsi="Arial"/>
          <w:sz w:val="22"/>
          <w:szCs w:val="20"/>
        </w:rPr>
        <w:t xml:space="preserve">will be required </w:t>
      </w:r>
      <w:r w:rsidR="00C55B02">
        <w:rPr>
          <w:rFonts w:ascii="Arial" w:hAnsi="Arial"/>
          <w:sz w:val="22"/>
          <w:szCs w:val="20"/>
        </w:rPr>
        <w:t xml:space="preserve">to generate parameters/rules </w:t>
      </w:r>
      <w:r w:rsidR="005A478E">
        <w:rPr>
          <w:rFonts w:ascii="Arial" w:hAnsi="Arial"/>
          <w:sz w:val="22"/>
          <w:szCs w:val="20"/>
        </w:rPr>
        <w:t>for the model.</w:t>
      </w:r>
    </w:p>
    <w:p w:rsidR="004614DB" w:rsidRDefault="004614DB" w:rsidP="004614DB">
      <w:pPr>
        <w:rPr>
          <w:rFonts w:ascii="Arial" w:hAnsi="Arial"/>
          <w:sz w:val="22"/>
          <w:szCs w:val="20"/>
        </w:rPr>
      </w:pPr>
    </w:p>
    <w:p w:rsidR="00A95371" w:rsidRDefault="00E559BE" w:rsidP="004614DB">
      <w:pPr>
        <w:rPr>
          <w:rFonts w:ascii="Arial" w:hAnsi="Arial"/>
          <w:b/>
          <w:sz w:val="22"/>
          <w:szCs w:val="20"/>
        </w:rPr>
      </w:pPr>
      <w:r w:rsidRPr="00E559BE">
        <w:rPr>
          <w:rFonts w:ascii="Arial" w:hAnsi="Arial"/>
          <w:b/>
          <w:sz w:val="22"/>
          <w:szCs w:val="20"/>
        </w:rPr>
        <w:t>Potential PhD project:</w:t>
      </w:r>
    </w:p>
    <w:p w:rsidR="00E559BE" w:rsidRPr="00A95371" w:rsidRDefault="00A95371" w:rsidP="004614DB">
      <w:pPr>
        <w:rPr>
          <w:rFonts w:ascii="Arial" w:hAnsi="Arial"/>
          <w:sz w:val="22"/>
          <w:szCs w:val="20"/>
        </w:rPr>
      </w:pPr>
      <w:r>
        <w:rPr>
          <w:rFonts w:ascii="Arial" w:hAnsi="Arial"/>
          <w:sz w:val="22"/>
          <w:szCs w:val="20"/>
        </w:rPr>
        <w:t xml:space="preserve">The project can expand to </w:t>
      </w:r>
      <w:r w:rsidR="002F4908">
        <w:rPr>
          <w:rFonts w:ascii="Arial" w:hAnsi="Arial"/>
          <w:sz w:val="22"/>
          <w:szCs w:val="20"/>
        </w:rPr>
        <w:t>include a 3</w:t>
      </w:r>
      <w:r w:rsidR="002F4908" w:rsidRPr="002F4908">
        <w:rPr>
          <w:rFonts w:ascii="Arial" w:hAnsi="Arial"/>
          <w:sz w:val="22"/>
          <w:szCs w:val="20"/>
          <w:vertAlign w:val="superscript"/>
        </w:rPr>
        <w:t>rd</w:t>
      </w:r>
      <w:r w:rsidR="002F4908">
        <w:rPr>
          <w:rFonts w:ascii="Arial" w:hAnsi="Arial"/>
          <w:sz w:val="22"/>
          <w:szCs w:val="20"/>
        </w:rPr>
        <w:t xml:space="preserve"> state of tubulin (the GTP/Pi-tubulin intermediate)</w:t>
      </w:r>
      <w:r w:rsidR="00705542">
        <w:rPr>
          <w:rFonts w:ascii="Arial" w:hAnsi="Arial"/>
          <w:sz w:val="22"/>
          <w:szCs w:val="20"/>
        </w:rPr>
        <w:t xml:space="preserve">, </w:t>
      </w:r>
      <w:r w:rsidR="002F4908">
        <w:rPr>
          <w:rFonts w:ascii="Arial" w:hAnsi="Arial"/>
          <w:sz w:val="22"/>
          <w:szCs w:val="20"/>
        </w:rPr>
        <w:t xml:space="preserve">which is recognised by EB3. Correlated data for EB3 intensity distribution at the plus end will directly inform </w:t>
      </w:r>
      <w:r w:rsidR="00257D6E">
        <w:rPr>
          <w:rFonts w:ascii="Arial" w:hAnsi="Arial"/>
          <w:sz w:val="22"/>
          <w:szCs w:val="20"/>
        </w:rPr>
        <w:t>such a</w:t>
      </w:r>
      <w:r w:rsidR="002F4908">
        <w:rPr>
          <w:rFonts w:ascii="Arial" w:hAnsi="Arial"/>
          <w:sz w:val="22"/>
          <w:szCs w:val="20"/>
        </w:rPr>
        <w:t xml:space="preserve"> model</w:t>
      </w:r>
      <w:r w:rsidR="00257D6E">
        <w:rPr>
          <w:rFonts w:ascii="Arial" w:hAnsi="Arial"/>
          <w:sz w:val="22"/>
          <w:szCs w:val="20"/>
        </w:rPr>
        <w:t>. We analyse microtubule dynamics in the presence of a number of regulators and aim to understand cooperation of regulators at the microtubule end. Thus a further layer of complexity would see addition of the plus end tracking proteins and their interactions to the model.</w:t>
      </w:r>
    </w:p>
    <w:p w:rsidR="005A478E" w:rsidRDefault="005A478E" w:rsidP="004614DB">
      <w:pPr>
        <w:rPr>
          <w:rFonts w:ascii="Arial" w:hAnsi="Arial"/>
          <w:b/>
          <w:sz w:val="22"/>
        </w:rPr>
      </w:pPr>
    </w:p>
    <w:p w:rsidR="005A478E" w:rsidRDefault="005A478E" w:rsidP="004614DB">
      <w:pPr>
        <w:rPr>
          <w:rFonts w:ascii="Arial" w:hAnsi="Arial"/>
          <w:b/>
          <w:sz w:val="22"/>
        </w:rPr>
      </w:pPr>
      <w:r>
        <w:rPr>
          <w:rFonts w:ascii="Arial" w:hAnsi="Arial"/>
          <w:b/>
          <w:sz w:val="22"/>
        </w:rPr>
        <w:t>References:</w:t>
      </w:r>
    </w:p>
    <w:p w:rsidR="005A478E" w:rsidRDefault="005A478E" w:rsidP="004614DB">
      <w:pPr>
        <w:rPr>
          <w:rFonts w:ascii="Arial" w:hAnsi="Arial"/>
          <w:sz w:val="18"/>
        </w:rPr>
      </w:pPr>
      <w:r>
        <w:rPr>
          <w:rFonts w:ascii="Arial" w:hAnsi="Arial"/>
          <w:sz w:val="18"/>
        </w:rPr>
        <w:t xml:space="preserve">[1] </w:t>
      </w:r>
      <w:r w:rsidRPr="005A478E">
        <w:rPr>
          <w:rFonts w:ascii="Arial" w:hAnsi="Arial"/>
          <w:sz w:val="18"/>
        </w:rPr>
        <w:t xml:space="preserve">Howard and Hyman. </w:t>
      </w:r>
      <w:proofErr w:type="gramStart"/>
      <w:r w:rsidRPr="005A478E">
        <w:rPr>
          <w:rFonts w:ascii="Arial" w:hAnsi="Arial"/>
          <w:sz w:val="18"/>
        </w:rPr>
        <w:t>Growth, fluctuation and switching at microtubule plus ends.</w:t>
      </w:r>
      <w:proofErr w:type="gramEnd"/>
      <w:r w:rsidRPr="005A478E">
        <w:rPr>
          <w:rFonts w:ascii="Arial" w:hAnsi="Arial"/>
          <w:sz w:val="18"/>
        </w:rPr>
        <w:t xml:space="preserve"> Nat Rev Mol Cell </w:t>
      </w:r>
      <w:proofErr w:type="spellStart"/>
      <w:r w:rsidRPr="005A478E">
        <w:rPr>
          <w:rFonts w:ascii="Arial" w:hAnsi="Arial"/>
          <w:sz w:val="18"/>
        </w:rPr>
        <w:t>Biol</w:t>
      </w:r>
      <w:proofErr w:type="spellEnd"/>
      <w:r w:rsidRPr="005A478E">
        <w:rPr>
          <w:rFonts w:ascii="Arial" w:hAnsi="Arial"/>
          <w:sz w:val="18"/>
        </w:rPr>
        <w:t xml:space="preserve"> (2009) </w:t>
      </w:r>
      <w:r>
        <w:rPr>
          <w:rFonts w:ascii="Arial" w:hAnsi="Arial"/>
          <w:sz w:val="18"/>
        </w:rPr>
        <w:t>10:</w:t>
      </w:r>
      <w:r w:rsidRPr="005A478E">
        <w:rPr>
          <w:rFonts w:ascii="Arial" w:hAnsi="Arial"/>
          <w:sz w:val="18"/>
        </w:rPr>
        <w:t xml:space="preserve"> 569-74</w:t>
      </w:r>
    </w:p>
    <w:p w:rsidR="00A95371" w:rsidRDefault="00A95371" w:rsidP="004614DB">
      <w:pPr>
        <w:rPr>
          <w:rFonts w:ascii="Arial" w:hAnsi="Arial"/>
          <w:sz w:val="18"/>
        </w:rPr>
      </w:pPr>
      <w:r>
        <w:rPr>
          <w:rFonts w:ascii="Arial" w:hAnsi="Arial"/>
          <w:sz w:val="18"/>
        </w:rPr>
        <w:t>[2</w:t>
      </w:r>
      <w:r w:rsidR="005A478E">
        <w:rPr>
          <w:rFonts w:ascii="Arial" w:hAnsi="Arial"/>
          <w:sz w:val="18"/>
        </w:rPr>
        <w:t xml:space="preserve">] </w:t>
      </w:r>
      <w:proofErr w:type="gramStart"/>
      <w:r w:rsidR="005A478E" w:rsidRPr="005A478E">
        <w:rPr>
          <w:rFonts w:ascii="Arial" w:hAnsi="Arial"/>
          <w:sz w:val="18"/>
        </w:rPr>
        <w:t>van</w:t>
      </w:r>
      <w:proofErr w:type="gramEnd"/>
      <w:r w:rsidR="005A478E" w:rsidRPr="005A478E">
        <w:rPr>
          <w:rFonts w:ascii="Arial" w:hAnsi="Arial"/>
          <w:sz w:val="18"/>
        </w:rPr>
        <w:t xml:space="preserve"> </w:t>
      </w:r>
      <w:proofErr w:type="spellStart"/>
      <w:r w:rsidR="005A478E" w:rsidRPr="005A478E">
        <w:rPr>
          <w:rFonts w:ascii="Arial" w:hAnsi="Arial"/>
          <w:sz w:val="18"/>
        </w:rPr>
        <w:t>der</w:t>
      </w:r>
      <w:proofErr w:type="spellEnd"/>
      <w:r w:rsidR="005A478E" w:rsidRPr="005A478E">
        <w:rPr>
          <w:rFonts w:ascii="Arial" w:hAnsi="Arial"/>
          <w:sz w:val="18"/>
        </w:rPr>
        <w:t xml:space="preserve"> </w:t>
      </w:r>
      <w:proofErr w:type="spellStart"/>
      <w:r w:rsidR="005A478E" w:rsidRPr="005A478E">
        <w:rPr>
          <w:rFonts w:ascii="Arial" w:hAnsi="Arial"/>
          <w:sz w:val="18"/>
        </w:rPr>
        <w:t>Vaart</w:t>
      </w:r>
      <w:proofErr w:type="spellEnd"/>
      <w:r w:rsidR="005A478E" w:rsidRPr="005A478E">
        <w:rPr>
          <w:rFonts w:ascii="Arial" w:hAnsi="Arial"/>
          <w:sz w:val="18"/>
        </w:rPr>
        <w:t xml:space="preserve"> et al. Regulation of microtubule dynamic instability. </w:t>
      </w:r>
      <w:proofErr w:type="spellStart"/>
      <w:r w:rsidR="005A478E" w:rsidRPr="005A478E">
        <w:rPr>
          <w:rFonts w:ascii="Arial" w:hAnsi="Arial"/>
          <w:sz w:val="18"/>
        </w:rPr>
        <w:t>Biochem</w:t>
      </w:r>
      <w:proofErr w:type="spellEnd"/>
      <w:r w:rsidR="005A478E" w:rsidRPr="005A478E">
        <w:rPr>
          <w:rFonts w:ascii="Arial" w:hAnsi="Arial"/>
          <w:sz w:val="18"/>
        </w:rPr>
        <w:t xml:space="preserve"> Soc</w:t>
      </w:r>
      <w:r w:rsidR="005A478E">
        <w:rPr>
          <w:rFonts w:ascii="Arial" w:hAnsi="Arial"/>
          <w:sz w:val="18"/>
        </w:rPr>
        <w:t xml:space="preserve"> Trans (2009) 37:</w:t>
      </w:r>
      <w:r w:rsidR="005A478E" w:rsidRPr="005A478E">
        <w:rPr>
          <w:rFonts w:ascii="Arial" w:hAnsi="Arial"/>
          <w:sz w:val="18"/>
        </w:rPr>
        <w:t xml:space="preserve"> 1007-13</w:t>
      </w:r>
    </w:p>
    <w:p w:rsidR="005A478E" w:rsidRDefault="00A95371" w:rsidP="004614DB">
      <w:pPr>
        <w:rPr>
          <w:rFonts w:ascii="Arial" w:hAnsi="Arial"/>
          <w:sz w:val="18"/>
        </w:rPr>
      </w:pPr>
      <w:proofErr w:type="gramStart"/>
      <w:r>
        <w:rPr>
          <w:rFonts w:ascii="Arial" w:hAnsi="Arial"/>
          <w:sz w:val="18"/>
        </w:rPr>
        <w:t xml:space="preserve">[3] </w:t>
      </w:r>
      <w:r w:rsidRPr="00A95371">
        <w:rPr>
          <w:rFonts w:ascii="Arial" w:hAnsi="Arial"/>
          <w:sz w:val="18"/>
        </w:rPr>
        <w:t>Straube.</w:t>
      </w:r>
      <w:proofErr w:type="gramEnd"/>
      <w:r w:rsidRPr="00A95371">
        <w:rPr>
          <w:rFonts w:ascii="Arial" w:hAnsi="Arial"/>
          <w:sz w:val="18"/>
        </w:rPr>
        <w:t xml:space="preserve"> How t</w:t>
      </w:r>
      <w:r>
        <w:rPr>
          <w:rFonts w:ascii="Arial" w:hAnsi="Arial"/>
          <w:sz w:val="18"/>
        </w:rPr>
        <w:t>o measure microtubule dynamics?</w:t>
      </w:r>
      <w:r w:rsidRPr="00A95371">
        <w:rPr>
          <w:rFonts w:ascii="Arial" w:hAnsi="Arial"/>
          <w:sz w:val="18"/>
        </w:rPr>
        <w:t xml:space="preserve"> Methods Mol </w:t>
      </w:r>
      <w:proofErr w:type="spellStart"/>
      <w:r w:rsidRPr="00A95371">
        <w:rPr>
          <w:rFonts w:ascii="Arial" w:hAnsi="Arial"/>
          <w:sz w:val="18"/>
        </w:rPr>
        <w:t>Biol</w:t>
      </w:r>
      <w:proofErr w:type="spellEnd"/>
      <w:r w:rsidRPr="00A95371">
        <w:rPr>
          <w:rFonts w:ascii="Arial" w:hAnsi="Arial"/>
          <w:sz w:val="18"/>
        </w:rPr>
        <w:t xml:space="preserve"> (2011) </w:t>
      </w:r>
      <w:r>
        <w:rPr>
          <w:rFonts w:ascii="Arial" w:hAnsi="Arial"/>
          <w:sz w:val="18"/>
        </w:rPr>
        <w:t>777:</w:t>
      </w:r>
      <w:r w:rsidRPr="00A95371">
        <w:rPr>
          <w:rFonts w:ascii="Arial" w:hAnsi="Arial"/>
          <w:sz w:val="18"/>
        </w:rPr>
        <w:t xml:space="preserve"> 1-14</w:t>
      </w:r>
    </w:p>
    <w:p w:rsidR="005A478E" w:rsidRDefault="005A478E" w:rsidP="004614DB">
      <w:pPr>
        <w:rPr>
          <w:rFonts w:ascii="Arial" w:hAnsi="Arial"/>
          <w:sz w:val="18"/>
        </w:rPr>
      </w:pPr>
      <w:r>
        <w:rPr>
          <w:rFonts w:ascii="Arial" w:hAnsi="Arial"/>
          <w:sz w:val="18"/>
        </w:rPr>
        <w:t xml:space="preserve">[4] </w:t>
      </w:r>
      <w:proofErr w:type="spellStart"/>
      <w:proofErr w:type="gramStart"/>
      <w:r w:rsidRPr="005A478E">
        <w:rPr>
          <w:rFonts w:ascii="Arial" w:hAnsi="Arial"/>
          <w:sz w:val="18"/>
        </w:rPr>
        <w:t>VanBuren</w:t>
      </w:r>
      <w:proofErr w:type="spellEnd"/>
      <w:r w:rsidRPr="005A478E">
        <w:rPr>
          <w:rFonts w:ascii="Arial" w:hAnsi="Arial"/>
          <w:sz w:val="18"/>
        </w:rPr>
        <w:t xml:space="preserve"> et al. Mechanochemical model of microtubule structure and self-assembly kinetics.</w:t>
      </w:r>
      <w:proofErr w:type="gramEnd"/>
      <w:r w:rsidRPr="005A478E">
        <w:rPr>
          <w:rFonts w:ascii="Arial" w:hAnsi="Arial"/>
          <w:sz w:val="18"/>
        </w:rPr>
        <w:t xml:space="preserve"> </w:t>
      </w:r>
      <w:proofErr w:type="spellStart"/>
      <w:r w:rsidRPr="005A478E">
        <w:rPr>
          <w:rFonts w:ascii="Arial" w:hAnsi="Arial"/>
          <w:sz w:val="18"/>
        </w:rPr>
        <w:t>Biophys</w:t>
      </w:r>
      <w:proofErr w:type="spellEnd"/>
      <w:r w:rsidRPr="005A478E">
        <w:rPr>
          <w:rFonts w:ascii="Arial" w:hAnsi="Arial"/>
          <w:sz w:val="18"/>
        </w:rPr>
        <w:t xml:space="preserve"> J (2005) </w:t>
      </w:r>
      <w:r>
        <w:rPr>
          <w:rFonts w:ascii="Arial" w:hAnsi="Arial"/>
          <w:sz w:val="18"/>
        </w:rPr>
        <w:t xml:space="preserve">89: </w:t>
      </w:r>
      <w:r w:rsidRPr="005A478E">
        <w:rPr>
          <w:rFonts w:ascii="Arial" w:hAnsi="Arial"/>
          <w:sz w:val="18"/>
        </w:rPr>
        <w:t>2911-26</w:t>
      </w:r>
    </w:p>
    <w:p w:rsidR="005A478E" w:rsidRDefault="005A478E" w:rsidP="004614DB">
      <w:pPr>
        <w:rPr>
          <w:rFonts w:ascii="Arial" w:hAnsi="Arial"/>
          <w:sz w:val="18"/>
        </w:rPr>
      </w:pPr>
      <w:r>
        <w:rPr>
          <w:rFonts w:ascii="Arial" w:hAnsi="Arial"/>
          <w:sz w:val="18"/>
        </w:rPr>
        <w:t xml:space="preserve">[5] </w:t>
      </w:r>
      <w:proofErr w:type="gramStart"/>
      <w:r w:rsidRPr="005A478E">
        <w:rPr>
          <w:rFonts w:ascii="Arial" w:hAnsi="Arial"/>
          <w:sz w:val="18"/>
        </w:rPr>
        <w:t>Gardner et al. Rapid microtubule self-assembly kinetics.</w:t>
      </w:r>
      <w:proofErr w:type="gramEnd"/>
      <w:r w:rsidRPr="005A478E">
        <w:rPr>
          <w:rFonts w:ascii="Arial" w:hAnsi="Arial"/>
          <w:sz w:val="18"/>
        </w:rPr>
        <w:t xml:space="preserve"> Cell (2011) 146</w:t>
      </w:r>
      <w:r w:rsidR="00A95371">
        <w:rPr>
          <w:rFonts w:ascii="Arial" w:hAnsi="Arial"/>
          <w:sz w:val="18"/>
        </w:rPr>
        <w:t>:</w:t>
      </w:r>
      <w:r w:rsidRPr="005A478E">
        <w:rPr>
          <w:rFonts w:ascii="Arial" w:hAnsi="Arial"/>
          <w:sz w:val="18"/>
        </w:rPr>
        <w:t xml:space="preserve"> 582-92</w:t>
      </w:r>
    </w:p>
    <w:p w:rsidR="005A478E" w:rsidRDefault="005A478E" w:rsidP="004614DB">
      <w:pPr>
        <w:rPr>
          <w:rFonts w:ascii="Arial" w:hAnsi="Arial"/>
          <w:sz w:val="18"/>
        </w:rPr>
      </w:pPr>
      <w:r>
        <w:rPr>
          <w:rFonts w:ascii="Arial" w:hAnsi="Arial"/>
          <w:sz w:val="18"/>
        </w:rPr>
        <w:t xml:space="preserve">[6] </w:t>
      </w:r>
      <w:proofErr w:type="spellStart"/>
      <w:r w:rsidRPr="005A478E">
        <w:rPr>
          <w:rFonts w:ascii="Arial" w:hAnsi="Arial"/>
          <w:sz w:val="18"/>
        </w:rPr>
        <w:t>Margolin</w:t>
      </w:r>
      <w:proofErr w:type="spellEnd"/>
      <w:r w:rsidRPr="005A478E">
        <w:rPr>
          <w:rFonts w:ascii="Arial" w:hAnsi="Arial"/>
          <w:sz w:val="18"/>
        </w:rPr>
        <w:t xml:space="preserve"> et al. The mechanisms of microtubule catastrophe and rescue: implications from analysis of a </w:t>
      </w:r>
      <w:proofErr w:type="spellStart"/>
      <w:r w:rsidRPr="005A478E">
        <w:rPr>
          <w:rFonts w:ascii="Arial" w:hAnsi="Arial"/>
          <w:sz w:val="18"/>
        </w:rPr>
        <w:t>dimer</w:t>
      </w:r>
      <w:proofErr w:type="spellEnd"/>
      <w:r w:rsidRPr="005A478E">
        <w:rPr>
          <w:rFonts w:ascii="Arial" w:hAnsi="Arial"/>
          <w:sz w:val="18"/>
        </w:rPr>
        <w:t xml:space="preserve">-scale computational model. Mol </w:t>
      </w:r>
      <w:proofErr w:type="spellStart"/>
      <w:r w:rsidRPr="005A478E">
        <w:rPr>
          <w:rFonts w:ascii="Arial" w:hAnsi="Arial"/>
          <w:sz w:val="18"/>
        </w:rPr>
        <w:t>Biol</w:t>
      </w:r>
      <w:proofErr w:type="spellEnd"/>
      <w:r w:rsidRPr="005A478E">
        <w:rPr>
          <w:rFonts w:ascii="Arial" w:hAnsi="Arial"/>
          <w:sz w:val="18"/>
        </w:rPr>
        <w:t xml:space="preserve"> Cell (2012</w:t>
      </w:r>
      <w:r w:rsidR="00A95371">
        <w:rPr>
          <w:rFonts w:ascii="Arial" w:hAnsi="Arial"/>
          <w:sz w:val="18"/>
        </w:rPr>
        <w:t xml:space="preserve">) </w:t>
      </w:r>
      <w:r w:rsidRPr="005A478E">
        <w:rPr>
          <w:rFonts w:ascii="Arial" w:hAnsi="Arial"/>
          <w:sz w:val="18"/>
        </w:rPr>
        <w:t>23</w:t>
      </w:r>
      <w:r w:rsidR="00A95371">
        <w:rPr>
          <w:rFonts w:ascii="Arial" w:hAnsi="Arial"/>
          <w:sz w:val="18"/>
        </w:rPr>
        <w:t>:</w:t>
      </w:r>
      <w:r w:rsidRPr="005A478E">
        <w:rPr>
          <w:rFonts w:ascii="Arial" w:hAnsi="Arial"/>
          <w:sz w:val="18"/>
        </w:rPr>
        <w:t xml:space="preserve"> 642-56</w:t>
      </w:r>
    </w:p>
    <w:p w:rsidR="004614DB" w:rsidRPr="005A478E" w:rsidRDefault="005A478E" w:rsidP="004614DB">
      <w:pPr>
        <w:rPr>
          <w:rFonts w:ascii="Arial" w:hAnsi="Arial"/>
          <w:sz w:val="18"/>
        </w:rPr>
      </w:pPr>
      <w:r>
        <w:rPr>
          <w:rFonts w:ascii="Arial" w:hAnsi="Arial"/>
          <w:sz w:val="18"/>
        </w:rPr>
        <w:t xml:space="preserve">[7] </w:t>
      </w:r>
      <w:proofErr w:type="spellStart"/>
      <w:r w:rsidRPr="005A478E">
        <w:rPr>
          <w:rFonts w:ascii="Arial" w:hAnsi="Arial"/>
          <w:sz w:val="18"/>
        </w:rPr>
        <w:t>Piette</w:t>
      </w:r>
      <w:proofErr w:type="spellEnd"/>
      <w:r w:rsidRPr="005A478E">
        <w:rPr>
          <w:rFonts w:ascii="Arial" w:hAnsi="Arial"/>
          <w:sz w:val="18"/>
        </w:rPr>
        <w:t xml:space="preserve"> et al. </w:t>
      </w:r>
      <w:proofErr w:type="gramStart"/>
      <w:r w:rsidRPr="005A478E">
        <w:rPr>
          <w:rFonts w:ascii="Arial" w:hAnsi="Arial"/>
          <w:sz w:val="18"/>
        </w:rPr>
        <w:t>A thermodynamic model of microtubule assembly and disassembly.</w:t>
      </w:r>
      <w:proofErr w:type="gramEnd"/>
      <w:r w:rsidRPr="005A478E">
        <w:rPr>
          <w:rFonts w:ascii="Arial" w:hAnsi="Arial"/>
          <w:sz w:val="18"/>
        </w:rPr>
        <w:t xml:space="preserve"> </w:t>
      </w:r>
      <w:proofErr w:type="spellStart"/>
      <w:r w:rsidRPr="005A478E">
        <w:rPr>
          <w:rFonts w:ascii="Arial" w:hAnsi="Arial"/>
          <w:sz w:val="18"/>
        </w:rPr>
        <w:t>PLoS</w:t>
      </w:r>
      <w:proofErr w:type="spellEnd"/>
      <w:r w:rsidRPr="005A478E">
        <w:rPr>
          <w:rFonts w:ascii="Arial" w:hAnsi="Arial"/>
          <w:sz w:val="18"/>
        </w:rPr>
        <w:t xml:space="preserve"> ONE (2009) </w:t>
      </w:r>
      <w:r w:rsidR="00A95371">
        <w:rPr>
          <w:rFonts w:ascii="Arial" w:hAnsi="Arial"/>
          <w:sz w:val="18"/>
        </w:rPr>
        <w:t>4:</w:t>
      </w:r>
      <w:r w:rsidRPr="005A478E">
        <w:rPr>
          <w:rFonts w:ascii="Arial" w:hAnsi="Arial"/>
          <w:sz w:val="18"/>
        </w:rPr>
        <w:t xml:space="preserve"> e6378</w:t>
      </w:r>
    </w:p>
    <w:sectPr w:rsidR="004614DB" w:rsidRPr="005A478E" w:rsidSect="00484D51">
      <w:pgSz w:w="11900" w:h="16840"/>
      <w:pgMar w:top="1134" w:right="1134" w:bottom="1134" w:left="1134" w:header="709" w:footer="709"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4614DB"/>
    <w:rsid w:val="00033EB7"/>
    <w:rsid w:val="000F5C79"/>
    <w:rsid w:val="001078B0"/>
    <w:rsid w:val="00257D6E"/>
    <w:rsid w:val="00275BF0"/>
    <w:rsid w:val="002F4908"/>
    <w:rsid w:val="00323B59"/>
    <w:rsid w:val="004614DB"/>
    <w:rsid w:val="00484D51"/>
    <w:rsid w:val="005A478E"/>
    <w:rsid w:val="00705542"/>
    <w:rsid w:val="007423BA"/>
    <w:rsid w:val="00850422"/>
    <w:rsid w:val="008D52B1"/>
    <w:rsid w:val="00A95371"/>
    <w:rsid w:val="00AA06E6"/>
    <w:rsid w:val="00B70EA7"/>
    <w:rsid w:val="00BF59AF"/>
    <w:rsid w:val="00C55B02"/>
    <w:rsid w:val="00D22987"/>
    <w:rsid w:val="00E559BE"/>
  </w:rsids>
  <m:mathPr>
    <m:mathFont m:val="Arial Black"/>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395E"/>
    <w:rPr>
      <w:lang w:val="en-GB"/>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divs>
    <w:div w:id="55404389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8.png"/><Relationship Id="rId12" Type="http://schemas.openxmlformats.org/officeDocument/2006/relationships/image" Target="media/image9.png"/><Relationship Id="rId13" Type="http://schemas.openxmlformats.org/officeDocument/2006/relationships/image" Target="media/image10.pn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image" Target="media/image1.pdf"/><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269</TotalTime>
  <Pages>1</Pages>
  <Words>0</Words>
  <Characters>0</Characters>
  <Application>Microsoft Macintosh Word</Application>
  <DocSecurity>0</DocSecurity>
  <Lines>1</Lines>
  <Paragraphs>1</Paragraphs>
  <ScaleCrop>false</ScaleCrop>
  <Company>Centre for Mechanochemical Cell Biology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Anne Straube</cp:lastModifiedBy>
  <cp:revision>6</cp:revision>
  <cp:lastPrinted>2013-02-07T14:49:00Z</cp:lastPrinted>
  <dcterms:created xsi:type="dcterms:W3CDTF">2013-02-06T14:36:00Z</dcterms:created>
  <dcterms:modified xsi:type="dcterms:W3CDTF">2013-02-07T15:42:00Z</dcterms:modified>
</cp:coreProperties>
</file>