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6692" w:rsidRDefault="008A6692" w:rsidP="005E38CB">
      <w:pPr>
        <w:jc w:val="center"/>
        <w:rPr>
          <w:sz w:val="32"/>
          <w:szCs w:val="32"/>
        </w:rPr>
      </w:pPr>
      <w:r w:rsidRPr="008A6692">
        <w:rPr>
          <w:sz w:val="32"/>
          <w:szCs w:val="32"/>
        </w:rPr>
        <w:t xml:space="preserve">Data Analysis and Processing in Video Rate Electrochemical Scanning Probe Microscopy </w:t>
      </w:r>
    </w:p>
    <w:p w:rsidR="00C83522" w:rsidRDefault="00C83522" w:rsidP="005E38CB">
      <w:pPr>
        <w:jc w:val="center"/>
      </w:pPr>
      <w:r>
        <w:t xml:space="preserve">Supervisors: </w:t>
      </w:r>
      <w:r w:rsidR="000B359D">
        <w:t>Dr.</w:t>
      </w:r>
      <w:r w:rsidR="0068774C">
        <w:t xml:space="preserve"> </w:t>
      </w:r>
      <w:r>
        <w:t>Kim McKelvey</w:t>
      </w:r>
      <w:r w:rsidR="00090B5E" w:rsidRPr="00090B5E">
        <w:t xml:space="preserve"> </w:t>
      </w:r>
      <w:r w:rsidR="00090B5E">
        <w:t>and Prof.</w:t>
      </w:r>
      <w:r w:rsidR="0068774C">
        <w:t xml:space="preserve"> </w:t>
      </w:r>
      <w:r w:rsidR="00090B5E">
        <w:t>Patrick R. Unwin</w:t>
      </w:r>
    </w:p>
    <w:p w:rsidR="00C83522" w:rsidRPr="00C83522" w:rsidRDefault="00C83522" w:rsidP="0030568F">
      <w:pPr>
        <w:jc w:val="both"/>
        <w:rPr>
          <w:b/>
        </w:rPr>
      </w:pPr>
      <w:r w:rsidRPr="00C83522">
        <w:rPr>
          <w:b/>
        </w:rPr>
        <w:t>Background</w:t>
      </w:r>
    </w:p>
    <w:p w:rsidR="002B4E4B" w:rsidRDefault="000B359D" w:rsidP="0030568F">
      <w:pPr>
        <w:jc w:val="both"/>
        <w:rPr>
          <w:lang w:val="en-US"/>
        </w:rPr>
      </w:pPr>
      <w:r w:rsidRPr="000B359D">
        <w:t xml:space="preserve">The Warwick Electrochemistry and Interfaces group </w:t>
      </w:r>
      <w:r>
        <w:t xml:space="preserve">is a world leading research group </w:t>
      </w:r>
      <w:r w:rsidR="003009F2">
        <w:t>which</w:t>
      </w:r>
      <w:r>
        <w:t xml:space="preserve"> specialises in </w:t>
      </w:r>
      <w:r w:rsidR="00F51A97">
        <w:t xml:space="preserve">the development and </w:t>
      </w:r>
      <w:r w:rsidR="008A6692">
        <w:t>application</w:t>
      </w:r>
      <w:r w:rsidR="00F51A97">
        <w:t xml:space="preserve"> of e</w:t>
      </w:r>
      <w:r>
        <w:t xml:space="preserve">lectrochemical scanning probe </w:t>
      </w:r>
      <w:r w:rsidR="00A059D5">
        <w:t xml:space="preserve">microscopy (EC-SPM). We </w:t>
      </w:r>
      <w:r w:rsidR="00F51A97">
        <w:t xml:space="preserve">fabricate </w:t>
      </w:r>
      <w:r w:rsidR="00A059D5">
        <w:t xml:space="preserve">new </w:t>
      </w:r>
      <w:r w:rsidR="002A11FA">
        <w:t xml:space="preserve">types of </w:t>
      </w:r>
      <w:r w:rsidR="008A6692">
        <w:t xml:space="preserve">nanoscale </w:t>
      </w:r>
      <w:r w:rsidR="00F51A97">
        <w:t xml:space="preserve">multifunction </w:t>
      </w:r>
      <w:r w:rsidR="0021680C">
        <w:t>probe</w:t>
      </w:r>
      <w:r w:rsidR="00090B5E">
        <w:t>s</w:t>
      </w:r>
      <w:r w:rsidR="0021680C">
        <w:t>;</w:t>
      </w:r>
      <w:r w:rsidR="00020270">
        <w:fldChar w:fldCharType="begin" w:fldLock="1"/>
      </w:r>
      <w:r w:rsidR="00E46A5A">
        <w:instrText>ADDIN CSL_CITATION { "citationItems" : [ { "id" : "ITEM-1", "itemData" : { "DOI" : "10.1021/ac401883n", "ISSN" : "1520-6882", "PMID" : "23919610", "abstract" : "The easy fabrication and use of nanoscale dual function pH-scanning ion conductance microscopy (SICM) probes is reported. These probes incorporate an iridium oxide coated carbon electrode for pH measurement and an SICM barrel for distance control, enabling simultaneous pH and topography mapping. These pH-SICM probes were fabricated rapidly from laser pulled theta quartz pipets, with the pH electrode prepared by in situ carbon filling of one of the barrels by the pyrolytic decomposition of butane, followed by electrodeposition of a thin layer of hydrous iridium oxide. The other barrel was filled with an electrolyte solution and Ag/AgCl electrode as part of a conductance cell for SICM. The fabricated probes, with pH and SICM sensing elements typically on the 100 nm scale, were characterized by scanning electron microscopy, energy-dispersive X-ray spectroscopy, and various electrochemical measurements. They showed a linear super-Nernstian pH response over a range of pH (pH 2-10). The capability of the pH-SICM probe was demonstrated by detecting both pH and topographical changes during the dissolution of a calcite microcrystal in aqueous solution. This system illustrates the quantitative nature of pH-SICM imaging, because the dissolution process changes the crystal height and interfacial pH (compared to bulk), and each is sensitive to the rate. Both measurements reveal similar dissolution rates, which are in agreement with previously reported literature values measured by classical bulk methods.", "author" : [ { "dropping-particle" : "", "family" : "Nadappuram", "given" : "Binoy Paulose", "non-dropping-particle" : "", "parse-names" : false, "suffix" : "" }, { "dropping-particle" : "", "family" : "McKelvey", "given" : "Kim", "non-dropping-particle" : "", "parse-names" : false, "suffix" : "" }, { "dropping-particle" : "", "family" : "Botros", "given" : "Rehab", "non-dropping-particle" : "Al", "parse-names" : false, "suffix" : "" }, { "dropping-particle" : "", "family" : "Colburn", "given" : "Alex W", "non-dropping-particle" : "", "parse-names" : false, "suffix" : "" }, { "dropping-particle" : "", "family" : "Unwin", "given" : "Patrick R", "non-dropping-particle" : "", "parse-names" : false, "suffix" : "" } ], "container-title" : "Analytical chemistry", "id" : "ITEM-1", "issue" : "17", "issued" : { "date-parts" : [ [ "2013", "9", "3" ] ] }, "page" : "8070-4", "title" : "Fabrication and characterization of dual function nanoscale pH-scanning ion conductance microscopy (SICM) probes for high resolution pH mapping.", "type" : "article-journal", "volume" : "85" }, "uris" : [ "http://www.mendeley.com/documents/?uuid=0b570aa0-690a-402b-a11a-40591b92cc54" ] } ], "mendeley" : { "previouslyFormattedCitation" : "&lt;sup&gt;1&lt;/sup&gt;" }, "properties" : { "noteIndex" : 0 }, "schema" : "https://github.com/citation-style-language/schema/raw/master/csl-citation.json" }</w:instrText>
      </w:r>
      <w:r w:rsidR="00020270">
        <w:fldChar w:fldCharType="separate"/>
      </w:r>
      <w:r w:rsidR="00E46A5A" w:rsidRPr="00E46A5A">
        <w:rPr>
          <w:noProof/>
          <w:vertAlign w:val="superscript"/>
        </w:rPr>
        <w:t>1</w:t>
      </w:r>
      <w:r w:rsidR="00020270">
        <w:fldChar w:fldCharType="end"/>
      </w:r>
      <w:r w:rsidR="00F51A97">
        <w:t xml:space="preserve"> develop</w:t>
      </w:r>
      <w:r w:rsidR="00A059D5">
        <w:t xml:space="preserve"> new techniques to place </w:t>
      </w:r>
      <w:r w:rsidR="0030568F">
        <w:t>a</w:t>
      </w:r>
      <w:r w:rsidR="00A059D5">
        <w:t xml:space="preserve"> probe precisely </w:t>
      </w:r>
      <w:r w:rsidR="008A6692">
        <w:t xml:space="preserve">(within nanometres) </w:t>
      </w:r>
      <w:r w:rsidR="00A059D5">
        <w:t>over a sample</w:t>
      </w:r>
      <w:r w:rsidR="000F40BA">
        <w:t>;</w:t>
      </w:r>
      <w:r w:rsidR="00020270">
        <w:fldChar w:fldCharType="begin" w:fldLock="1"/>
      </w:r>
      <w:r w:rsidR="00E46A5A">
        <w:instrText>ADDIN CSL_CITATION { "citationItems" : [ { "id" : "ITEM-1", "itemData" : { "DOI" : "10.1146/annurev-anchem-062012-092650", "ISSN" : "1936-1335", "PMID" : "23560932", "abstract" : "Scanning electrochemical cell microscopy (SECCM) is a new pipette-based imaging technique purposely designed to allow simultaneous electrochemical, conductance, and topographical visualization of surfaces and interfaces. SECCM uses a tiny meniscus or droplet, confined between the probe and the surface, for high-resolution functional imaging and nanoscale electrochemical measurements. Here we introduce this technique and provide an overview of its principles, instrumentation, and theory. We discuss the power of SECCM in resolving complex structure-activity problems and provide considerable new information on electrode processes by referring to key example systems, including graphene, graphite, carbon nanotubes, nanoparticles, and conducting diamond. The many longstanding questions that SECCM has been able to answer during its short existence demonstrate its potential to become a major technique in electrochemistry and interfacial science. Expected final online publication date for the Annual Review of Analytical Chemistry Volume 6 is June 15, 2013. Please see http://www.annualreviews.org/catalog/pubdates.aspx for revised estimates.", "author" : [ { "dropping-particle" : "", "family" : "Ebejer", "given" : "Neil", "non-dropping-particle" : "", "parse-names" : false, "suffix" : "" }, { "dropping-particle" : "", "family" : "G\u00fcell", "given" : "Aleix G", "non-dropping-particle" : "", "parse-names" : false, "suffix" : "" }, { "dropping-particle" : "", "family" : "Lai", "given" : "Stanley C S", "non-dropping-particle" : "", "parse-names" : false, "suffix" : "" }, { "dropping-particle" : "", "family" : "McKelvey", "given" : "Kim", "non-dropping-particle" : "", "parse-names" : false, "suffix" : "" }, { "dropping-particle" : "", "family" : "Snowden", "given" : "Michael E", "non-dropping-particle" : "", "parse-names" : false, "suffix" : "" }, { "dropping-particle" : "", "family" : "Unwin", "given" : "Patrick R", "non-dropping-particle" : "", "parse-names" : false, "suffix" : "" } ], "container-title" : "Ann. Rev. Anal. Chem.", "id" : "ITEM-1", "issued" : { "date-parts" : [ [ "2013", "4", "1" ] ] }, "page" : "329-351", "title" : "Scanning Electrochemical Cell Microscopy: A Versatile Technique for Nanoscale Electrochemistry and Functional Imaging.", "type" : "article-journal", "volume" : "6" }, "uris" : [ "http://www.mendeley.com/documents/?uuid=2b383350-1d4a-4efa-87db-07130705ee0c" ] } ], "mendeley" : { "previouslyFormattedCitation" : "&lt;sup&gt;2&lt;/sup&gt;" }, "properties" : { "noteIndex" : 0 }, "schema" : "https://github.com/citation-style-language/schema/raw/master/csl-citation.json" }</w:instrText>
      </w:r>
      <w:r w:rsidR="00020270">
        <w:fldChar w:fldCharType="separate"/>
      </w:r>
      <w:r w:rsidR="00E46A5A" w:rsidRPr="00E46A5A">
        <w:rPr>
          <w:noProof/>
          <w:vertAlign w:val="superscript"/>
        </w:rPr>
        <w:t>2</w:t>
      </w:r>
      <w:r w:rsidR="00020270">
        <w:fldChar w:fldCharType="end"/>
      </w:r>
      <w:r w:rsidR="00090B5E">
        <w:t xml:space="preserve"> </w:t>
      </w:r>
      <w:r w:rsidR="00F51A97">
        <w:t xml:space="preserve">and </w:t>
      </w:r>
      <w:r w:rsidR="0030568F">
        <w:t xml:space="preserve">investigating a </w:t>
      </w:r>
      <w:r w:rsidR="00A059D5">
        <w:t xml:space="preserve">wide range of </w:t>
      </w:r>
      <w:r w:rsidR="003009F2" w:rsidRPr="003009F2">
        <w:rPr>
          <w:lang w:val="en-US"/>
        </w:rPr>
        <w:t>physicochemical processes</w:t>
      </w:r>
      <w:r w:rsidR="00EE1EE5">
        <w:rPr>
          <w:lang w:val="en-US"/>
        </w:rPr>
        <w:t xml:space="preserve"> (such as </w:t>
      </w:r>
      <w:r w:rsidR="00EE1EE5" w:rsidRPr="00EE1EE5">
        <w:t>crystal growth and dissolution,</w:t>
      </w:r>
      <w:r w:rsidR="00EE1EE5" w:rsidRPr="00EE1EE5">
        <w:fldChar w:fldCharType="begin" w:fldLock="1"/>
      </w:r>
      <w:r w:rsidR="00E46A5A">
        <w:instrText>ADDIN CSL_CITATION { "citationItems" : [ { "id" : "ITEM-1", "itemData" : { "DOI" : "10.1021/la403630u", "ISSN" : "1520-5827", "PMID" : "24224979", "abstract" : "A new approach to the study of ionic crystal dissolution kinetics is described, based on the use of a dual-barrel theta conductance micropipet. The solution in the pipet is undersaturated with respect to the crystal of interest, and when the meniscus at the end of the micropipet makes contact with a selected region of the crystal surface, dissolution occurs causing the solution composition to change. This is observed, with better than 1 ms time resolution, as a change in the ion conductance current, measured across a potential bias between an electrode in each barrel of the pipet. Key attributes of this new technique are: (i) dissolution can be targeted at a single crystal surface; (ii) multiple measurements can be made quickly and easily by moving the pipet to a new location on the surface; (iii) materials with a wide range of kinetics and solubilities are open to study because the duration of dissolution is controlled by the meniscus contact time; (iv) fast kinetics are readily amenable to study because of the intrinsically high mass transport rates within tapered micropipets; (v) the experimental geometry is well-defined, permitting finite element method modeling to allow quantitative analysis of experimental data. Herein, we study the dissolution of NaCl as an example system, with dissolution induced for just a few milliseconds, and estimate a first-order heterogeneous rate constant of 7.5 (\u00b12.5) \u00d7 10(-5) cm s(-1) (equivalent surface dissolution flux ca. 0.5 \u03bcmol cm(-2) s(-1) into a completely undersaturated solution). Ionic crystals form a huge class of materials whose dissolution properties are of considerable interest, and we thus anticipate that this new localized microscale surface approach will have considerable applicability in the future.", "author" : [ { "dropping-particle" : "", "family" : "Kinnear", "given" : "Sophie L", "non-dropping-particle" : "", "parse-names" : false, "suffix" : "" }, { "dropping-particle" : "", "family" : "McKelvey", "given" : "Kim", "non-dropping-particle" : "", "parse-names" : false, "suffix" : "" }, { "dropping-particle" : "", "family" : "Snowden", "given" : "Michael E", "non-dropping-particle" : "", "parse-names" : false, "suffix" : "" }, { "dropping-particle" : "", "family" : "Peruffo", "given" : "Massimo", "non-dropping-particle" : "", "parse-names" : false, "suffix" : "" }, { "dropping-particle" : "", "family" : "Colburn", "given" : "Alex W", "non-dropping-particle" : "", "parse-names" : false, "suffix" : "" }, { "dropping-particle" : "", "family" : "Unwin", "given" : "Patrick R", "non-dropping-particle" : "", "parse-names" : false, "suffix" : "" } ], "container-title" : "Langmuir : the ACS journal of surfaces and colloids", "id" : "ITEM-1", "issue" : "50", "issued" : { "date-parts" : [ [ "2013", "12", "17" ] ] }, "page" : "15565-72", "title" : "Dual-barrel conductance micropipet as a new approach to the study of ionic crystal dissolution kinetics.", "type" : "article-journal", "volume" : "29" }, "uris" : [ "http://www.mendeley.com/documents/?uuid=cca1fd86-0939-40d0-9df6-6095d1d5b91a" ] } ], "mendeley" : { "previouslyFormattedCitation" : "&lt;sup&gt;3&lt;/sup&gt;" }, "properties" : { "noteIndex" : 0 }, "schema" : "https://github.com/citation-style-language/schema/raw/master/csl-citation.json" }</w:instrText>
      </w:r>
      <w:r w:rsidR="00EE1EE5" w:rsidRPr="00EE1EE5">
        <w:fldChar w:fldCharType="separate"/>
      </w:r>
      <w:r w:rsidR="00E46A5A" w:rsidRPr="00E46A5A">
        <w:rPr>
          <w:noProof/>
          <w:vertAlign w:val="superscript"/>
        </w:rPr>
        <w:t>3</w:t>
      </w:r>
      <w:r w:rsidR="00EE1EE5" w:rsidRPr="00EE1EE5">
        <w:rPr>
          <w:lang w:val="en-US"/>
        </w:rPr>
        <w:fldChar w:fldCharType="end"/>
      </w:r>
      <w:r w:rsidR="00EE1EE5">
        <w:rPr>
          <w:lang w:val="en-US"/>
        </w:rPr>
        <w:t xml:space="preserve"> the </w:t>
      </w:r>
      <w:r w:rsidR="00EE1EE5" w:rsidRPr="00EE1EE5">
        <w:t>properties of diamond,</w:t>
      </w:r>
      <w:r w:rsidR="00EE1EE5" w:rsidRPr="00EE1EE5">
        <w:fldChar w:fldCharType="begin" w:fldLock="1"/>
      </w:r>
      <w:r w:rsidR="00E46A5A">
        <w:instrText>ADDIN CSL_CITATION { "citationItems" : [ { "id" : "ITEM-1", "itemData" : { "DOI" : "10.1002/anie.201203057", "ISSN" : "1521-3773", "PMID" : "22696181", "abstract" : "Conducting carbon materials: a multi-microscopy approach shows that local heterogeneous electron-transfer rates at conducting diamond electrodes correlate with the local density of electronic states. This model of electroactivity is of considerable value for the rational design of conducting diamond electrochemical technologies, and also provides key general insights on electrode structure controls in electrochemical kinetics.", "author" : [ { "dropping-particle" : "V.", "family" : "Patten", "given" : "Hollie", "non-dropping-particle" : "", "parse-names" : false, "suffix" : "" }, { "dropping-particle" : "", "family" : "Meadows", "given" : "Katherine E.", "non-dropping-particle" : "", "parse-names" : false, "suffix" : "" }, { "dropping-particle" : "", "family" : "Hutton", "given" : "Laura A.", "non-dropping-particle" : "", "parse-names" : false, "suffix" : "" }, { "dropping-particle" : "", "family" : "Iacobini", "given" : "James G.", "non-dropping-particle" : "", "parse-names" : false, "suffix" : "" }, { "dropping-particle" : "", "family" : "Battistel", "given" : "Dario", "non-dropping-particle" : "", "parse-names" : false, "suffix" : "" }, { "dropping-particle" : "", "family" : "McKelvey", "given" : "Kim", "non-dropping-particle" : "", "parse-names" : false, "suffix" : "" }, { "dropping-particle" : "", "family" : "Colburn", "given" : "Alexander W.", "non-dropping-particle" : "", "parse-names" : false, "suffix" : "" }, { "dropping-particle" : "", "family" : "Newton", "given" : "Mark E.", "non-dropping-particle" : "", "parse-names" : false, "suffix" : "" }, { "dropping-particle" : "V.", "family" : "Macpherson", "given" : "Julie", "non-dropping-particle" : "", "parse-names" : false, "suffix" : "" }, { "dropping-particle" : "", "family" : "Unwin", "given" : "Patrick R.", "non-dropping-particle" : "", "parse-names" : false, "suffix" : "" } ], "container-title" : "Angew. Chem. Int. Edit.", "id" : "ITEM-1", "issue" : "28", "issued" : { "date-parts" : [ [ "2012", "7", "9" ] ] }, "page" : "7002-7006", "title" : "Electrochemical mapping reveals direct correlation between heterogeneous electron-transfer kinetics and local density of states in diamond electrodes", "type" : "article-journal", "volume" : "51" }, "uris" : [ "http://www.mendeley.com/documents/?uuid=5f7bd10d-be6a-49c2-9488-b755aa577db9" ] } ], "mendeley" : { "previouslyFormattedCitation" : "&lt;sup&gt;4&lt;/sup&gt;" }, "properties" : { "noteIndex" : 0 }, "schema" : "https://github.com/citation-style-language/schema/raw/master/csl-citation.json" }</w:instrText>
      </w:r>
      <w:r w:rsidR="00EE1EE5" w:rsidRPr="00EE1EE5">
        <w:fldChar w:fldCharType="separate"/>
      </w:r>
      <w:r w:rsidR="00E46A5A" w:rsidRPr="00E46A5A">
        <w:rPr>
          <w:noProof/>
          <w:vertAlign w:val="superscript"/>
        </w:rPr>
        <w:t>4</w:t>
      </w:r>
      <w:r w:rsidR="00EE1EE5" w:rsidRPr="00EE1EE5">
        <w:rPr>
          <w:lang w:val="en-US"/>
        </w:rPr>
        <w:fldChar w:fldCharType="end"/>
      </w:r>
      <w:r w:rsidR="00EE1EE5" w:rsidRPr="00EE1EE5">
        <w:t xml:space="preserve"> carbon nanotubes</w:t>
      </w:r>
      <w:r w:rsidR="00EE1EE5" w:rsidRPr="00EE1EE5">
        <w:fldChar w:fldCharType="begin" w:fldLock="1"/>
      </w:r>
      <w:r w:rsidR="00E46A5A">
        <w:instrText>ADDIN CSL_CITATION { "citationItems" : [ { "id" : "ITEM-1", "itemData" : { "DOI" : "10.1021/nl403752e", "ISSN" : "1530-6992", "PMID" : "24274402", "abstract" : "We introduce a multiprobe platform for the investigation of single-walled carbon nanotubes (SWNTs) that allows the electrochemical response of an individual SWNT to be mapped at high spatial resolution and correlated directly with the intrinsic electronic and structural properties. With this approach, we develop a detailed picture of the factors controlling electrochemistry at SWNTs and propose a definitive model that has major implications for future architectures of SWNT electrode devices.", "author" : [ { "dropping-particle" : "", "family" : "G\u00fcell", "given" : "Aleix G", "non-dropping-particle" : "", "parse-names" : false, "suffix" : "" }, { "dropping-particle" : "", "family" : "Meadows", "given" : "Katherine E", "non-dropping-particle" : "", "parse-names" : false, "suffix" : "" }, { "dropping-particle" : "V", "family" : "Dudin", "given" : "Petr", "non-dropping-particle" : "", "parse-names" : false, "suffix" : "" }, { "dropping-particle" : "", "family" : "Ebejer", "given" : "Neil", "non-dropping-particle" : "", "parse-names" : false, "suffix" : "" }, { "dropping-particle" : "V", "family" : "Macpherson", "given" : "Julie", "non-dropping-particle" : "", "parse-names" : false, "suffix" : "" }, { "dropping-particle" : "", "family" : "Unwin", "given" : "Patrick R", "non-dropping-particle" : "", "parse-names" : false, "suffix" : "" } ], "container-title" : "Nano letters", "id" : "ITEM-1", "issue" : "1", "issued" : { "date-parts" : [ [ "2014", "1", "8" ] ] }, "page" : "220-4", "title" : "Mapping nanoscale electrochemistry of individual single-walled carbon nanotubes.", "type" : "article-journal", "volume" : "14" }, "uris" : [ "http://www.mendeley.com/documents/?uuid=6b0a470b-d023-4ac5-93f9-718de5e863cb" ] } ], "mendeley" : { "previouslyFormattedCitation" : "&lt;sup&gt;5&lt;/sup&gt;" }, "properties" : { "noteIndex" : 0 }, "schema" : "https://github.com/citation-style-language/schema/raw/master/csl-citation.json" }</w:instrText>
      </w:r>
      <w:r w:rsidR="00EE1EE5" w:rsidRPr="00EE1EE5">
        <w:fldChar w:fldCharType="separate"/>
      </w:r>
      <w:r w:rsidR="00E46A5A" w:rsidRPr="00E46A5A">
        <w:rPr>
          <w:noProof/>
          <w:vertAlign w:val="superscript"/>
        </w:rPr>
        <w:t>5</w:t>
      </w:r>
      <w:r w:rsidR="00EE1EE5" w:rsidRPr="00EE1EE5">
        <w:rPr>
          <w:lang w:val="en-US"/>
        </w:rPr>
        <w:fldChar w:fldCharType="end"/>
      </w:r>
      <w:r w:rsidR="00EE1EE5" w:rsidRPr="00EE1EE5">
        <w:t xml:space="preserve"> and graphene</w:t>
      </w:r>
      <w:r w:rsidR="00EE1EE5" w:rsidRPr="00EE1EE5">
        <w:fldChar w:fldCharType="begin" w:fldLock="1"/>
      </w:r>
      <w:r w:rsidR="00E46A5A">
        <w:instrText>ADDIN CSL_CITATION { "citationItems" : [ { "id" : "ITEM-1", "itemData" : { "DOI" : "10.1021/ja410467e", "ISSN" : "1520-5126", "PMID" : "24325138", "abstract" : "Interest in the controlled chemical functionalization of sp(2) carbon materials using diazonium compounds has been recently reignited, particularly as a means to generate a band gap in graphene. We demonstrate local diazonium modification of pristine sp(2) carbon surfaces, with high control, at the micrometer scale through the use of scanning electrochemical cell microscopy (SECCM). Electrochemically driven diazonium patterning is investigated at a range of driving forces, coupled with surface analysis using atomic force microscopy (AFM) and Raman spectroscopy. We highlight how the film density, level of sp(2)/sp(3) rehybridization and the extent of multilayer formation can be controlled, paving the way for the use of localized electrochemistry as a route to controlled diazonium modification.", "author" : [ { "dropping-particle" : "", "family" : "Kirkman", "given" : "Paul M", "non-dropping-particle" : "", "parse-names" : false, "suffix" : "" }, { "dropping-particle" : "", "family" : "G\u00fcell", "given" : "Aleix G", "non-dropping-particle" : "", "parse-names" : false, "suffix" : "" }, { "dropping-particle" : "", "family" : "Cuharuc", "given" : "Anatolii S", "non-dropping-particle" : "", "parse-names" : false, "suffix" : "" }, { "dropping-particle" : "", "family" : "Unwin", "given" : "Patrick R", "non-dropping-particle" : "", "parse-names" : false, "suffix" : "" } ], "container-title" : "Journal of the American Chemical Society", "id" : "ITEM-1", "issue" : "1", "issued" : { "date-parts" : [ [ "2014", "1", "8" ] ] }, "page" : "36-9", "title" : "Spatial and Temporal Control of the Diazonium Modification of sp(2) Carbon Surfaces.", "type" : "article-journal", "volume" : "136" }, "uris" : [ "http://www.mendeley.com/documents/?uuid=f9dd5fe2-1107-4f18-a967-e8a79e349bcb" ] } ], "mendeley" : { "previouslyFormattedCitation" : "&lt;sup&gt;6&lt;/sup&gt;" }, "properties" : { "noteIndex" : 0 }, "schema" : "https://github.com/citation-style-language/schema/raw/master/csl-citation.json" }</w:instrText>
      </w:r>
      <w:r w:rsidR="00EE1EE5" w:rsidRPr="00EE1EE5">
        <w:fldChar w:fldCharType="separate"/>
      </w:r>
      <w:r w:rsidR="00E46A5A" w:rsidRPr="00E46A5A">
        <w:rPr>
          <w:noProof/>
          <w:vertAlign w:val="superscript"/>
        </w:rPr>
        <w:t>6</w:t>
      </w:r>
      <w:r w:rsidR="00EE1EE5" w:rsidRPr="00EE1EE5">
        <w:rPr>
          <w:lang w:val="en-US"/>
        </w:rPr>
        <w:fldChar w:fldCharType="end"/>
      </w:r>
      <w:r w:rsidR="00EE1EE5" w:rsidRPr="00EE1EE5">
        <w:t>,</w:t>
      </w:r>
      <w:r w:rsidR="00EE1EE5">
        <w:t xml:space="preserve"> and</w:t>
      </w:r>
      <w:r w:rsidR="00EE1EE5" w:rsidRPr="00EE1EE5">
        <w:t xml:space="preserve"> biophysical systems</w:t>
      </w:r>
      <w:r w:rsidR="00EE1EE5" w:rsidRPr="00EE1EE5">
        <w:fldChar w:fldCharType="begin" w:fldLock="1"/>
      </w:r>
      <w:r w:rsidR="00E46A5A">
        <w:instrText>ADDIN CSL_CITATION { "citationItems" : [ { "id" : "ITEM-1", "itemData" : { "DOI" : "10.1073/pnas.0803720105", "ISSN" : "1091-6490", "PMID" : "18787114", "abstract" : "The ability to predict and interpret membrane permeation coefficients is of critical importance, particularly because passive transport is crucial for the effective delivery of many pharmaceutical agents to intracellular targets. We present a method for the quantitative measurement of the permeation coefficients of protonophores by using laser confocal scanning microscopy coupled to microelectrochemistry, which is amenable to precise modeling with the finite element method. The technique delivers well defined and high mass transport rates and allows rapid visualization of the entire pH distribution on both the cis and trans side of model bilayer lipid membranes (BLMs). A homologous series of carboxylic acids was investigated as probe molecules for BLMs composed of soybean phosphatidylcholine. Significantly, the permeation coefficient decreased with acyl tail length contrary to previous work and to Overton's rule. The reasons for this difference are considered, and we suggest that the applicability of Overton's rule requires re-evaluation.", "author" : [ { "dropping-particle" : "", "family" : "Grime", "given" : "John M. A.", "non-dropping-particle" : "", "parse-names" : false, "suffix" : "" }, { "dropping-particle" : "", "family" : "Edwards", "given" : "Martin A.", "non-dropping-particle" : "", "parse-names" : false, "suffix" : "" }, { "dropping-particle" : "", "family" : "Rudd", "given" : "Nicola C.", "non-dropping-particle" : "", "parse-names" : false, "suffix" : "" }, { "dropping-particle" : "", "family" : "Unwin", "given" : "Patrick R.", "non-dropping-particle" : "", "parse-names" : false, "suffix" : "" } ], "container-title" : "Proc. Natl. Acad. Sci. USA", "id" : "ITEM-1", "issue" : "38", "issued" : { "date-parts" : [ [ "2008", "9" ] ] }, "page" : "14277-14282", "publisher" : "National Acad Sciences", "title" : "Quantitative visualization of passive transport across bilayer lipid membranes", "type" : "article-journal", "volume" : "105" }, "uris" : [ "http://www.mendeley.com/documents/?uuid=6565f393-3f8f-44cf-86be-a4dfa3891821" ] } ], "mendeley" : { "previouslyFormattedCitation" : "&lt;sup&gt;7&lt;/sup&gt;" }, "properties" : { "noteIndex" : 0 }, "schema" : "https://github.com/citation-style-language/schema/raw/master/csl-citation.json" }</w:instrText>
      </w:r>
      <w:r w:rsidR="00EE1EE5" w:rsidRPr="00EE1EE5">
        <w:fldChar w:fldCharType="separate"/>
      </w:r>
      <w:r w:rsidR="00E46A5A" w:rsidRPr="00E46A5A">
        <w:rPr>
          <w:noProof/>
          <w:vertAlign w:val="superscript"/>
        </w:rPr>
        <w:t>7</w:t>
      </w:r>
      <w:r w:rsidR="00EE1EE5" w:rsidRPr="00EE1EE5">
        <w:fldChar w:fldCharType="end"/>
      </w:r>
      <w:r w:rsidR="00EE1EE5" w:rsidRPr="00EE1EE5">
        <w:t>)</w:t>
      </w:r>
      <w:r w:rsidR="00EE1EE5">
        <w:t xml:space="preserve"> </w:t>
      </w:r>
      <w:r w:rsidR="003009F2" w:rsidRPr="003009F2">
        <w:rPr>
          <w:lang w:val="en-US"/>
        </w:rPr>
        <w:t>at the micro and nanoscale</w:t>
      </w:r>
      <w:r w:rsidR="003009F2">
        <w:rPr>
          <w:lang w:val="en-US"/>
        </w:rPr>
        <w:t>.</w:t>
      </w:r>
      <w:r w:rsidR="00D825D8">
        <w:rPr>
          <w:lang w:val="en-US"/>
        </w:rPr>
        <w:t xml:space="preserve"> </w:t>
      </w:r>
    </w:p>
    <w:p w:rsidR="00C04760" w:rsidRDefault="00C04760" w:rsidP="0030568F">
      <w:pPr>
        <w:jc w:val="both"/>
        <w:rPr>
          <w:lang w:val="en-US"/>
        </w:rPr>
      </w:pPr>
    </w:p>
    <w:p w:rsidR="002E44E4" w:rsidRDefault="005C7DD2" w:rsidP="005C7DD2">
      <w:pPr>
        <w:jc w:val="center"/>
        <w:rPr>
          <w:lang w:val="en-US"/>
        </w:rPr>
      </w:pPr>
      <w:r>
        <w:rPr>
          <w:noProof/>
          <w:lang w:eastAsia="en-GB"/>
        </w:rPr>
        <w:drawing>
          <wp:inline distT="0" distB="0" distL="0" distR="0" wp14:anchorId="7CBFD94C" wp14:editId="67004639">
            <wp:extent cx="3166110" cy="966470"/>
            <wp:effectExtent l="0" t="0" r="0" b="5080"/>
            <wp:docPr id="3" name="Picture 3" descr="C:\KM\Write\DualBarrelCarbon\TOC\TOC.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KM\Write\DualBarrelCarbon\TOC\TOC.T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166110" cy="966470"/>
                    </a:xfrm>
                    <a:prstGeom prst="rect">
                      <a:avLst/>
                    </a:prstGeom>
                    <a:noFill/>
                    <a:ln>
                      <a:noFill/>
                    </a:ln>
                  </pic:spPr>
                </pic:pic>
              </a:graphicData>
            </a:graphic>
          </wp:inline>
        </w:drawing>
      </w:r>
    </w:p>
    <w:p w:rsidR="008A6692" w:rsidRPr="008A6692" w:rsidRDefault="00C04760" w:rsidP="008A6692">
      <w:pPr>
        <w:jc w:val="both"/>
        <w:rPr>
          <w:lang w:val="en-US"/>
        </w:rPr>
      </w:pPr>
      <w:r w:rsidRPr="00C04760">
        <w:rPr>
          <w:lang w:val="en-US"/>
        </w:rPr>
        <w:t>EC-SPM involves the use of a tiny, mobile</w:t>
      </w:r>
      <w:r w:rsidR="00EA0D0D">
        <w:rPr>
          <w:lang w:val="en-US"/>
        </w:rPr>
        <w:t>,</w:t>
      </w:r>
      <w:r w:rsidRPr="00C04760">
        <w:rPr>
          <w:lang w:val="en-US"/>
        </w:rPr>
        <w:t xml:space="preserve"> probe containing an electrode, which can be used to monitor and/or perturb the chemical environment adjacent to a sample. Typically the probe is scanned laterally over a sample and maps of the local chemical environment are constructed. </w:t>
      </w:r>
      <w:r w:rsidR="00D5575D">
        <w:rPr>
          <w:lang w:val="en-US"/>
        </w:rPr>
        <w:t xml:space="preserve">As part of our continued development of EC-SPM we are moving towards </w:t>
      </w:r>
      <w:r w:rsidR="00205E66">
        <w:rPr>
          <w:lang w:val="en-US"/>
        </w:rPr>
        <w:t>fast</w:t>
      </w:r>
      <w:r w:rsidR="008A6692">
        <w:rPr>
          <w:lang w:val="en-US"/>
        </w:rPr>
        <w:t xml:space="preserve"> probe scanning</w:t>
      </w:r>
      <w:r w:rsidR="00205E66">
        <w:rPr>
          <w:lang w:val="en-US"/>
        </w:rPr>
        <w:t xml:space="preserve">, approaching </w:t>
      </w:r>
      <w:r w:rsidR="00CD24FA">
        <w:rPr>
          <w:lang w:val="en-US"/>
        </w:rPr>
        <w:t>multiple maps per second (it is current typical for a single map to take 30</w:t>
      </w:r>
      <w:r w:rsidR="00CE0C7C">
        <w:rPr>
          <w:lang w:val="en-US"/>
        </w:rPr>
        <w:t xml:space="preserve"> minutes</w:t>
      </w:r>
      <w:r w:rsidR="00CD24FA">
        <w:rPr>
          <w:lang w:val="en-US"/>
        </w:rPr>
        <w:t>)</w:t>
      </w:r>
      <w:r w:rsidR="00CE0C7C">
        <w:rPr>
          <w:lang w:val="en-US"/>
        </w:rPr>
        <w:t>.</w:t>
      </w:r>
      <w:r w:rsidR="00500503">
        <w:rPr>
          <w:lang w:val="en-US"/>
        </w:rPr>
        <w:t xml:space="preserve"> </w:t>
      </w:r>
    </w:p>
    <w:p w:rsidR="005821CB" w:rsidRDefault="008805BA" w:rsidP="0030568F">
      <w:pPr>
        <w:jc w:val="both"/>
        <w:rPr>
          <w:lang w:val="en-US"/>
        </w:rPr>
      </w:pPr>
      <w:r>
        <w:rPr>
          <w:lang w:val="en-US"/>
        </w:rPr>
        <w:t xml:space="preserve">This project will involve </w:t>
      </w:r>
      <w:r w:rsidR="005821CB">
        <w:rPr>
          <w:lang w:val="en-US"/>
        </w:rPr>
        <w:t>working with the data generated by our new fast scanning technique, and in particular constructing two dimensional maps of the electrochemical sensor response. Our fast scanning protocol uses a spiral scanning pattern, and therefore the data points are unevenly distributed.</w:t>
      </w:r>
      <w:r w:rsidR="00E46A5A">
        <w:rPr>
          <w:lang w:val="en-US"/>
        </w:rPr>
        <w:fldChar w:fldCharType="begin" w:fldLock="1"/>
      </w:r>
      <w:r w:rsidR="00E46A5A">
        <w:rPr>
          <w:lang w:val="en-US"/>
        </w:rPr>
        <w:instrText>ADDIN CSL_CITATION { "citationItems" : [ { "id" : "ITEM-1", "itemData" : { "DOI" : "10.1088/0957-4484/24/33/335703", "ISSN" : "1361-6528", "PMID" : "23892397", "abstract" : "Scanning probe microscopy (SPM) has facilitated many scientific discoveries utilizing its strengths of spatial resolution, non-destructive characterization and realistic in situ environments. However, accurate spatial data are required for quantitative applications but this is challenging for SPM especially when imaging at higher frame rates. We present a new operation mode for scanning probe microscopy that uses advanced image processing techniques to render accurate images based on position sensor data. This technique, which we call sensor inpainting, frees the scanner to no longer be at a specific location at a given time. This drastically reduces the engineering effort of position control and enables the use of scan waveforms that are better suited for the high inertia nanopositioners of SPM. While in raster scanning, typically only trace or retrace images are used for display, in Archimedean spiral scans 100% of the data can be displayed and at least a two-fold increase in temporal or spatial resolution is achieved. In the new mode, the grid size of the final generated image is an independent variable. Inpainting to a few times more pixels than the samples creates images that more accurately represent the ground truth.", "author" : [ { "dropping-particle" : "", "family" : "Ziegler", "given" : "Dominik", "non-dropping-particle" : "", "parse-names" : false, "suffix" : "" }, { "dropping-particle" : "", "family" : "Meyer", "given" : "Travis R", "non-dropping-particle" : "", "parse-names" : false, "suffix" : "" }, { "dropping-particle" : "", "family" : "Farnham", "given" : "Rodrigo", "non-dropping-particle" : "", "parse-names" : false, "suffix" : "" }, { "dropping-particle" : "", "family" : "Brune", "given" : "Christoph", "non-dropping-particle" : "", "parse-names" : false, "suffix" : "" }, { "dropping-particle" : "", "family" : "Bertozzi", "given" : "Andrea L", "non-dropping-particle" : "", "parse-names" : false, "suffix" : "" }, { "dropping-particle" : "", "family" : "Ashby", "given" : "Paul D", "non-dropping-particle" : "", "parse-names" : false, "suffix" : "" } ], "container-title" : "Nanotechnology", "id" : "ITEM-1", "issue" : "33", "issued" : { "date-parts" : [ [ "2013", "8", "23" ] ] }, "page" : "335703", "title" : "Improved accuracy and speed in scanning probe microscopy by image reconstruction from non-gridded position sensor data.", "type" : "article-journal", "volume" : "24" }, "uris" : [ "http://www.mendeley.com/documents/?uuid=d61e3c20-c22b-4ada-a593-d1ec75474023" ] } ], "mendeley" : { "previouslyFormattedCitation" : "&lt;sup&gt;8&lt;/sup&gt;" }, "properties" : { "noteIndex" : 0 }, "schema" : "https://github.com/citation-style-language/schema/raw/master/csl-citation.json" }</w:instrText>
      </w:r>
      <w:r w:rsidR="00E46A5A">
        <w:rPr>
          <w:lang w:val="en-US"/>
        </w:rPr>
        <w:fldChar w:fldCharType="separate"/>
      </w:r>
      <w:r w:rsidR="00E46A5A" w:rsidRPr="00E46A5A">
        <w:rPr>
          <w:noProof/>
          <w:vertAlign w:val="superscript"/>
          <w:lang w:val="en-US"/>
        </w:rPr>
        <w:t>8</w:t>
      </w:r>
      <w:r w:rsidR="00E46A5A">
        <w:rPr>
          <w:lang w:val="en-US"/>
        </w:rPr>
        <w:fldChar w:fldCharType="end"/>
      </w:r>
      <w:r w:rsidR="005821CB">
        <w:rPr>
          <w:lang w:val="en-US"/>
        </w:rPr>
        <w:t xml:space="preserve"> Using image reconstruction methods, such as inpainting, the student will develop protocols and code to </w:t>
      </w:r>
      <w:r w:rsidR="00EA0D0D">
        <w:rPr>
          <w:lang w:val="en-US"/>
        </w:rPr>
        <w:t xml:space="preserve">automatically </w:t>
      </w:r>
      <w:r w:rsidR="005821CB">
        <w:rPr>
          <w:lang w:val="en-US"/>
        </w:rPr>
        <w:t>generate 2D maps</w:t>
      </w:r>
      <w:bookmarkStart w:id="0" w:name="_GoBack"/>
      <w:bookmarkEnd w:id="0"/>
      <w:r w:rsidR="005821CB">
        <w:rPr>
          <w:lang w:val="en-US"/>
        </w:rPr>
        <w:t xml:space="preserve">. This project </w:t>
      </w:r>
      <w:r w:rsidR="00EA0D0D">
        <w:rPr>
          <w:lang w:val="en-US"/>
        </w:rPr>
        <w:t xml:space="preserve">will </w:t>
      </w:r>
      <w:r w:rsidR="005821CB">
        <w:rPr>
          <w:lang w:val="en-US"/>
        </w:rPr>
        <w:t xml:space="preserve">also involve learning </w:t>
      </w:r>
      <w:r w:rsidR="00EA0D0D">
        <w:rPr>
          <w:lang w:val="en-US"/>
        </w:rPr>
        <w:t xml:space="preserve">the basics of </w:t>
      </w:r>
      <w:r w:rsidR="005821CB">
        <w:rPr>
          <w:lang w:val="en-US"/>
        </w:rPr>
        <w:t>EC-SPM</w:t>
      </w:r>
      <w:r w:rsidR="00EA0D0D">
        <w:rPr>
          <w:lang w:val="en-US"/>
        </w:rPr>
        <w:t xml:space="preserve"> and </w:t>
      </w:r>
      <w:r w:rsidR="005821CB">
        <w:rPr>
          <w:lang w:val="en-US"/>
        </w:rPr>
        <w:t xml:space="preserve">running </w:t>
      </w:r>
      <w:r w:rsidR="00EA0D0D">
        <w:rPr>
          <w:lang w:val="en-US"/>
        </w:rPr>
        <w:t xml:space="preserve">some </w:t>
      </w:r>
      <w:r w:rsidR="005821CB">
        <w:rPr>
          <w:lang w:val="en-US"/>
        </w:rPr>
        <w:t xml:space="preserve">simple experiments. </w:t>
      </w:r>
    </w:p>
    <w:p w:rsidR="00EE0C60" w:rsidRDefault="00EE0C60" w:rsidP="0030568F">
      <w:pPr>
        <w:jc w:val="both"/>
      </w:pPr>
      <w:r>
        <w:t>Th</w:t>
      </w:r>
      <w:r w:rsidR="005821CB">
        <w:t>is</w:t>
      </w:r>
      <w:r>
        <w:t xml:space="preserve"> miniproject </w:t>
      </w:r>
      <w:r w:rsidR="00B277D7">
        <w:t>build</w:t>
      </w:r>
      <w:r w:rsidR="005821CB">
        <w:t>s</w:t>
      </w:r>
      <w:r w:rsidR="00B277D7">
        <w:t xml:space="preserve"> directly on </w:t>
      </w:r>
      <w:r w:rsidR="00435294">
        <w:t xml:space="preserve">current </w:t>
      </w:r>
      <w:r w:rsidR="00B277D7">
        <w:t xml:space="preserve">research within the </w:t>
      </w:r>
      <w:r w:rsidR="00B277D7" w:rsidRPr="00B277D7">
        <w:t>Warwick Electrochemistry and Interfaces group</w:t>
      </w:r>
      <w:r w:rsidR="00B277D7">
        <w:t xml:space="preserve"> and so can be successfully completed within </w:t>
      </w:r>
      <w:r w:rsidR="005C7DD2">
        <w:t>the</w:t>
      </w:r>
      <w:r w:rsidR="00B277D7">
        <w:t xml:space="preserve"> time frame. </w:t>
      </w:r>
      <w:r w:rsidR="002C6B84">
        <w:t xml:space="preserve">This project would be </w:t>
      </w:r>
      <w:r>
        <w:t xml:space="preserve">a </w:t>
      </w:r>
      <w:r w:rsidR="00435294">
        <w:t xml:space="preserve">great </w:t>
      </w:r>
      <w:r w:rsidR="002C6B84">
        <w:t xml:space="preserve">entry </w:t>
      </w:r>
      <w:r>
        <w:t xml:space="preserve">point </w:t>
      </w:r>
      <w:r w:rsidR="002C6B84">
        <w:t>into nano</w:t>
      </w:r>
      <w:r w:rsidR="005821CB">
        <w:t xml:space="preserve">science, and </w:t>
      </w:r>
      <w:r w:rsidR="002C6B84">
        <w:t>electrochem</w:t>
      </w:r>
      <w:r w:rsidR="005821CB">
        <w:t>ical sensors,</w:t>
      </w:r>
      <w:r w:rsidR="002C6B84">
        <w:t xml:space="preserve"> and could lead to interesting </w:t>
      </w:r>
      <w:r>
        <w:t>PhD projects.</w:t>
      </w:r>
    </w:p>
    <w:p w:rsidR="00E46A5A" w:rsidRPr="00E46A5A" w:rsidRDefault="00D825D8" w:rsidP="00E46A5A">
      <w:pPr>
        <w:pStyle w:val="NormalWeb"/>
        <w:spacing w:before="0" w:beforeAutospacing="0" w:after="0" w:afterAutospacing="0"/>
        <w:ind w:left="640" w:hanging="640"/>
        <w:divId w:val="1389572244"/>
        <w:rPr>
          <w:rFonts w:ascii="Calibri" w:hAnsi="Calibri"/>
          <w:noProof/>
          <w:sz w:val="16"/>
          <w:szCs w:val="16"/>
        </w:rPr>
      </w:pPr>
      <w:r w:rsidRPr="00E46A5A">
        <w:rPr>
          <w:b/>
          <w:sz w:val="16"/>
          <w:szCs w:val="16"/>
        </w:rPr>
        <w:fldChar w:fldCharType="begin" w:fldLock="1"/>
      </w:r>
      <w:r w:rsidRPr="00E46A5A">
        <w:rPr>
          <w:b/>
          <w:sz w:val="16"/>
          <w:szCs w:val="16"/>
        </w:rPr>
        <w:instrText xml:space="preserve">ADDIN Mendeley Bibliography CSL_BIBLIOGRAPHY </w:instrText>
      </w:r>
      <w:r w:rsidRPr="00E46A5A">
        <w:rPr>
          <w:b/>
          <w:sz w:val="16"/>
          <w:szCs w:val="16"/>
        </w:rPr>
        <w:fldChar w:fldCharType="separate"/>
      </w:r>
      <w:r w:rsidR="00E46A5A" w:rsidRPr="00E46A5A">
        <w:rPr>
          <w:rFonts w:ascii="Calibri" w:hAnsi="Calibri"/>
          <w:noProof/>
          <w:sz w:val="16"/>
          <w:szCs w:val="16"/>
        </w:rPr>
        <w:t xml:space="preserve">(1) </w:t>
      </w:r>
      <w:r w:rsidR="00E46A5A" w:rsidRPr="00E46A5A">
        <w:rPr>
          <w:rFonts w:ascii="Calibri" w:hAnsi="Calibri"/>
          <w:noProof/>
          <w:sz w:val="16"/>
          <w:szCs w:val="16"/>
        </w:rPr>
        <w:tab/>
        <w:t xml:space="preserve">Nadappuram, B. P.; McKelvey, K.; Al Botros, R.; Colburn, A. W.; Unwin, P. R. </w:t>
      </w:r>
      <w:r w:rsidR="00E46A5A" w:rsidRPr="00E46A5A">
        <w:rPr>
          <w:rFonts w:ascii="Calibri" w:hAnsi="Calibri"/>
          <w:i/>
          <w:iCs/>
          <w:noProof/>
          <w:sz w:val="16"/>
          <w:szCs w:val="16"/>
        </w:rPr>
        <w:t>Anal. Chem.</w:t>
      </w:r>
      <w:r w:rsidR="00E46A5A" w:rsidRPr="00E46A5A">
        <w:rPr>
          <w:rFonts w:ascii="Calibri" w:hAnsi="Calibri"/>
          <w:noProof/>
          <w:sz w:val="16"/>
          <w:szCs w:val="16"/>
        </w:rPr>
        <w:t xml:space="preserve"> </w:t>
      </w:r>
      <w:r w:rsidR="00E46A5A" w:rsidRPr="00E46A5A">
        <w:rPr>
          <w:rFonts w:ascii="Calibri" w:hAnsi="Calibri"/>
          <w:b/>
          <w:bCs/>
          <w:noProof/>
          <w:sz w:val="16"/>
          <w:szCs w:val="16"/>
        </w:rPr>
        <w:t>2013</w:t>
      </w:r>
      <w:r w:rsidR="00E46A5A" w:rsidRPr="00E46A5A">
        <w:rPr>
          <w:rFonts w:ascii="Calibri" w:hAnsi="Calibri"/>
          <w:noProof/>
          <w:sz w:val="16"/>
          <w:szCs w:val="16"/>
        </w:rPr>
        <w:t xml:space="preserve">, </w:t>
      </w:r>
      <w:r w:rsidR="00E46A5A" w:rsidRPr="00E46A5A">
        <w:rPr>
          <w:rFonts w:ascii="Calibri" w:hAnsi="Calibri"/>
          <w:i/>
          <w:iCs/>
          <w:noProof/>
          <w:sz w:val="16"/>
          <w:szCs w:val="16"/>
        </w:rPr>
        <w:t>85</w:t>
      </w:r>
      <w:r w:rsidR="00E46A5A" w:rsidRPr="00E46A5A">
        <w:rPr>
          <w:rFonts w:ascii="Calibri" w:hAnsi="Calibri"/>
          <w:noProof/>
          <w:sz w:val="16"/>
          <w:szCs w:val="16"/>
        </w:rPr>
        <w:t>, 8070–4.</w:t>
      </w:r>
    </w:p>
    <w:p w:rsidR="00E46A5A" w:rsidRPr="00E46A5A" w:rsidRDefault="00E46A5A" w:rsidP="00E46A5A">
      <w:pPr>
        <w:pStyle w:val="NormalWeb"/>
        <w:spacing w:before="0" w:beforeAutospacing="0" w:after="0" w:afterAutospacing="0"/>
        <w:ind w:left="640" w:hanging="640"/>
        <w:divId w:val="1389572244"/>
        <w:rPr>
          <w:rFonts w:ascii="Calibri" w:hAnsi="Calibri"/>
          <w:noProof/>
          <w:sz w:val="16"/>
          <w:szCs w:val="16"/>
        </w:rPr>
      </w:pPr>
      <w:r w:rsidRPr="00E46A5A">
        <w:rPr>
          <w:rFonts w:ascii="Calibri" w:hAnsi="Calibri"/>
          <w:noProof/>
          <w:sz w:val="16"/>
          <w:szCs w:val="16"/>
        </w:rPr>
        <w:t xml:space="preserve">(2) </w:t>
      </w:r>
      <w:r w:rsidRPr="00E46A5A">
        <w:rPr>
          <w:rFonts w:ascii="Calibri" w:hAnsi="Calibri"/>
          <w:noProof/>
          <w:sz w:val="16"/>
          <w:szCs w:val="16"/>
        </w:rPr>
        <w:tab/>
        <w:t xml:space="preserve">Ebejer, N.; Güell, A. G.; Lai, S. C. S.; McKelvey, K.; Snowden, M. E.; Unwin, P. R. </w:t>
      </w:r>
      <w:r w:rsidRPr="00E46A5A">
        <w:rPr>
          <w:rFonts w:ascii="Calibri" w:hAnsi="Calibri"/>
          <w:i/>
          <w:iCs/>
          <w:noProof/>
          <w:sz w:val="16"/>
          <w:szCs w:val="16"/>
        </w:rPr>
        <w:t>Ann. Rev. Anal. Chem.</w:t>
      </w:r>
      <w:r w:rsidRPr="00E46A5A">
        <w:rPr>
          <w:rFonts w:ascii="Calibri" w:hAnsi="Calibri"/>
          <w:noProof/>
          <w:sz w:val="16"/>
          <w:szCs w:val="16"/>
        </w:rPr>
        <w:t xml:space="preserve"> </w:t>
      </w:r>
      <w:r w:rsidRPr="00E46A5A">
        <w:rPr>
          <w:rFonts w:ascii="Calibri" w:hAnsi="Calibri"/>
          <w:b/>
          <w:bCs/>
          <w:noProof/>
          <w:sz w:val="16"/>
          <w:szCs w:val="16"/>
        </w:rPr>
        <w:t>2013</w:t>
      </w:r>
      <w:r w:rsidRPr="00E46A5A">
        <w:rPr>
          <w:rFonts w:ascii="Calibri" w:hAnsi="Calibri"/>
          <w:noProof/>
          <w:sz w:val="16"/>
          <w:szCs w:val="16"/>
        </w:rPr>
        <w:t xml:space="preserve">, </w:t>
      </w:r>
      <w:r w:rsidRPr="00E46A5A">
        <w:rPr>
          <w:rFonts w:ascii="Calibri" w:hAnsi="Calibri"/>
          <w:i/>
          <w:iCs/>
          <w:noProof/>
          <w:sz w:val="16"/>
          <w:szCs w:val="16"/>
        </w:rPr>
        <w:t>6</w:t>
      </w:r>
      <w:r w:rsidRPr="00E46A5A">
        <w:rPr>
          <w:rFonts w:ascii="Calibri" w:hAnsi="Calibri"/>
          <w:noProof/>
          <w:sz w:val="16"/>
          <w:szCs w:val="16"/>
        </w:rPr>
        <w:t>, 329–351.</w:t>
      </w:r>
    </w:p>
    <w:p w:rsidR="00E46A5A" w:rsidRPr="00E46A5A" w:rsidRDefault="00E46A5A" w:rsidP="00E46A5A">
      <w:pPr>
        <w:pStyle w:val="NormalWeb"/>
        <w:spacing w:before="0" w:beforeAutospacing="0" w:after="0" w:afterAutospacing="0"/>
        <w:ind w:left="640" w:hanging="640"/>
        <w:divId w:val="1389572244"/>
        <w:rPr>
          <w:rFonts w:ascii="Calibri" w:hAnsi="Calibri"/>
          <w:noProof/>
          <w:sz w:val="16"/>
          <w:szCs w:val="16"/>
        </w:rPr>
      </w:pPr>
      <w:r w:rsidRPr="00E46A5A">
        <w:rPr>
          <w:rFonts w:ascii="Calibri" w:hAnsi="Calibri"/>
          <w:noProof/>
          <w:sz w:val="16"/>
          <w:szCs w:val="16"/>
        </w:rPr>
        <w:t xml:space="preserve">(3) </w:t>
      </w:r>
      <w:r w:rsidRPr="00E46A5A">
        <w:rPr>
          <w:rFonts w:ascii="Calibri" w:hAnsi="Calibri"/>
          <w:noProof/>
          <w:sz w:val="16"/>
          <w:szCs w:val="16"/>
        </w:rPr>
        <w:tab/>
        <w:t xml:space="preserve">Kinnear, S. L.; McKelvey, K.; Snowden, M. E.; Peruffo, M.; Colburn, A. W.; Unwin, P. R. </w:t>
      </w:r>
      <w:r w:rsidRPr="00E46A5A">
        <w:rPr>
          <w:rFonts w:ascii="Calibri" w:hAnsi="Calibri"/>
          <w:i/>
          <w:iCs/>
          <w:noProof/>
          <w:sz w:val="16"/>
          <w:szCs w:val="16"/>
        </w:rPr>
        <w:t>Langmuir</w:t>
      </w:r>
      <w:r w:rsidRPr="00E46A5A">
        <w:rPr>
          <w:rFonts w:ascii="Calibri" w:hAnsi="Calibri"/>
          <w:noProof/>
          <w:sz w:val="16"/>
          <w:szCs w:val="16"/>
        </w:rPr>
        <w:t xml:space="preserve"> </w:t>
      </w:r>
      <w:r w:rsidRPr="00E46A5A">
        <w:rPr>
          <w:rFonts w:ascii="Calibri" w:hAnsi="Calibri"/>
          <w:b/>
          <w:bCs/>
          <w:noProof/>
          <w:sz w:val="16"/>
          <w:szCs w:val="16"/>
        </w:rPr>
        <w:t>2013</w:t>
      </w:r>
      <w:r w:rsidRPr="00E46A5A">
        <w:rPr>
          <w:rFonts w:ascii="Calibri" w:hAnsi="Calibri"/>
          <w:noProof/>
          <w:sz w:val="16"/>
          <w:szCs w:val="16"/>
        </w:rPr>
        <w:t xml:space="preserve">, </w:t>
      </w:r>
      <w:r w:rsidRPr="00E46A5A">
        <w:rPr>
          <w:rFonts w:ascii="Calibri" w:hAnsi="Calibri"/>
          <w:i/>
          <w:iCs/>
          <w:noProof/>
          <w:sz w:val="16"/>
          <w:szCs w:val="16"/>
        </w:rPr>
        <w:t>29</w:t>
      </w:r>
      <w:r w:rsidRPr="00E46A5A">
        <w:rPr>
          <w:rFonts w:ascii="Calibri" w:hAnsi="Calibri"/>
          <w:noProof/>
          <w:sz w:val="16"/>
          <w:szCs w:val="16"/>
        </w:rPr>
        <w:t>, 15565–72.</w:t>
      </w:r>
    </w:p>
    <w:p w:rsidR="00E46A5A" w:rsidRPr="00E46A5A" w:rsidRDefault="00E46A5A" w:rsidP="00E46A5A">
      <w:pPr>
        <w:pStyle w:val="NormalWeb"/>
        <w:spacing w:before="0" w:beforeAutospacing="0" w:after="0" w:afterAutospacing="0"/>
        <w:ind w:left="640" w:hanging="640"/>
        <w:divId w:val="1389572244"/>
        <w:rPr>
          <w:rFonts w:ascii="Calibri" w:hAnsi="Calibri"/>
          <w:noProof/>
          <w:sz w:val="16"/>
          <w:szCs w:val="16"/>
        </w:rPr>
      </w:pPr>
      <w:r w:rsidRPr="00E46A5A">
        <w:rPr>
          <w:rFonts w:ascii="Calibri" w:hAnsi="Calibri"/>
          <w:noProof/>
          <w:sz w:val="16"/>
          <w:szCs w:val="16"/>
        </w:rPr>
        <w:t xml:space="preserve">(4) </w:t>
      </w:r>
      <w:r w:rsidRPr="00E46A5A">
        <w:rPr>
          <w:rFonts w:ascii="Calibri" w:hAnsi="Calibri"/>
          <w:noProof/>
          <w:sz w:val="16"/>
          <w:szCs w:val="16"/>
        </w:rPr>
        <w:tab/>
        <w:t xml:space="preserve">Patten, H. V.; Meadows, K. E.; Hutton, L. A.; Iacobini, J. G.; Battistel, D.; McKelvey, K.; Colburn, A. W.; Newton, M. E.; Macpherson, J. V.; Unwin, P. R. </w:t>
      </w:r>
      <w:r w:rsidRPr="00E46A5A">
        <w:rPr>
          <w:rFonts w:ascii="Calibri" w:hAnsi="Calibri"/>
          <w:i/>
          <w:iCs/>
          <w:noProof/>
          <w:sz w:val="16"/>
          <w:szCs w:val="16"/>
        </w:rPr>
        <w:t>Angew. Chem. Int. Ed.</w:t>
      </w:r>
      <w:r w:rsidRPr="00E46A5A">
        <w:rPr>
          <w:rFonts w:ascii="Calibri" w:hAnsi="Calibri"/>
          <w:noProof/>
          <w:sz w:val="16"/>
          <w:szCs w:val="16"/>
        </w:rPr>
        <w:t xml:space="preserve"> </w:t>
      </w:r>
      <w:r w:rsidRPr="00E46A5A">
        <w:rPr>
          <w:rFonts w:ascii="Calibri" w:hAnsi="Calibri"/>
          <w:b/>
          <w:bCs/>
          <w:noProof/>
          <w:sz w:val="16"/>
          <w:szCs w:val="16"/>
        </w:rPr>
        <w:t>2012</w:t>
      </w:r>
      <w:r w:rsidRPr="00E46A5A">
        <w:rPr>
          <w:rFonts w:ascii="Calibri" w:hAnsi="Calibri"/>
          <w:noProof/>
          <w:sz w:val="16"/>
          <w:szCs w:val="16"/>
        </w:rPr>
        <w:t xml:space="preserve">, </w:t>
      </w:r>
      <w:r w:rsidRPr="00E46A5A">
        <w:rPr>
          <w:rFonts w:ascii="Calibri" w:hAnsi="Calibri"/>
          <w:i/>
          <w:iCs/>
          <w:noProof/>
          <w:sz w:val="16"/>
          <w:szCs w:val="16"/>
        </w:rPr>
        <w:t>51</w:t>
      </w:r>
      <w:r w:rsidRPr="00E46A5A">
        <w:rPr>
          <w:rFonts w:ascii="Calibri" w:hAnsi="Calibri"/>
          <w:noProof/>
          <w:sz w:val="16"/>
          <w:szCs w:val="16"/>
        </w:rPr>
        <w:t>, 7002–7006.</w:t>
      </w:r>
    </w:p>
    <w:p w:rsidR="00E46A5A" w:rsidRPr="00E46A5A" w:rsidRDefault="00E46A5A" w:rsidP="00E46A5A">
      <w:pPr>
        <w:pStyle w:val="NormalWeb"/>
        <w:spacing w:before="0" w:beforeAutospacing="0" w:after="0" w:afterAutospacing="0"/>
        <w:ind w:left="640" w:hanging="640"/>
        <w:divId w:val="1389572244"/>
        <w:rPr>
          <w:rFonts w:ascii="Calibri" w:hAnsi="Calibri"/>
          <w:noProof/>
          <w:sz w:val="16"/>
          <w:szCs w:val="16"/>
        </w:rPr>
      </w:pPr>
      <w:r w:rsidRPr="00E46A5A">
        <w:rPr>
          <w:rFonts w:ascii="Calibri" w:hAnsi="Calibri"/>
          <w:noProof/>
          <w:sz w:val="16"/>
          <w:szCs w:val="16"/>
        </w:rPr>
        <w:t xml:space="preserve">(5) </w:t>
      </w:r>
      <w:r w:rsidRPr="00E46A5A">
        <w:rPr>
          <w:rFonts w:ascii="Calibri" w:hAnsi="Calibri"/>
          <w:noProof/>
          <w:sz w:val="16"/>
          <w:szCs w:val="16"/>
        </w:rPr>
        <w:tab/>
        <w:t xml:space="preserve">Güell, A. G.; Meadows, K. E.; Dudin, P. V; Ebejer, N.; Macpherson, J. V; Unwin, P. R. </w:t>
      </w:r>
      <w:r w:rsidRPr="00E46A5A">
        <w:rPr>
          <w:rFonts w:ascii="Calibri" w:hAnsi="Calibri"/>
          <w:i/>
          <w:iCs/>
          <w:noProof/>
          <w:sz w:val="16"/>
          <w:szCs w:val="16"/>
        </w:rPr>
        <w:t>Nano Lett.</w:t>
      </w:r>
      <w:r w:rsidRPr="00E46A5A">
        <w:rPr>
          <w:rFonts w:ascii="Calibri" w:hAnsi="Calibri"/>
          <w:noProof/>
          <w:sz w:val="16"/>
          <w:szCs w:val="16"/>
        </w:rPr>
        <w:t xml:space="preserve"> </w:t>
      </w:r>
      <w:r w:rsidRPr="00E46A5A">
        <w:rPr>
          <w:rFonts w:ascii="Calibri" w:hAnsi="Calibri"/>
          <w:b/>
          <w:bCs/>
          <w:noProof/>
          <w:sz w:val="16"/>
          <w:szCs w:val="16"/>
        </w:rPr>
        <w:t>2014</w:t>
      </w:r>
      <w:r w:rsidRPr="00E46A5A">
        <w:rPr>
          <w:rFonts w:ascii="Calibri" w:hAnsi="Calibri"/>
          <w:noProof/>
          <w:sz w:val="16"/>
          <w:szCs w:val="16"/>
        </w:rPr>
        <w:t xml:space="preserve">, </w:t>
      </w:r>
      <w:r w:rsidRPr="00E46A5A">
        <w:rPr>
          <w:rFonts w:ascii="Calibri" w:hAnsi="Calibri"/>
          <w:i/>
          <w:iCs/>
          <w:noProof/>
          <w:sz w:val="16"/>
          <w:szCs w:val="16"/>
        </w:rPr>
        <w:t>14</w:t>
      </w:r>
      <w:r w:rsidRPr="00E46A5A">
        <w:rPr>
          <w:rFonts w:ascii="Calibri" w:hAnsi="Calibri"/>
          <w:noProof/>
          <w:sz w:val="16"/>
          <w:szCs w:val="16"/>
        </w:rPr>
        <w:t>, 220–4.</w:t>
      </w:r>
    </w:p>
    <w:p w:rsidR="00E46A5A" w:rsidRPr="00E46A5A" w:rsidRDefault="00E46A5A" w:rsidP="00E46A5A">
      <w:pPr>
        <w:pStyle w:val="NormalWeb"/>
        <w:spacing w:before="0" w:beforeAutospacing="0" w:after="0" w:afterAutospacing="0"/>
        <w:ind w:left="640" w:hanging="640"/>
        <w:divId w:val="1389572244"/>
        <w:rPr>
          <w:rFonts w:ascii="Calibri" w:hAnsi="Calibri"/>
          <w:noProof/>
          <w:sz w:val="16"/>
          <w:szCs w:val="16"/>
        </w:rPr>
      </w:pPr>
      <w:r w:rsidRPr="00E46A5A">
        <w:rPr>
          <w:rFonts w:ascii="Calibri" w:hAnsi="Calibri"/>
          <w:noProof/>
          <w:sz w:val="16"/>
          <w:szCs w:val="16"/>
        </w:rPr>
        <w:t xml:space="preserve">(6) </w:t>
      </w:r>
      <w:r w:rsidRPr="00E46A5A">
        <w:rPr>
          <w:rFonts w:ascii="Calibri" w:hAnsi="Calibri"/>
          <w:noProof/>
          <w:sz w:val="16"/>
          <w:szCs w:val="16"/>
        </w:rPr>
        <w:tab/>
        <w:t xml:space="preserve">Kirkman, P. M.; Güell, A. G.; Cuharuc, A. S.; Unwin, P. R. </w:t>
      </w:r>
      <w:r w:rsidRPr="00E46A5A">
        <w:rPr>
          <w:rFonts w:ascii="Calibri" w:hAnsi="Calibri"/>
          <w:i/>
          <w:iCs/>
          <w:noProof/>
          <w:sz w:val="16"/>
          <w:szCs w:val="16"/>
        </w:rPr>
        <w:t>J. Am. Chem. Soc.</w:t>
      </w:r>
      <w:r w:rsidRPr="00E46A5A">
        <w:rPr>
          <w:rFonts w:ascii="Calibri" w:hAnsi="Calibri"/>
          <w:noProof/>
          <w:sz w:val="16"/>
          <w:szCs w:val="16"/>
        </w:rPr>
        <w:t xml:space="preserve"> </w:t>
      </w:r>
      <w:r w:rsidRPr="00E46A5A">
        <w:rPr>
          <w:rFonts w:ascii="Calibri" w:hAnsi="Calibri"/>
          <w:b/>
          <w:bCs/>
          <w:noProof/>
          <w:sz w:val="16"/>
          <w:szCs w:val="16"/>
        </w:rPr>
        <w:t>2014</w:t>
      </w:r>
      <w:r w:rsidRPr="00E46A5A">
        <w:rPr>
          <w:rFonts w:ascii="Calibri" w:hAnsi="Calibri"/>
          <w:noProof/>
          <w:sz w:val="16"/>
          <w:szCs w:val="16"/>
        </w:rPr>
        <w:t xml:space="preserve">, </w:t>
      </w:r>
      <w:r w:rsidRPr="00E46A5A">
        <w:rPr>
          <w:rFonts w:ascii="Calibri" w:hAnsi="Calibri"/>
          <w:i/>
          <w:iCs/>
          <w:noProof/>
          <w:sz w:val="16"/>
          <w:szCs w:val="16"/>
        </w:rPr>
        <w:t>136</w:t>
      </w:r>
      <w:r w:rsidRPr="00E46A5A">
        <w:rPr>
          <w:rFonts w:ascii="Calibri" w:hAnsi="Calibri"/>
          <w:noProof/>
          <w:sz w:val="16"/>
          <w:szCs w:val="16"/>
        </w:rPr>
        <w:t>, 36–9.</w:t>
      </w:r>
    </w:p>
    <w:p w:rsidR="00E46A5A" w:rsidRPr="00E46A5A" w:rsidRDefault="00E46A5A" w:rsidP="00E46A5A">
      <w:pPr>
        <w:pStyle w:val="NormalWeb"/>
        <w:spacing w:before="0" w:beforeAutospacing="0" w:after="0" w:afterAutospacing="0"/>
        <w:ind w:left="640" w:hanging="640"/>
        <w:divId w:val="1389572244"/>
        <w:rPr>
          <w:rFonts w:ascii="Calibri" w:hAnsi="Calibri"/>
          <w:noProof/>
          <w:sz w:val="16"/>
          <w:szCs w:val="16"/>
        </w:rPr>
      </w:pPr>
      <w:r w:rsidRPr="00E46A5A">
        <w:rPr>
          <w:rFonts w:ascii="Calibri" w:hAnsi="Calibri"/>
          <w:noProof/>
          <w:sz w:val="16"/>
          <w:szCs w:val="16"/>
        </w:rPr>
        <w:t xml:space="preserve">(7) </w:t>
      </w:r>
      <w:r w:rsidRPr="00E46A5A">
        <w:rPr>
          <w:rFonts w:ascii="Calibri" w:hAnsi="Calibri"/>
          <w:noProof/>
          <w:sz w:val="16"/>
          <w:szCs w:val="16"/>
        </w:rPr>
        <w:tab/>
        <w:t xml:space="preserve">Grime, J. M. A.; Edwards, M. A.; Rudd, N. C.; Unwin, P. R. </w:t>
      </w:r>
      <w:r w:rsidRPr="00E46A5A">
        <w:rPr>
          <w:rFonts w:ascii="Calibri" w:hAnsi="Calibri"/>
          <w:i/>
          <w:iCs/>
          <w:noProof/>
          <w:sz w:val="16"/>
          <w:szCs w:val="16"/>
        </w:rPr>
        <w:t>Proc. Natl. Acad. Sci. USA</w:t>
      </w:r>
      <w:r w:rsidRPr="00E46A5A">
        <w:rPr>
          <w:rFonts w:ascii="Calibri" w:hAnsi="Calibri"/>
          <w:noProof/>
          <w:sz w:val="16"/>
          <w:szCs w:val="16"/>
        </w:rPr>
        <w:t xml:space="preserve"> </w:t>
      </w:r>
      <w:r w:rsidRPr="00E46A5A">
        <w:rPr>
          <w:rFonts w:ascii="Calibri" w:hAnsi="Calibri"/>
          <w:b/>
          <w:bCs/>
          <w:noProof/>
          <w:sz w:val="16"/>
          <w:szCs w:val="16"/>
        </w:rPr>
        <w:t>2008</w:t>
      </w:r>
      <w:r w:rsidRPr="00E46A5A">
        <w:rPr>
          <w:rFonts w:ascii="Calibri" w:hAnsi="Calibri"/>
          <w:noProof/>
          <w:sz w:val="16"/>
          <w:szCs w:val="16"/>
        </w:rPr>
        <w:t xml:space="preserve">, </w:t>
      </w:r>
      <w:r w:rsidRPr="00E46A5A">
        <w:rPr>
          <w:rFonts w:ascii="Calibri" w:hAnsi="Calibri"/>
          <w:i/>
          <w:iCs/>
          <w:noProof/>
          <w:sz w:val="16"/>
          <w:szCs w:val="16"/>
        </w:rPr>
        <w:t>105</w:t>
      </w:r>
      <w:r w:rsidRPr="00E46A5A">
        <w:rPr>
          <w:rFonts w:ascii="Calibri" w:hAnsi="Calibri"/>
          <w:noProof/>
          <w:sz w:val="16"/>
          <w:szCs w:val="16"/>
        </w:rPr>
        <w:t>, 14277–14282.</w:t>
      </w:r>
    </w:p>
    <w:p w:rsidR="0068492D" w:rsidRPr="007655BA" w:rsidRDefault="00E46A5A" w:rsidP="00E46A5A">
      <w:pPr>
        <w:pStyle w:val="NormalWeb"/>
        <w:spacing w:before="0" w:beforeAutospacing="0" w:after="0" w:afterAutospacing="0"/>
        <w:ind w:left="640" w:hanging="640"/>
        <w:divId w:val="698167279"/>
        <w:rPr>
          <w:b/>
          <w:sz w:val="20"/>
          <w:szCs w:val="20"/>
        </w:rPr>
      </w:pPr>
      <w:r w:rsidRPr="00E46A5A">
        <w:rPr>
          <w:rFonts w:ascii="Calibri" w:hAnsi="Calibri"/>
          <w:noProof/>
          <w:sz w:val="16"/>
          <w:szCs w:val="16"/>
        </w:rPr>
        <w:t xml:space="preserve">(8) </w:t>
      </w:r>
      <w:r w:rsidRPr="00E46A5A">
        <w:rPr>
          <w:rFonts w:ascii="Calibri" w:hAnsi="Calibri"/>
          <w:noProof/>
          <w:sz w:val="16"/>
          <w:szCs w:val="16"/>
        </w:rPr>
        <w:tab/>
        <w:t xml:space="preserve">Ziegler, D.; Meyer, T. R.; Farnham, R.; Brune, C.; Bertozzi, A. L.; Ashby, P. D. </w:t>
      </w:r>
      <w:r w:rsidRPr="00E46A5A">
        <w:rPr>
          <w:rFonts w:ascii="Calibri" w:hAnsi="Calibri"/>
          <w:i/>
          <w:iCs/>
          <w:noProof/>
          <w:sz w:val="16"/>
          <w:szCs w:val="16"/>
        </w:rPr>
        <w:t>Nanotechnology</w:t>
      </w:r>
      <w:r w:rsidRPr="00E46A5A">
        <w:rPr>
          <w:rFonts w:ascii="Calibri" w:hAnsi="Calibri"/>
          <w:noProof/>
          <w:sz w:val="16"/>
          <w:szCs w:val="16"/>
        </w:rPr>
        <w:t xml:space="preserve"> </w:t>
      </w:r>
      <w:r w:rsidRPr="00E46A5A">
        <w:rPr>
          <w:rFonts w:ascii="Calibri" w:hAnsi="Calibri"/>
          <w:b/>
          <w:bCs/>
          <w:noProof/>
          <w:sz w:val="16"/>
          <w:szCs w:val="16"/>
        </w:rPr>
        <w:t>2013</w:t>
      </w:r>
      <w:r w:rsidRPr="00E46A5A">
        <w:rPr>
          <w:rFonts w:ascii="Calibri" w:hAnsi="Calibri"/>
          <w:noProof/>
          <w:sz w:val="16"/>
          <w:szCs w:val="16"/>
        </w:rPr>
        <w:t xml:space="preserve">, </w:t>
      </w:r>
      <w:r w:rsidRPr="00E46A5A">
        <w:rPr>
          <w:rFonts w:ascii="Calibri" w:hAnsi="Calibri"/>
          <w:i/>
          <w:iCs/>
          <w:noProof/>
          <w:sz w:val="16"/>
          <w:szCs w:val="16"/>
        </w:rPr>
        <w:t>24</w:t>
      </w:r>
      <w:r w:rsidRPr="00E46A5A">
        <w:rPr>
          <w:rFonts w:ascii="Calibri" w:hAnsi="Calibri"/>
          <w:noProof/>
          <w:sz w:val="16"/>
          <w:szCs w:val="16"/>
        </w:rPr>
        <w:t xml:space="preserve">, 335703. </w:t>
      </w:r>
      <w:r w:rsidR="00D825D8" w:rsidRPr="00E46A5A">
        <w:rPr>
          <w:b/>
          <w:sz w:val="16"/>
          <w:szCs w:val="16"/>
        </w:rPr>
        <w:fldChar w:fldCharType="end"/>
      </w:r>
    </w:p>
    <w:sectPr w:rsidR="0068492D" w:rsidRPr="007655BA" w:rsidSect="00CD417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6683"/>
    <w:rsid w:val="00010A88"/>
    <w:rsid w:val="00020270"/>
    <w:rsid w:val="00035DCE"/>
    <w:rsid w:val="00090B5E"/>
    <w:rsid w:val="000B359D"/>
    <w:rsid w:val="000F40BA"/>
    <w:rsid w:val="0015141B"/>
    <w:rsid w:val="001751D4"/>
    <w:rsid w:val="001D075B"/>
    <w:rsid w:val="001F6E92"/>
    <w:rsid w:val="00205E66"/>
    <w:rsid w:val="0021680C"/>
    <w:rsid w:val="00224CF3"/>
    <w:rsid w:val="00274FEB"/>
    <w:rsid w:val="002854A0"/>
    <w:rsid w:val="002936BD"/>
    <w:rsid w:val="0029572C"/>
    <w:rsid w:val="002A11FA"/>
    <w:rsid w:val="002A7C31"/>
    <w:rsid w:val="002B4E4B"/>
    <w:rsid w:val="002C6B84"/>
    <w:rsid w:val="002E44E4"/>
    <w:rsid w:val="003009F2"/>
    <w:rsid w:val="003032D4"/>
    <w:rsid w:val="0030568F"/>
    <w:rsid w:val="00381E18"/>
    <w:rsid w:val="003F7ACE"/>
    <w:rsid w:val="0042359C"/>
    <w:rsid w:val="00435294"/>
    <w:rsid w:val="00467356"/>
    <w:rsid w:val="004B06C9"/>
    <w:rsid w:val="004F3D2F"/>
    <w:rsid w:val="00500503"/>
    <w:rsid w:val="00543743"/>
    <w:rsid w:val="00545FA5"/>
    <w:rsid w:val="005821CB"/>
    <w:rsid w:val="00593924"/>
    <w:rsid w:val="005C7DD2"/>
    <w:rsid w:val="005E38CB"/>
    <w:rsid w:val="005F4DC8"/>
    <w:rsid w:val="006148BF"/>
    <w:rsid w:val="00670350"/>
    <w:rsid w:val="0068492D"/>
    <w:rsid w:val="0068774C"/>
    <w:rsid w:val="006C4B19"/>
    <w:rsid w:val="006D6579"/>
    <w:rsid w:val="007104C3"/>
    <w:rsid w:val="00715703"/>
    <w:rsid w:val="007501C2"/>
    <w:rsid w:val="00751638"/>
    <w:rsid w:val="007655BA"/>
    <w:rsid w:val="0076646B"/>
    <w:rsid w:val="007A6E26"/>
    <w:rsid w:val="007E60DF"/>
    <w:rsid w:val="008805BA"/>
    <w:rsid w:val="008820DA"/>
    <w:rsid w:val="00891B55"/>
    <w:rsid w:val="008A6692"/>
    <w:rsid w:val="008D056C"/>
    <w:rsid w:val="008F64DF"/>
    <w:rsid w:val="008F6683"/>
    <w:rsid w:val="0090542E"/>
    <w:rsid w:val="00961267"/>
    <w:rsid w:val="00985182"/>
    <w:rsid w:val="00A059D5"/>
    <w:rsid w:val="00A25618"/>
    <w:rsid w:val="00A4629C"/>
    <w:rsid w:val="00AE0685"/>
    <w:rsid w:val="00B1384A"/>
    <w:rsid w:val="00B277D7"/>
    <w:rsid w:val="00B573F1"/>
    <w:rsid w:val="00B94D32"/>
    <w:rsid w:val="00BA1E8E"/>
    <w:rsid w:val="00C04760"/>
    <w:rsid w:val="00C313FD"/>
    <w:rsid w:val="00C701FC"/>
    <w:rsid w:val="00C83522"/>
    <w:rsid w:val="00CD24FA"/>
    <w:rsid w:val="00CD417B"/>
    <w:rsid w:val="00CE0C7C"/>
    <w:rsid w:val="00D5575D"/>
    <w:rsid w:val="00D67454"/>
    <w:rsid w:val="00D825D8"/>
    <w:rsid w:val="00DE2C32"/>
    <w:rsid w:val="00E46A5A"/>
    <w:rsid w:val="00E80E6E"/>
    <w:rsid w:val="00EA0D0D"/>
    <w:rsid w:val="00EB04DA"/>
    <w:rsid w:val="00EE0C60"/>
    <w:rsid w:val="00EE1EE5"/>
    <w:rsid w:val="00EE31A5"/>
    <w:rsid w:val="00F07086"/>
    <w:rsid w:val="00F51A97"/>
    <w:rsid w:val="00F81ABE"/>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090B5E"/>
    <w:rPr>
      <w:sz w:val="16"/>
      <w:szCs w:val="16"/>
    </w:rPr>
  </w:style>
  <w:style w:type="paragraph" w:styleId="CommentText">
    <w:name w:val="annotation text"/>
    <w:basedOn w:val="Normal"/>
    <w:link w:val="CommentTextChar"/>
    <w:uiPriority w:val="99"/>
    <w:semiHidden/>
    <w:unhideWhenUsed/>
    <w:rsid w:val="00090B5E"/>
    <w:pPr>
      <w:spacing w:line="240" w:lineRule="auto"/>
    </w:pPr>
    <w:rPr>
      <w:sz w:val="20"/>
      <w:szCs w:val="20"/>
    </w:rPr>
  </w:style>
  <w:style w:type="character" w:customStyle="1" w:styleId="CommentTextChar">
    <w:name w:val="Comment Text Char"/>
    <w:basedOn w:val="DefaultParagraphFont"/>
    <w:link w:val="CommentText"/>
    <w:uiPriority w:val="99"/>
    <w:semiHidden/>
    <w:rsid w:val="00090B5E"/>
    <w:rPr>
      <w:sz w:val="20"/>
      <w:szCs w:val="20"/>
    </w:rPr>
  </w:style>
  <w:style w:type="paragraph" w:styleId="CommentSubject">
    <w:name w:val="annotation subject"/>
    <w:basedOn w:val="CommentText"/>
    <w:next w:val="CommentText"/>
    <w:link w:val="CommentSubjectChar"/>
    <w:uiPriority w:val="99"/>
    <w:semiHidden/>
    <w:unhideWhenUsed/>
    <w:rsid w:val="00090B5E"/>
    <w:rPr>
      <w:b/>
      <w:bCs/>
    </w:rPr>
  </w:style>
  <w:style w:type="character" w:customStyle="1" w:styleId="CommentSubjectChar">
    <w:name w:val="Comment Subject Char"/>
    <w:basedOn w:val="CommentTextChar"/>
    <w:link w:val="CommentSubject"/>
    <w:uiPriority w:val="99"/>
    <w:semiHidden/>
    <w:rsid w:val="00090B5E"/>
    <w:rPr>
      <w:b/>
      <w:bCs/>
      <w:sz w:val="20"/>
      <w:szCs w:val="20"/>
    </w:rPr>
  </w:style>
  <w:style w:type="paragraph" w:styleId="BalloonText">
    <w:name w:val="Balloon Text"/>
    <w:basedOn w:val="Normal"/>
    <w:link w:val="BalloonTextChar"/>
    <w:uiPriority w:val="99"/>
    <w:semiHidden/>
    <w:unhideWhenUsed/>
    <w:rsid w:val="00090B5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90B5E"/>
    <w:rPr>
      <w:rFonts w:ascii="Tahoma" w:hAnsi="Tahoma" w:cs="Tahoma"/>
      <w:sz w:val="16"/>
      <w:szCs w:val="16"/>
    </w:rPr>
  </w:style>
  <w:style w:type="paragraph" w:styleId="NormalWeb">
    <w:name w:val="Normal (Web)"/>
    <w:basedOn w:val="Normal"/>
    <w:uiPriority w:val="99"/>
    <w:unhideWhenUsed/>
    <w:rsid w:val="00D825D8"/>
    <w:pPr>
      <w:spacing w:before="100" w:beforeAutospacing="1" w:after="100" w:afterAutospacing="1" w:line="240" w:lineRule="auto"/>
    </w:pPr>
    <w:rPr>
      <w:rFonts w:ascii="Times New Roman" w:eastAsiaTheme="minorEastAsia" w:hAnsi="Times New Roman" w:cs="Times New Roman"/>
      <w:sz w:val="24"/>
      <w:szCs w:val="24"/>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090B5E"/>
    <w:rPr>
      <w:sz w:val="16"/>
      <w:szCs w:val="16"/>
    </w:rPr>
  </w:style>
  <w:style w:type="paragraph" w:styleId="CommentText">
    <w:name w:val="annotation text"/>
    <w:basedOn w:val="Normal"/>
    <w:link w:val="CommentTextChar"/>
    <w:uiPriority w:val="99"/>
    <w:semiHidden/>
    <w:unhideWhenUsed/>
    <w:rsid w:val="00090B5E"/>
    <w:pPr>
      <w:spacing w:line="240" w:lineRule="auto"/>
    </w:pPr>
    <w:rPr>
      <w:sz w:val="20"/>
      <w:szCs w:val="20"/>
    </w:rPr>
  </w:style>
  <w:style w:type="character" w:customStyle="1" w:styleId="CommentTextChar">
    <w:name w:val="Comment Text Char"/>
    <w:basedOn w:val="DefaultParagraphFont"/>
    <w:link w:val="CommentText"/>
    <w:uiPriority w:val="99"/>
    <w:semiHidden/>
    <w:rsid w:val="00090B5E"/>
    <w:rPr>
      <w:sz w:val="20"/>
      <w:szCs w:val="20"/>
    </w:rPr>
  </w:style>
  <w:style w:type="paragraph" w:styleId="CommentSubject">
    <w:name w:val="annotation subject"/>
    <w:basedOn w:val="CommentText"/>
    <w:next w:val="CommentText"/>
    <w:link w:val="CommentSubjectChar"/>
    <w:uiPriority w:val="99"/>
    <w:semiHidden/>
    <w:unhideWhenUsed/>
    <w:rsid w:val="00090B5E"/>
    <w:rPr>
      <w:b/>
      <w:bCs/>
    </w:rPr>
  </w:style>
  <w:style w:type="character" w:customStyle="1" w:styleId="CommentSubjectChar">
    <w:name w:val="Comment Subject Char"/>
    <w:basedOn w:val="CommentTextChar"/>
    <w:link w:val="CommentSubject"/>
    <w:uiPriority w:val="99"/>
    <w:semiHidden/>
    <w:rsid w:val="00090B5E"/>
    <w:rPr>
      <w:b/>
      <w:bCs/>
      <w:sz w:val="20"/>
      <w:szCs w:val="20"/>
    </w:rPr>
  </w:style>
  <w:style w:type="paragraph" w:styleId="BalloonText">
    <w:name w:val="Balloon Text"/>
    <w:basedOn w:val="Normal"/>
    <w:link w:val="BalloonTextChar"/>
    <w:uiPriority w:val="99"/>
    <w:semiHidden/>
    <w:unhideWhenUsed/>
    <w:rsid w:val="00090B5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90B5E"/>
    <w:rPr>
      <w:rFonts w:ascii="Tahoma" w:hAnsi="Tahoma" w:cs="Tahoma"/>
      <w:sz w:val="16"/>
      <w:szCs w:val="16"/>
    </w:rPr>
  </w:style>
  <w:style w:type="paragraph" w:styleId="NormalWeb">
    <w:name w:val="Normal (Web)"/>
    <w:basedOn w:val="Normal"/>
    <w:uiPriority w:val="99"/>
    <w:unhideWhenUsed/>
    <w:rsid w:val="00D825D8"/>
    <w:pPr>
      <w:spacing w:before="100" w:beforeAutospacing="1" w:after="100" w:afterAutospacing="1" w:line="240" w:lineRule="auto"/>
    </w:pPr>
    <w:rPr>
      <w:rFonts w:ascii="Times New Roman" w:eastAsiaTheme="minorEastAsia"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381713">
      <w:bodyDiv w:val="1"/>
      <w:marLeft w:val="0"/>
      <w:marRight w:val="0"/>
      <w:marTop w:val="0"/>
      <w:marBottom w:val="0"/>
      <w:divBdr>
        <w:top w:val="none" w:sz="0" w:space="0" w:color="auto"/>
        <w:left w:val="none" w:sz="0" w:space="0" w:color="auto"/>
        <w:bottom w:val="none" w:sz="0" w:space="0" w:color="auto"/>
        <w:right w:val="none" w:sz="0" w:space="0" w:color="auto"/>
      </w:divBdr>
      <w:divsChild>
        <w:div w:id="2072532174">
          <w:marLeft w:val="0"/>
          <w:marRight w:val="0"/>
          <w:marTop w:val="0"/>
          <w:marBottom w:val="0"/>
          <w:divBdr>
            <w:top w:val="none" w:sz="0" w:space="0" w:color="auto"/>
            <w:left w:val="none" w:sz="0" w:space="0" w:color="auto"/>
            <w:bottom w:val="none" w:sz="0" w:space="0" w:color="auto"/>
            <w:right w:val="none" w:sz="0" w:space="0" w:color="auto"/>
          </w:divBdr>
          <w:divsChild>
            <w:div w:id="1762797960">
              <w:marLeft w:val="0"/>
              <w:marRight w:val="0"/>
              <w:marTop w:val="0"/>
              <w:marBottom w:val="0"/>
              <w:divBdr>
                <w:top w:val="none" w:sz="0" w:space="0" w:color="auto"/>
                <w:left w:val="none" w:sz="0" w:space="0" w:color="auto"/>
                <w:bottom w:val="none" w:sz="0" w:space="0" w:color="auto"/>
                <w:right w:val="none" w:sz="0" w:space="0" w:color="auto"/>
              </w:divBdr>
              <w:divsChild>
                <w:div w:id="124008660">
                  <w:marLeft w:val="0"/>
                  <w:marRight w:val="0"/>
                  <w:marTop w:val="0"/>
                  <w:marBottom w:val="0"/>
                  <w:divBdr>
                    <w:top w:val="none" w:sz="0" w:space="0" w:color="auto"/>
                    <w:left w:val="none" w:sz="0" w:space="0" w:color="auto"/>
                    <w:bottom w:val="none" w:sz="0" w:space="0" w:color="auto"/>
                    <w:right w:val="none" w:sz="0" w:space="0" w:color="auto"/>
                  </w:divBdr>
                  <w:divsChild>
                    <w:div w:id="1356229380">
                      <w:marLeft w:val="0"/>
                      <w:marRight w:val="0"/>
                      <w:marTop w:val="0"/>
                      <w:marBottom w:val="0"/>
                      <w:divBdr>
                        <w:top w:val="none" w:sz="0" w:space="0" w:color="auto"/>
                        <w:left w:val="none" w:sz="0" w:space="0" w:color="auto"/>
                        <w:bottom w:val="none" w:sz="0" w:space="0" w:color="auto"/>
                        <w:right w:val="none" w:sz="0" w:space="0" w:color="auto"/>
                      </w:divBdr>
                      <w:divsChild>
                        <w:div w:id="858390724">
                          <w:marLeft w:val="0"/>
                          <w:marRight w:val="0"/>
                          <w:marTop w:val="0"/>
                          <w:marBottom w:val="0"/>
                          <w:divBdr>
                            <w:top w:val="none" w:sz="0" w:space="0" w:color="auto"/>
                            <w:left w:val="none" w:sz="0" w:space="0" w:color="auto"/>
                            <w:bottom w:val="none" w:sz="0" w:space="0" w:color="auto"/>
                            <w:right w:val="none" w:sz="0" w:space="0" w:color="auto"/>
                          </w:divBdr>
                          <w:divsChild>
                            <w:div w:id="1500853857">
                              <w:marLeft w:val="0"/>
                              <w:marRight w:val="0"/>
                              <w:marTop w:val="0"/>
                              <w:marBottom w:val="0"/>
                              <w:divBdr>
                                <w:top w:val="none" w:sz="0" w:space="0" w:color="auto"/>
                                <w:left w:val="none" w:sz="0" w:space="0" w:color="auto"/>
                                <w:bottom w:val="none" w:sz="0" w:space="0" w:color="auto"/>
                                <w:right w:val="none" w:sz="0" w:space="0" w:color="auto"/>
                              </w:divBdr>
                              <w:divsChild>
                                <w:div w:id="1819684651">
                                  <w:marLeft w:val="0"/>
                                  <w:marRight w:val="0"/>
                                  <w:marTop w:val="0"/>
                                  <w:marBottom w:val="0"/>
                                  <w:divBdr>
                                    <w:top w:val="none" w:sz="0" w:space="0" w:color="auto"/>
                                    <w:left w:val="none" w:sz="0" w:space="0" w:color="auto"/>
                                    <w:bottom w:val="none" w:sz="0" w:space="0" w:color="auto"/>
                                    <w:right w:val="none" w:sz="0" w:space="0" w:color="auto"/>
                                  </w:divBdr>
                                  <w:divsChild>
                                    <w:div w:id="815025669">
                                      <w:marLeft w:val="0"/>
                                      <w:marRight w:val="0"/>
                                      <w:marTop w:val="0"/>
                                      <w:marBottom w:val="0"/>
                                      <w:divBdr>
                                        <w:top w:val="none" w:sz="0" w:space="0" w:color="auto"/>
                                        <w:left w:val="none" w:sz="0" w:space="0" w:color="auto"/>
                                        <w:bottom w:val="none" w:sz="0" w:space="0" w:color="auto"/>
                                        <w:right w:val="none" w:sz="0" w:space="0" w:color="auto"/>
                                      </w:divBdr>
                                      <w:divsChild>
                                        <w:div w:id="1274508787">
                                          <w:marLeft w:val="0"/>
                                          <w:marRight w:val="0"/>
                                          <w:marTop w:val="0"/>
                                          <w:marBottom w:val="0"/>
                                          <w:divBdr>
                                            <w:top w:val="none" w:sz="0" w:space="0" w:color="auto"/>
                                            <w:left w:val="none" w:sz="0" w:space="0" w:color="auto"/>
                                            <w:bottom w:val="none" w:sz="0" w:space="0" w:color="auto"/>
                                            <w:right w:val="none" w:sz="0" w:space="0" w:color="auto"/>
                                          </w:divBdr>
                                          <w:divsChild>
                                            <w:div w:id="176777990">
                                              <w:marLeft w:val="0"/>
                                              <w:marRight w:val="0"/>
                                              <w:marTop w:val="0"/>
                                              <w:marBottom w:val="0"/>
                                              <w:divBdr>
                                                <w:top w:val="none" w:sz="0" w:space="0" w:color="auto"/>
                                                <w:left w:val="none" w:sz="0" w:space="0" w:color="auto"/>
                                                <w:bottom w:val="none" w:sz="0" w:space="0" w:color="auto"/>
                                                <w:right w:val="none" w:sz="0" w:space="0" w:color="auto"/>
                                              </w:divBdr>
                                              <w:divsChild>
                                                <w:div w:id="698167279">
                                                  <w:marLeft w:val="0"/>
                                                  <w:marRight w:val="0"/>
                                                  <w:marTop w:val="0"/>
                                                  <w:marBottom w:val="0"/>
                                                  <w:divBdr>
                                                    <w:top w:val="none" w:sz="0" w:space="0" w:color="auto"/>
                                                    <w:left w:val="none" w:sz="0" w:space="0" w:color="auto"/>
                                                    <w:bottom w:val="none" w:sz="0" w:space="0" w:color="auto"/>
                                                    <w:right w:val="none" w:sz="0" w:space="0" w:color="auto"/>
                                                  </w:divBdr>
                                                  <w:divsChild>
                                                    <w:div w:id="1389572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tif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65B7ED-97CC-46E8-9F20-817E400F98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138</TotalTime>
  <Pages>1</Pages>
  <Words>3686</Words>
  <Characters>21016</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24653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chemist</dc:creator>
  <cp:lastModifiedBy>chemist</cp:lastModifiedBy>
  <cp:revision>36</cp:revision>
  <dcterms:created xsi:type="dcterms:W3CDTF">2014-01-30T09:58:00Z</dcterms:created>
  <dcterms:modified xsi:type="dcterms:W3CDTF">2014-02-10T15:44:00Z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kim.mckelvey@gmail.com@www.mendeley.com</vt:lpwstr>
  </property>
  <property fmtid="{D5CDD505-2E9C-101B-9397-08002B2CF9AE}" pid="4" name="Mendeley Citation Style_1">
    <vt:lpwstr>http://www.zotero.org/styles/american-chemical-society</vt:lpwstr>
  </property>
  <property fmtid="{D5CDD505-2E9C-101B-9397-08002B2CF9AE}" pid="5" name="Mendeley Recent Style Id 0_1">
    <vt:lpwstr>http://www.zotero.org/styles/acs-nano</vt:lpwstr>
  </property>
  <property fmtid="{D5CDD505-2E9C-101B-9397-08002B2CF9AE}" pid="6" name="Mendeley Recent Style Name 0_1">
    <vt:lpwstr>ACS Nano</vt:lpwstr>
  </property>
  <property fmtid="{D5CDD505-2E9C-101B-9397-08002B2CF9AE}" pid="7" name="Mendeley Recent Style Id 1_1">
    <vt:lpwstr>http://www.zotero.org/styles/american-chemical-society</vt:lpwstr>
  </property>
  <property fmtid="{D5CDD505-2E9C-101B-9397-08002B2CF9AE}" pid="8" name="Mendeley Recent Style Name 1_1">
    <vt:lpwstr>American Chemical Society</vt:lpwstr>
  </property>
  <property fmtid="{D5CDD505-2E9C-101B-9397-08002B2CF9AE}" pid="9" name="Mendeley Recent Style Id 2_1">
    <vt:lpwstr>http://www.zotero.org/styles/american-medical-association</vt:lpwstr>
  </property>
  <property fmtid="{D5CDD505-2E9C-101B-9397-08002B2CF9AE}" pid="10" name="Mendeley Recent Style Name 2_1">
    <vt:lpwstr>American Medical Association</vt:lpwstr>
  </property>
  <property fmtid="{D5CDD505-2E9C-101B-9397-08002B2CF9AE}" pid="11" name="Mendeley Recent Style Id 3_1">
    <vt:lpwstr>http://www.zotero.org/styles/american-political-science-association</vt:lpwstr>
  </property>
  <property fmtid="{D5CDD505-2E9C-101B-9397-08002B2CF9AE}" pid="12" name="Mendeley Recent Style Name 3_1">
    <vt:lpwstr>American Political Science Association</vt:lpwstr>
  </property>
  <property fmtid="{D5CDD505-2E9C-101B-9397-08002B2CF9AE}" pid="13" name="Mendeley Recent Style Id 4_1">
    <vt:lpwstr>http://www.zotero.org/styles/apa</vt:lpwstr>
  </property>
  <property fmtid="{D5CDD505-2E9C-101B-9397-08002B2CF9AE}" pid="14" name="Mendeley Recent Style Name 4_1">
    <vt:lpwstr>American Psychological Association 6th edition</vt:lpwstr>
  </property>
  <property fmtid="{D5CDD505-2E9C-101B-9397-08002B2CF9AE}" pid="15" name="Mendeley Recent Style Id 5_1">
    <vt:lpwstr>http://www.zotero.org/styles/analytical-chemistry</vt:lpwstr>
  </property>
  <property fmtid="{D5CDD505-2E9C-101B-9397-08002B2CF9AE}" pid="16" name="Mendeley Recent Style Name 5_1">
    <vt:lpwstr>Analytical Chemistry</vt:lpwstr>
  </property>
  <property fmtid="{D5CDD505-2E9C-101B-9397-08002B2CF9AE}" pid="17" name="Mendeley Recent Style Id 6_1">
    <vt:lpwstr>http://www.zotero.org/styles/chicago-author-date</vt:lpwstr>
  </property>
  <property fmtid="{D5CDD505-2E9C-101B-9397-08002B2CF9AE}" pid="18" name="Mendeley Recent Style Name 6_1">
    <vt:lpwstr>Chicago Manual of Style 16th edition (author-date)</vt:lpwstr>
  </property>
  <property fmtid="{D5CDD505-2E9C-101B-9397-08002B2CF9AE}" pid="19" name="Mendeley Recent Style Id 7_1">
    <vt:lpwstr>http://www.zotero.org/styles/harvard1</vt:lpwstr>
  </property>
  <property fmtid="{D5CDD505-2E9C-101B-9397-08002B2CF9AE}" pid="20" name="Mendeley Recent Style Name 7_1">
    <vt:lpwstr>Harvard Reference format 1 (author-date)</vt:lpwstr>
  </property>
  <property fmtid="{D5CDD505-2E9C-101B-9397-08002B2CF9AE}" pid="21" name="Mendeley Recent Style Id 8_1">
    <vt:lpwstr>http://www.zotero.org/styles/ieee</vt:lpwstr>
  </property>
  <property fmtid="{D5CDD505-2E9C-101B-9397-08002B2CF9AE}" pid="22" name="Mendeley Recent Style Name 8_1">
    <vt:lpwstr>IEEE</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