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F5576" w14:textId="77777777" w:rsidR="000558D7" w:rsidRDefault="000558D7" w:rsidP="000558D7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eastAsia="Calibri"/>
          <w:sz w:val="20"/>
          <w:szCs w:val="20"/>
          <w:lang w:val="en-US" w:eastAsia="en-US"/>
        </w:rPr>
      </w:pPr>
      <w:r>
        <w:rPr>
          <w:rFonts w:eastAsia="Calibri"/>
          <w:sz w:val="20"/>
          <w:szCs w:val="20"/>
          <w:lang w:val="en-US" w:eastAsia="en-US"/>
        </w:rPr>
        <w:t xml:space="preserve">Linguistic Ethnography References </w:t>
      </w:r>
    </w:p>
    <w:p w14:paraId="385E8954" w14:textId="77777777" w:rsidR="000558D7" w:rsidRDefault="000558D7" w:rsidP="000558D7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eastAsia="Calibri"/>
          <w:sz w:val="20"/>
          <w:szCs w:val="20"/>
          <w:lang w:val="en-US" w:eastAsia="en-US"/>
        </w:rPr>
      </w:pPr>
    </w:p>
    <w:p w14:paraId="1DC71FDA" w14:textId="77777777" w:rsidR="003655D1" w:rsidRPr="00EB2A66" w:rsidRDefault="003655D1" w:rsidP="000558D7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eastAsia="Calibri"/>
          <w:sz w:val="20"/>
          <w:szCs w:val="20"/>
          <w:lang w:val="en-US" w:eastAsia="en-US"/>
        </w:rPr>
      </w:pPr>
      <w:r w:rsidRPr="003655D1">
        <w:rPr>
          <w:rFonts w:eastAsia="Calibri"/>
          <w:sz w:val="20"/>
          <w:szCs w:val="20"/>
          <w:lang w:val="en-US" w:eastAsia="en-US"/>
        </w:rPr>
        <w:t>Agha, A</w:t>
      </w:r>
      <w:r w:rsidRPr="00EB2A66">
        <w:rPr>
          <w:rFonts w:eastAsia="Calibri"/>
          <w:sz w:val="20"/>
          <w:szCs w:val="20"/>
          <w:lang w:val="en-US" w:eastAsia="en-US"/>
        </w:rPr>
        <w:t>. (</w:t>
      </w:r>
      <w:r w:rsidRPr="003655D1">
        <w:rPr>
          <w:rFonts w:eastAsia="Calibri"/>
          <w:sz w:val="20"/>
          <w:szCs w:val="20"/>
          <w:lang w:val="en-US" w:eastAsia="en-US"/>
        </w:rPr>
        <w:t>2005</w:t>
      </w:r>
      <w:r w:rsidRPr="00EB2A66">
        <w:rPr>
          <w:rFonts w:eastAsia="Calibri"/>
          <w:sz w:val="20"/>
          <w:szCs w:val="20"/>
          <w:lang w:val="en-US" w:eastAsia="en-US"/>
        </w:rPr>
        <w:t>)</w:t>
      </w:r>
      <w:r w:rsidRPr="003655D1">
        <w:rPr>
          <w:rFonts w:eastAsia="Calibri"/>
          <w:sz w:val="20"/>
          <w:szCs w:val="20"/>
          <w:lang w:val="en-US" w:eastAsia="en-US"/>
        </w:rPr>
        <w:t xml:space="preserve"> Voice, footing, </w:t>
      </w:r>
      <w:proofErr w:type="spellStart"/>
      <w:r w:rsidRPr="003655D1">
        <w:rPr>
          <w:rFonts w:eastAsia="Calibri"/>
          <w:sz w:val="20"/>
          <w:szCs w:val="20"/>
          <w:lang w:val="en-US" w:eastAsia="en-US"/>
        </w:rPr>
        <w:t>enregisterment</w:t>
      </w:r>
      <w:proofErr w:type="spellEnd"/>
      <w:r w:rsidRPr="003655D1">
        <w:rPr>
          <w:rFonts w:eastAsia="Calibri"/>
          <w:sz w:val="20"/>
          <w:szCs w:val="20"/>
          <w:lang w:val="en-US" w:eastAsia="en-US"/>
        </w:rPr>
        <w:t xml:space="preserve">. </w:t>
      </w:r>
      <w:r w:rsidRPr="003655D1">
        <w:rPr>
          <w:rFonts w:eastAsia="Calibri"/>
          <w:i/>
          <w:iCs/>
          <w:sz w:val="20"/>
          <w:szCs w:val="20"/>
          <w:lang w:val="en-US" w:eastAsia="en-US"/>
        </w:rPr>
        <w:t>Journal of Linguistic Anthropology</w:t>
      </w:r>
      <w:r w:rsidRPr="003655D1">
        <w:rPr>
          <w:rFonts w:eastAsia="Calibri"/>
          <w:iCs/>
          <w:sz w:val="20"/>
          <w:szCs w:val="20"/>
          <w:lang w:val="en-US" w:eastAsia="en-US"/>
        </w:rPr>
        <w:t>.</w:t>
      </w:r>
      <w:r w:rsidRPr="003655D1">
        <w:rPr>
          <w:rFonts w:eastAsia="Calibri"/>
          <w:i/>
          <w:iCs/>
          <w:sz w:val="20"/>
          <w:szCs w:val="20"/>
          <w:lang w:val="en-US" w:eastAsia="en-US"/>
        </w:rPr>
        <w:t xml:space="preserve"> </w:t>
      </w:r>
      <w:r w:rsidRPr="003655D1">
        <w:rPr>
          <w:rFonts w:eastAsia="Calibri"/>
          <w:iCs/>
          <w:sz w:val="20"/>
          <w:szCs w:val="20"/>
          <w:lang w:val="en-US" w:eastAsia="en-US"/>
        </w:rPr>
        <w:t>15</w:t>
      </w:r>
      <w:r w:rsidRPr="003655D1">
        <w:rPr>
          <w:rFonts w:eastAsia="Calibri"/>
          <w:sz w:val="20"/>
          <w:szCs w:val="20"/>
          <w:lang w:val="en-US" w:eastAsia="en-US"/>
        </w:rPr>
        <w:t xml:space="preserve">(1):38−59. </w:t>
      </w:r>
    </w:p>
    <w:p w14:paraId="7B1DBAD8" w14:textId="77777777" w:rsidR="00EB2A66" w:rsidRPr="00EB2A66" w:rsidRDefault="00EB2A66" w:rsidP="000558D7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eastAsia="Calibri"/>
          <w:sz w:val="20"/>
          <w:szCs w:val="20"/>
          <w:lang w:eastAsia="en-US"/>
        </w:rPr>
      </w:pPr>
      <w:r w:rsidRPr="00EB2A66">
        <w:rPr>
          <w:rFonts w:eastAsia="Calibri"/>
          <w:sz w:val="20"/>
          <w:szCs w:val="20"/>
          <w:lang w:eastAsia="en-US"/>
        </w:rPr>
        <w:t xml:space="preserve">Agha, A. (2007). </w:t>
      </w:r>
      <w:r w:rsidRPr="00EB2A66">
        <w:rPr>
          <w:rFonts w:eastAsia="Calibri"/>
          <w:i/>
          <w:iCs/>
          <w:sz w:val="20"/>
          <w:szCs w:val="20"/>
          <w:lang w:eastAsia="en-US"/>
        </w:rPr>
        <w:t>Language and social relations</w:t>
      </w:r>
      <w:r w:rsidRPr="00EB2A66">
        <w:rPr>
          <w:rFonts w:eastAsia="Calibri"/>
          <w:sz w:val="20"/>
          <w:szCs w:val="20"/>
          <w:lang w:eastAsia="en-US"/>
        </w:rPr>
        <w:t xml:space="preserve"> (No. 24). Cambridge University Press.</w:t>
      </w:r>
    </w:p>
    <w:p w14:paraId="3E95E9B4" w14:textId="77777777" w:rsidR="00EB2A66" w:rsidRPr="00EB2A66" w:rsidRDefault="00EB2A66" w:rsidP="000558D7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eastAsia="Calibri"/>
          <w:sz w:val="20"/>
          <w:szCs w:val="20"/>
          <w:lang w:eastAsia="en-US"/>
        </w:rPr>
      </w:pPr>
      <w:proofErr w:type="spellStart"/>
      <w:r w:rsidRPr="00EB2A66">
        <w:rPr>
          <w:rFonts w:eastAsia="Calibri"/>
          <w:sz w:val="20"/>
          <w:szCs w:val="20"/>
          <w:lang w:eastAsia="en-US"/>
        </w:rPr>
        <w:t>Androutsopoulos</w:t>
      </w:r>
      <w:proofErr w:type="spellEnd"/>
      <w:r w:rsidRPr="00EB2A66">
        <w:rPr>
          <w:rFonts w:eastAsia="Calibri"/>
          <w:sz w:val="20"/>
          <w:szCs w:val="20"/>
          <w:lang w:eastAsia="en-US"/>
        </w:rPr>
        <w:t xml:space="preserve">, J. (2011). From variation to heteroglossia in the study of computer-mediated discourse. </w:t>
      </w:r>
      <w:r w:rsidRPr="00EB2A66">
        <w:rPr>
          <w:rFonts w:eastAsia="Calibri"/>
          <w:i/>
          <w:iCs/>
          <w:sz w:val="20"/>
          <w:szCs w:val="20"/>
          <w:lang w:eastAsia="en-US"/>
        </w:rPr>
        <w:t>Digital discourse: Language in the new media</w:t>
      </w:r>
      <w:r w:rsidRPr="00EB2A66">
        <w:rPr>
          <w:rFonts w:eastAsia="Calibri"/>
          <w:sz w:val="20"/>
          <w:szCs w:val="20"/>
          <w:lang w:eastAsia="en-US"/>
        </w:rPr>
        <w:t>, 277-298.</w:t>
      </w:r>
    </w:p>
    <w:p w14:paraId="18337456" w14:textId="77777777" w:rsidR="003655D1" w:rsidRPr="00EB2A66" w:rsidRDefault="003655D1" w:rsidP="000558D7">
      <w:pPr>
        <w:autoSpaceDE w:val="0"/>
        <w:autoSpaceDN w:val="0"/>
        <w:adjustRightInd w:val="0"/>
        <w:ind w:left="720" w:hanging="720"/>
        <w:rPr>
          <w:sz w:val="20"/>
          <w:szCs w:val="20"/>
          <w:lang w:val="en-US"/>
        </w:rPr>
      </w:pPr>
      <w:r w:rsidRPr="00EB2A66">
        <w:rPr>
          <w:sz w:val="20"/>
          <w:szCs w:val="20"/>
          <w:lang w:val="en-US"/>
        </w:rPr>
        <w:t xml:space="preserve">Bailey, B (2012). Heteroglossia. In Martin-Jones, M., A. Blackledge, and A. Creese (eds.) </w:t>
      </w:r>
      <w:r w:rsidRPr="00EB2A66">
        <w:rPr>
          <w:i/>
          <w:sz w:val="20"/>
          <w:szCs w:val="20"/>
          <w:lang w:val="en-US"/>
        </w:rPr>
        <w:t>The Routledge Handbook of Multilingualism</w:t>
      </w:r>
      <w:r w:rsidRPr="00EB2A66">
        <w:rPr>
          <w:sz w:val="20"/>
          <w:szCs w:val="20"/>
          <w:lang w:val="en-US"/>
        </w:rPr>
        <w:t>. London, Routledge. 499-507.</w:t>
      </w:r>
    </w:p>
    <w:p w14:paraId="0902C7D6" w14:textId="77777777" w:rsidR="000558D7" w:rsidRDefault="00B853DB" w:rsidP="000558D7">
      <w:pPr>
        <w:autoSpaceDE w:val="0"/>
        <w:autoSpaceDN w:val="0"/>
        <w:adjustRightInd w:val="0"/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Bakhtin, M.M. (1981). </w:t>
      </w:r>
      <w:r w:rsidRPr="00EB2A66">
        <w:rPr>
          <w:i/>
          <w:sz w:val="20"/>
          <w:szCs w:val="20"/>
        </w:rPr>
        <w:t>The Dialogic Imagination. Four Essays</w:t>
      </w:r>
      <w:r w:rsidRPr="00EB2A66">
        <w:rPr>
          <w:sz w:val="20"/>
          <w:szCs w:val="20"/>
        </w:rPr>
        <w:t>. (Edited by Michael Holquist; translated by C. Emerson and M. Holquist). Austin: University of Texas Press.</w:t>
      </w:r>
    </w:p>
    <w:p w14:paraId="4AB8FFE2" w14:textId="77777777" w:rsidR="00B836D3" w:rsidRPr="00EB2A66" w:rsidRDefault="00B836D3" w:rsidP="000558D7">
      <w:pPr>
        <w:autoSpaceDE w:val="0"/>
        <w:autoSpaceDN w:val="0"/>
        <w:adjustRightInd w:val="0"/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Blackledge, A., &amp; Creese, A. (2010). </w:t>
      </w:r>
      <w:r w:rsidRPr="00EB2A66">
        <w:rPr>
          <w:i/>
          <w:sz w:val="20"/>
          <w:szCs w:val="20"/>
        </w:rPr>
        <w:t xml:space="preserve">Multilingualism. </w:t>
      </w:r>
      <w:r w:rsidRPr="00EB2A66">
        <w:rPr>
          <w:sz w:val="20"/>
          <w:szCs w:val="20"/>
        </w:rPr>
        <w:t xml:space="preserve">London: Continuum.  </w:t>
      </w:r>
    </w:p>
    <w:p w14:paraId="363D6236" w14:textId="77777777" w:rsidR="00682B43" w:rsidRPr="00682B43" w:rsidRDefault="00682B43" w:rsidP="00682B43">
      <w:pPr>
        <w:autoSpaceDE w:val="0"/>
        <w:autoSpaceDN w:val="0"/>
        <w:adjustRightInd w:val="0"/>
        <w:ind w:left="284" w:hanging="284"/>
        <w:rPr>
          <w:sz w:val="20"/>
          <w:szCs w:val="20"/>
        </w:rPr>
      </w:pPr>
      <w:r w:rsidRPr="00682B43">
        <w:rPr>
          <w:sz w:val="20"/>
          <w:szCs w:val="20"/>
        </w:rPr>
        <w:t xml:space="preserve">Blackledge, A. and Creese, A. (eds) (2014) </w:t>
      </w:r>
      <w:r w:rsidRPr="00682B43">
        <w:rPr>
          <w:i/>
          <w:sz w:val="20"/>
          <w:szCs w:val="20"/>
        </w:rPr>
        <w:t>Heteroglossia as Practice and Pedagogy</w:t>
      </w:r>
      <w:r w:rsidRPr="00682B43">
        <w:rPr>
          <w:sz w:val="20"/>
          <w:szCs w:val="20"/>
        </w:rPr>
        <w:t xml:space="preserve">. New York, Springer. </w:t>
      </w:r>
    </w:p>
    <w:p w14:paraId="6BED74AD" w14:textId="77777777" w:rsidR="00B853DB" w:rsidRPr="00EB2A66" w:rsidRDefault="00224122" w:rsidP="000558D7">
      <w:pPr>
        <w:autoSpaceDE w:val="0"/>
        <w:autoSpaceDN w:val="0"/>
        <w:adjustRightInd w:val="0"/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Blommaert, J. (2001), Reflections from overseas guests. Linguistic ethnography in the UK.  A BAAL/CUP seminar.  University of Leicester 28 – 29 March 2001.  Paper available at: </w:t>
      </w:r>
      <w:hyperlink r:id="rId4" w:history="1">
        <w:r w:rsidR="000558D7" w:rsidRPr="00B02B12">
          <w:rPr>
            <w:rStyle w:val="Hyperlink"/>
            <w:sz w:val="20"/>
            <w:szCs w:val="20"/>
          </w:rPr>
          <w:t>http://www.lancs.ac.uk/fss/organisations/lingethn/leicesteroverseasreflections.rtf</w:t>
        </w:r>
      </w:hyperlink>
      <w:r w:rsidR="000558D7">
        <w:rPr>
          <w:sz w:val="20"/>
          <w:szCs w:val="20"/>
        </w:rPr>
        <w:t xml:space="preserve"> </w:t>
      </w:r>
      <w:r w:rsidRPr="00EB2A66">
        <w:rPr>
          <w:sz w:val="20"/>
          <w:szCs w:val="20"/>
        </w:rPr>
        <w:t xml:space="preserve"> .  Accessed May 2017.</w:t>
      </w:r>
    </w:p>
    <w:p w14:paraId="0FA2007E" w14:textId="77777777" w:rsidR="00224122" w:rsidRPr="00EB2A66" w:rsidRDefault="00224122" w:rsidP="000558D7">
      <w:pPr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Blommaert, J. (2007), Commentaries: On scope and depth in linguistic ethnography. </w:t>
      </w:r>
      <w:r w:rsidRPr="000558D7">
        <w:rPr>
          <w:i/>
          <w:sz w:val="20"/>
          <w:szCs w:val="20"/>
        </w:rPr>
        <w:t>Journal of Sociolinguistics</w:t>
      </w:r>
      <w:r w:rsidRPr="00EB2A66">
        <w:rPr>
          <w:sz w:val="20"/>
          <w:szCs w:val="20"/>
        </w:rPr>
        <w:t xml:space="preserve"> 11 (5) 682 – 688.</w:t>
      </w:r>
    </w:p>
    <w:p w14:paraId="54F9AE20" w14:textId="77777777" w:rsidR="000558D7" w:rsidRPr="000558D7" w:rsidRDefault="003655D1" w:rsidP="000558D7">
      <w:pPr>
        <w:pStyle w:val="NoSpacing"/>
        <w:rPr>
          <w:rFonts w:eastAsia="Calibri"/>
          <w:sz w:val="20"/>
          <w:szCs w:val="20"/>
          <w:lang w:val="en-US" w:eastAsia="en-US"/>
        </w:rPr>
      </w:pPr>
      <w:proofErr w:type="spellStart"/>
      <w:r w:rsidRPr="000558D7">
        <w:rPr>
          <w:rFonts w:eastAsia="Calibri"/>
          <w:sz w:val="20"/>
          <w:szCs w:val="20"/>
          <w:lang w:val="en-US" w:eastAsia="en-US"/>
        </w:rPr>
        <w:t>Bommaert</w:t>
      </w:r>
      <w:proofErr w:type="spellEnd"/>
      <w:r w:rsidRPr="000558D7">
        <w:rPr>
          <w:rFonts w:eastAsia="Calibri"/>
          <w:sz w:val="20"/>
          <w:szCs w:val="20"/>
          <w:lang w:val="en-US" w:eastAsia="en-US"/>
        </w:rPr>
        <w:t xml:space="preserve">, J. (2010) </w:t>
      </w:r>
      <w:r w:rsidRPr="000558D7">
        <w:rPr>
          <w:rFonts w:eastAsia="Calibri"/>
          <w:i/>
          <w:sz w:val="20"/>
          <w:szCs w:val="20"/>
          <w:lang w:val="en-US" w:eastAsia="en-US"/>
        </w:rPr>
        <w:t xml:space="preserve">The Sociolinguistics of Globalization. </w:t>
      </w:r>
      <w:r w:rsidRPr="000558D7">
        <w:rPr>
          <w:rFonts w:eastAsia="Calibri"/>
          <w:sz w:val="20"/>
          <w:szCs w:val="20"/>
          <w:lang w:val="en-US" w:eastAsia="en-US"/>
        </w:rPr>
        <w:t>Cambridge: Cambridge University Press.</w:t>
      </w:r>
    </w:p>
    <w:p w14:paraId="0999DEFD" w14:textId="77777777" w:rsidR="000558D7" w:rsidRDefault="00B853DB" w:rsidP="000558D7">
      <w:pPr>
        <w:pStyle w:val="NoSpacing"/>
        <w:rPr>
          <w:rFonts w:eastAsia="Calibri"/>
          <w:lang w:val="en-US" w:eastAsia="en-US"/>
        </w:rPr>
      </w:pPr>
      <w:r w:rsidRPr="000558D7">
        <w:rPr>
          <w:sz w:val="20"/>
          <w:szCs w:val="20"/>
        </w:rPr>
        <w:t xml:space="preserve">Büscher, M., Urry, J., </w:t>
      </w:r>
      <w:proofErr w:type="spellStart"/>
      <w:r w:rsidRPr="000558D7">
        <w:rPr>
          <w:sz w:val="20"/>
          <w:szCs w:val="20"/>
        </w:rPr>
        <w:t>Witchger</w:t>
      </w:r>
      <w:proofErr w:type="spellEnd"/>
      <w:r w:rsidRPr="000558D7">
        <w:rPr>
          <w:sz w:val="20"/>
          <w:szCs w:val="20"/>
        </w:rPr>
        <w:t xml:space="preserve">, K. (Eds.) (2010) </w:t>
      </w:r>
      <w:hyperlink r:id="rId5" w:tooltip="Routledge" w:history="1">
        <w:r w:rsidRPr="000558D7">
          <w:rPr>
            <w:rStyle w:val="Hyperlink"/>
            <w:i/>
            <w:iCs/>
            <w:color w:val="auto"/>
            <w:sz w:val="20"/>
            <w:szCs w:val="20"/>
            <w:u w:val="none"/>
          </w:rPr>
          <w:t>Mobile Methods</w:t>
        </w:r>
      </w:hyperlink>
      <w:r w:rsidRPr="000558D7">
        <w:t xml:space="preserve">. </w:t>
      </w:r>
      <w:r w:rsidRPr="00EB2A66">
        <w:t>London: Routledge</w:t>
      </w:r>
    </w:p>
    <w:p w14:paraId="6F0C4FD2" w14:textId="77777777" w:rsidR="000558D7" w:rsidRPr="000558D7" w:rsidRDefault="00B836D3" w:rsidP="000558D7">
      <w:pPr>
        <w:pStyle w:val="NoSpacing"/>
        <w:ind w:left="720" w:hanging="720"/>
        <w:rPr>
          <w:rFonts w:eastAsia="Calibri"/>
          <w:sz w:val="20"/>
          <w:szCs w:val="20"/>
          <w:lang w:val="en-US" w:eastAsia="en-US"/>
        </w:rPr>
      </w:pPr>
      <w:r w:rsidRPr="000558D7">
        <w:rPr>
          <w:sz w:val="20"/>
          <w:szCs w:val="20"/>
        </w:rPr>
        <w:t xml:space="preserve">Copland, F., and Creese, A. (2015). </w:t>
      </w:r>
      <w:r w:rsidRPr="000558D7">
        <w:rPr>
          <w:i/>
          <w:sz w:val="20"/>
          <w:szCs w:val="20"/>
        </w:rPr>
        <w:t>Linguistic Ethnography: collecting, analysing and presenting data</w:t>
      </w:r>
      <w:r w:rsidRPr="000558D7">
        <w:rPr>
          <w:sz w:val="20"/>
          <w:szCs w:val="20"/>
        </w:rPr>
        <w:t>. London: Sage.</w:t>
      </w:r>
    </w:p>
    <w:p w14:paraId="465F292B" w14:textId="77777777" w:rsidR="00B853DB" w:rsidRPr="000558D7" w:rsidRDefault="00B853DB" w:rsidP="000558D7">
      <w:pPr>
        <w:pStyle w:val="NoSpacing"/>
        <w:ind w:left="720" w:hanging="720"/>
        <w:rPr>
          <w:rFonts w:eastAsia="Calibri"/>
          <w:sz w:val="20"/>
          <w:szCs w:val="20"/>
          <w:lang w:val="en-US" w:eastAsia="en-US"/>
        </w:rPr>
      </w:pPr>
      <w:r w:rsidRPr="000558D7">
        <w:rPr>
          <w:sz w:val="20"/>
          <w:szCs w:val="20"/>
        </w:rPr>
        <w:t xml:space="preserve">Creese, A. (2008) Linguistic Ethnography. In  K. A. King and N. H. Hornberger (eds), </w:t>
      </w:r>
      <w:proofErr w:type="spellStart"/>
      <w:r w:rsidRPr="000558D7">
        <w:rPr>
          <w:i/>
          <w:sz w:val="20"/>
          <w:szCs w:val="20"/>
        </w:rPr>
        <w:t>Encyclopedia</w:t>
      </w:r>
      <w:proofErr w:type="spellEnd"/>
      <w:r w:rsidRPr="000558D7">
        <w:rPr>
          <w:i/>
          <w:sz w:val="20"/>
          <w:szCs w:val="20"/>
        </w:rPr>
        <w:t xml:space="preserve"> of Language and Education, 2nd Edition, Volume 10: Research Methods in Language and Educatio</w:t>
      </w:r>
      <w:r w:rsidRPr="000558D7">
        <w:rPr>
          <w:sz w:val="20"/>
          <w:szCs w:val="20"/>
        </w:rPr>
        <w:t xml:space="preserve">n,(229–241). Springer </w:t>
      </w:r>
      <w:proofErr w:type="spellStart"/>
      <w:r w:rsidRPr="000558D7">
        <w:rPr>
          <w:sz w:val="20"/>
          <w:szCs w:val="20"/>
        </w:rPr>
        <w:t>Science+Business</w:t>
      </w:r>
      <w:proofErr w:type="spellEnd"/>
      <w:r w:rsidRPr="000558D7">
        <w:rPr>
          <w:sz w:val="20"/>
          <w:szCs w:val="20"/>
        </w:rPr>
        <w:t xml:space="preserve"> Media LLC.</w:t>
      </w:r>
    </w:p>
    <w:p w14:paraId="4BBB3674" w14:textId="77777777" w:rsidR="00B853DB" w:rsidRPr="000558D7" w:rsidRDefault="00B853DB" w:rsidP="000558D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sz w:val="20"/>
          <w:szCs w:val="20"/>
        </w:rPr>
      </w:pPr>
      <w:r w:rsidRPr="000558D7">
        <w:rPr>
          <w:sz w:val="20"/>
          <w:szCs w:val="20"/>
        </w:rPr>
        <w:t xml:space="preserve">Creese, A. (2010) Linguistic Ethnography.  In Evangelia </w:t>
      </w:r>
      <w:proofErr w:type="spellStart"/>
      <w:r w:rsidRPr="000558D7">
        <w:rPr>
          <w:sz w:val="20"/>
          <w:szCs w:val="20"/>
        </w:rPr>
        <w:t>Litosseliti</w:t>
      </w:r>
      <w:proofErr w:type="spellEnd"/>
      <w:r w:rsidRPr="000558D7">
        <w:rPr>
          <w:sz w:val="20"/>
          <w:szCs w:val="20"/>
        </w:rPr>
        <w:t xml:space="preserve">, (Ed.) </w:t>
      </w:r>
      <w:r w:rsidRPr="000558D7">
        <w:rPr>
          <w:i/>
          <w:sz w:val="20"/>
          <w:szCs w:val="20"/>
        </w:rPr>
        <w:t>Research Methods in Linguistics. London: Continuum</w:t>
      </w:r>
      <w:r w:rsidRPr="000558D7">
        <w:rPr>
          <w:sz w:val="20"/>
          <w:szCs w:val="20"/>
        </w:rPr>
        <w:t>.  pp. 138 – 154</w:t>
      </w:r>
    </w:p>
    <w:p w14:paraId="6824E631" w14:textId="77777777" w:rsidR="00B853DB" w:rsidRPr="00EB2A66" w:rsidRDefault="00B853DB" w:rsidP="000558D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Creese, A., Bhatt, A., Bhojani, N., and Martin, </w:t>
      </w:r>
      <w:proofErr w:type="gramStart"/>
      <w:r w:rsidRPr="00EB2A66">
        <w:rPr>
          <w:sz w:val="20"/>
          <w:szCs w:val="20"/>
        </w:rPr>
        <w:t>P.(</w:t>
      </w:r>
      <w:proofErr w:type="gramEnd"/>
      <w:r w:rsidRPr="00EB2A66">
        <w:rPr>
          <w:sz w:val="20"/>
          <w:szCs w:val="20"/>
        </w:rPr>
        <w:t xml:space="preserve">2008) Fieldnotes in team ethnography: researching complementary schools. </w:t>
      </w:r>
      <w:r w:rsidRPr="00EB2A66">
        <w:rPr>
          <w:i/>
          <w:sz w:val="20"/>
          <w:szCs w:val="20"/>
        </w:rPr>
        <w:t xml:space="preserve">Qualitative Research. </w:t>
      </w:r>
      <w:r w:rsidRPr="00EB2A66">
        <w:rPr>
          <w:sz w:val="20"/>
          <w:szCs w:val="20"/>
        </w:rPr>
        <w:t>Vol 8 (2) pp. 223 – 242</w:t>
      </w:r>
    </w:p>
    <w:p w14:paraId="6A9FCEC6" w14:textId="77777777" w:rsidR="003655D1" w:rsidRPr="003655D1" w:rsidRDefault="003655D1" w:rsidP="000558D7">
      <w:pPr>
        <w:ind w:left="284" w:hanging="284"/>
        <w:outlineLvl w:val="1"/>
        <w:rPr>
          <w:rFonts w:eastAsia="PMingLiU"/>
          <w:sz w:val="20"/>
          <w:szCs w:val="20"/>
          <w:lang w:eastAsia="zh-TW"/>
        </w:rPr>
      </w:pPr>
      <w:r w:rsidRPr="003655D1">
        <w:rPr>
          <w:rFonts w:eastAsia="PMingLiU"/>
          <w:sz w:val="20"/>
          <w:szCs w:val="20"/>
          <w:lang w:eastAsia="zh-TW"/>
        </w:rPr>
        <w:t xml:space="preserve">Creese A. and Blackledge, B. (2012) Voice and </w:t>
      </w:r>
      <w:proofErr w:type="gramStart"/>
      <w:r w:rsidRPr="003655D1">
        <w:rPr>
          <w:rFonts w:eastAsia="PMingLiU"/>
          <w:sz w:val="20"/>
          <w:szCs w:val="20"/>
          <w:lang w:eastAsia="zh-TW"/>
        </w:rPr>
        <w:t>meaning-making</w:t>
      </w:r>
      <w:proofErr w:type="gramEnd"/>
      <w:r w:rsidRPr="003655D1">
        <w:rPr>
          <w:rFonts w:eastAsia="PMingLiU"/>
          <w:sz w:val="20"/>
          <w:szCs w:val="20"/>
          <w:lang w:eastAsia="zh-TW"/>
        </w:rPr>
        <w:t xml:space="preserve"> in team ethnography. </w:t>
      </w:r>
      <w:r w:rsidRPr="003655D1">
        <w:rPr>
          <w:rFonts w:eastAsia="PMingLiU"/>
          <w:i/>
          <w:sz w:val="20"/>
          <w:szCs w:val="20"/>
          <w:lang w:eastAsia="zh-TW"/>
        </w:rPr>
        <w:t>Anthropology &amp; Education Quarterly</w:t>
      </w:r>
      <w:r w:rsidRPr="003655D1">
        <w:rPr>
          <w:rFonts w:eastAsia="PMingLiU"/>
          <w:sz w:val="20"/>
          <w:szCs w:val="20"/>
          <w:lang w:eastAsia="zh-TW"/>
        </w:rPr>
        <w:t>, Vol. 43, Issue 3, pp. 306–324</w:t>
      </w:r>
    </w:p>
    <w:p w14:paraId="0FCC6E21" w14:textId="77777777" w:rsidR="000558D7" w:rsidRDefault="00EB2A66" w:rsidP="000558D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Eisenhart, M. (2001). Educational ethnography past, present, and future: Ideas to think with. </w:t>
      </w:r>
      <w:r w:rsidRPr="00EB2A66">
        <w:rPr>
          <w:i/>
          <w:iCs/>
          <w:sz w:val="20"/>
          <w:szCs w:val="20"/>
        </w:rPr>
        <w:t>Educational Researcher</w:t>
      </w:r>
      <w:r w:rsidRPr="00EB2A66">
        <w:rPr>
          <w:sz w:val="20"/>
          <w:szCs w:val="20"/>
        </w:rPr>
        <w:t xml:space="preserve">, </w:t>
      </w:r>
      <w:r w:rsidRPr="00EB2A66">
        <w:rPr>
          <w:i/>
          <w:iCs/>
          <w:sz w:val="20"/>
          <w:szCs w:val="20"/>
        </w:rPr>
        <w:t>30</w:t>
      </w:r>
      <w:r w:rsidRPr="00EB2A66">
        <w:rPr>
          <w:sz w:val="20"/>
          <w:szCs w:val="20"/>
        </w:rPr>
        <w:t>(8), 16-27.</w:t>
      </w:r>
    </w:p>
    <w:p w14:paraId="30A9A68E" w14:textId="77777777" w:rsidR="000558D7" w:rsidRPr="000558D7" w:rsidRDefault="00224122" w:rsidP="000558D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>Erickson, F.</w:t>
      </w:r>
      <w:r w:rsidRPr="00EB2A66">
        <w:rPr>
          <w:color w:val="000000"/>
          <w:sz w:val="20"/>
          <w:szCs w:val="20"/>
        </w:rPr>
        <w:t xml:space="preserve"> (1990). </w:t>
      </w:r>
      <w:r w:rsidRPr="000558D7">
        <w:rPr>
          <w:i/>
          <w:color w:val="000000"/>
          <w:sz w:val="20"/>
          <w:szCs w:val="20"/>
        </w:rPr>
        <w:t>Qualitative Methods. In Research in Teaching and Learning</w:t>
      </w:r>
      <w:r w:rsidRPr="00EB2A66">
        <w:rPr>
          <w:color w:val="000000"/>
          <w:sz w:val="20"/>
          <w:szCs w:val="20"/>
          <w:u w:val="single"/>
        </w:rPr>
        <w:t xml:space="preserve">. </w:t>
      </w:r>
      <w:r w:rsidRPr="00EB2A66">
        <w:rPr>
          <w:color w:val="000000"/>
          <w:sz w:val="20"/>
          <w:szCs w:val="20"/>
        </w:rPr>
        <w:t xml:space="preserve">Volume Two </w:t>
      </w:r>
      <w:r w:rsidRPr="00EB2A66">
        <w:rPr>
          <w:sz w:val="20"/>
          <w:szCs w:val="20"/>
        </w:rPr>
        <w:t>by R. L. Linn and F. Erickson</w:t>
      </w:r>
    </w:p>
    <w:p w14:paraId="776762C2" w14:textId="77777777" w:rsidR="00224122" w:rsidRPr="00EB2A66" w:rsidRDefault="000558D7" w:rsidP="000558D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hanging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 w:rsidR="00224122" w:rsidRPr="00EB2A66">
        <w:rPr>
          <w:color w:val="000000"/>
          <w:sz w:val="20"/>
          <w:szCs w:val="20"/>
        </w:rPr>
        <w:t>New York: MacMillan Publishing Company.</w:t>
      </w:r>
    </w:p>
    <w:p w14:paraId="5444B020" w14:textId="77777777" w:rsidR="00224122" w:rsidRPr="00EB2A66" w:rsidRDefault="00224122" w:rsidP="000558D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Erickson, F. (2004), </w:t>
      </w:r>
      <w:r w:rsidRPr="000558D7">
        <w:rPr>
          <w:i/>
          <w:sz w:val="20"/>
          <w:szCs w:val="20"/>
        </w:rPr>
        <w:t>Talk and Social Theory: Ecologies of Speaking and Listening in Everyday Life</w:t>
      </w:r>
      <w:r w:rsidRPr="00EB2A66">
        <w:rPr>
          <w:sz w:val="20"/>
          <w:szCs w:val="20"/>
          <w:u w:val="single"/>
        </w:rPr>
        <w:t>.</w:t>
      </w:r>
      <w:r w:rsidRPr="00EB2A66">
        <w:rPr>
          <w:i/>
          <w:sz w:val="20"/>
          <w:szCs w:val="20"/>
        </w:rPr>
        <w:t xml:space="preserve"> </w:t>
      </w:r>
      <w:r w:rsidRPr="00EB2A66">
        <w:rPr>
          <w:sz w:val="20"/>
          <w:szCs w:val="20"/>
        </w:rPr>
        <w:t xml:space="preserve"> Malden: Polity Press.</w:t>
      </w:r>
    </w:p>
    <w:p w14:paraId="6A259B02" w14:textId="77777777" w:rsidR="00224122" w:rsidRPr="00EB2A66" w:rsidRDefault="00224122" w:rsidP="000558D7">
      <w:pPr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Geertz, C. (1988), </w:t>
      </w:r>
      <w:r w:rsidRPr="000558D7">
        <w:rPr>
          <w:i/>
          <w:sz w:val="20"/>
          <w:szCs w:val="20"/>
        </w:rPr>
        <w:t xml:space="preserve">Works and Lives: The </w:t>
      </w:r>
      <w:proofErr w:type="spellStart"/>
      <w:r w:rsidRPr="000558D7">
        <w:rPr>
          <w:i/>
          <w:sz w:val="20"/>
          <w:szCs w:val="20"/>
        </w:rPr>
        <w:t>Antrhopologist</w:t>
      </w:r>
      <w:proofErr w:type="spellEnd"/>
      <w:r w:rsidRPr="000558D7">
        <w:rPr>
          <w:i/>
          <w:sz w:val="20"/>
          <w:szCs w:val="20"/>
        </w:rPr>
        <w:t xml:space="preserve"> as Author</w:t>
      </w:r>
      <w:r w:rsidRPr="00EB2A66">
        <w:rPr>
          <w:sz w:val="20"/>
          <w:szCs w:val="20"/>
        </w:rPr>
        <w:t>. Cambridge: Polity Press.</w:t>
      </w:r>
    </w:p>
    <w:p w14:paraId="3FB87E55" w14:textId="77777777" w:rsidR="000558D7" w:rsidRDefault="00B853DB" w:rsidP="000558D7">
      <w:pPr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Heller, M. (2011) </w:t>
      </w:r>
      <w:r w:rsidRPr="00EB2A66">
        <w:rPr>
          <w:i/>
          <w:sz w:val="20"/>
          <w:szCs w:val="20"/>
        </w:rPr>
        <w:t>Paths to Post-Nationalism: A Critical Ethnography of Language and Identity,</w:t>
      </w:r>
      <w:r w:rsidRPr="00EB2A66">
        <w:rPr>
          <w:sz w:val="20"/>
          <w:szCs w:val="20"/>
        </w:rPr>
        <w:t xml:space="preserve"> Oxford: Oxford University Press.</w:t>
      </w:r>
    </w:p>
    <w:p w14:paraId="23D35E38" w14:textId="77777777" w:rsidR="003655D1" w:rsidRPr="00EB2A66" w:rsidRDefault="003655D1" w:rsidP="000558D7">
      <w:pPr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>Hornberger, N. (2003) ‘Linguistic anthropology of education (LAE) in context’, in</w:t>
      </w:r>
      <w:r w:rsidR="000558D7">
        <w:rPr>
          <w:sz w:val="20"/>
          <w:szCs w:val="20"/>
        </w:rPr>
        <w:t xml:space="preserve"> S. Wortham and B. Rymes (eds.), </w:t>
      </w:r>
      <w:r w:rsidRPr="000558D7">
        <w:rPr>
          <w:i/>
          <w:sz w:val="20"/>
          <w:szCs w:val="20"/>
        </w:rPr>
        <w:t>Linguistic Anthropology of Education</w:t>
      </w:r>
      <w:r w:rsidRPr="00EB2A66">
        <w:rPr>
          <w:sz w:val="20"/>
          <w:szCs w:val="20"/>
        </w:rPr>
        <w:t>, Praeger</w:t>
      </w:r>
      <w:r w:rsidR="000558D7">
        <w:rPr>
          <w:sz w:val="20"/>
          <w:szCs w:val="20"/>
        </w:rPr>
        <w:t xml:space="preserve"> </w:t>
      </w:r>
      <w:r w:rsidRPr="00EB2A66">
        <w:rPr>
          <w:sz w:val="20"/>
          <w:szCs w:val="20"/>
        </w:rPr>
        <w:t>Press, CT, 245–270.</w:t>
      </w:r>
    </w:p>
    <w:p w14:paraId="7ED24DED" w14:textId="77777777" w:rsidR="00B836D3" w:rsidRPr="00EB2A66" w:rsidRDefault="00B836D3" w:rsidP="000558D7">
      <w:pPr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Hymes, D. (1972) ‘On communicative competence’, in J.B. Pride and J. Holmes (eds), </w:t>
      </w:r>
      <w:r w:rsidRPr="00EB2A66">
        <w:rPr>
          <w:i/>
          <w:sz w:val="20"/>
          <w:szCs w:val="20"/>
        </w:rPr>
        <w:t>Sociolinguistics</w:t>
      </w:r>
      <w:r w:rsidRPr="00EB2A66">
        <w:rPr>
          <w:sz w:val="20"/>
          <w:szCs w:val="20"/>
        </w:rPr>
        <w:t>. Harmondsworth: Penguin. pp. 269 – 293.</w:t>
      </w:r>
    </w:p>
    <w:p w14:paraId="65047727" w14:textId="77777777" w:rsidR="00EB2A66" w:rsidRPr="00EB2A66" w:rsidRDefault="00EB2A66" w:rsidP="000558D7">
      <w:pPr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Kramsch, C. J. (2009). </w:t>
      </w:r>
      <w:r w:rsidRPr="00EB2A66">
        <w:rPr>
          <w:i/>
          <w:iCs/>
          <w:sz w:val="20"/>
          <w:szCs w:val="20"/>
        </w:rPr>
        <w:t>The multilingual subject: What foreign language learners say about their experience and why it matters</w:t>
      </w:r>
      <w:r w:rsidRPr="00EB2A66">
        <w:rPr>
          <w:sz w:val="20"/>
          <w:szCs w:val="20"/>
        </w:rPr>
        <w:t>. Oxford University Press.</w:t>
      </w:r>
    </w:p>
    <w:p w14:paraId="775C0F52" w14:textId="77777777" w:rsidR="00EB2A66" w:rsidRPr="00EB2A66" w:rsidRDefault="00EB2A66" w:rsidP="000558D7">
      <w:pPr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Lucy, J. A. (1993). </w:t>
      </w:r>
      <w:r w:rsidRPr="00EB2A66">
        <w:rPr>
          <w:i/>
          <w:iCs/>
          <w:sz w:val="20"/>
          <w:szCs w:val="20"/>
        </w:rPr>
        <w:t xml:space="preserve">Reflexive language: Reported speech and </w:t>
      </w:r>
      <w:proofErr w:type="spellStart"/>
      <w:r w:rsidRPr="00EB2A66">
        <w:rPr>
          <w:i/>
          <w:iCs/>
          <w:sz w:val="20"/>
          <w:szCs w:val="20"/>
        </w:rPr>
        <w:t>metapragmatics</w:t>
      </w:r>
      <w:proofErr w:type="spellEnd"/>
      <w:r w:rsidRPr="00EB2A66">
        <w:rPr>
          <w:sz w:val="20"/>
          <w:szCs w:val="20"/>
        </w:rPr>
        <w:t>. Cambridge University Press.</w:t>
      </w:r>
    </w:p>
    <w:p w14:paraId="21C4BC2B" w14:textId="77777777" w:rsidR="00224122" w:rsidRPr="00EB2A66" w:rsidRDefault="00224122" w:rsidP="000558D7">
      <w:pPr>
        <w:rPr>
          <w:sz w:val="20"/>
          <w:szCs w:val="20"/>
        </w:rPr>
      </w:pPr>
      <w:proofErr w:type="spellStart"/>
      <w:r w:rsidRPr="00EB2A66">
        <w:rPr>
          <w:sz w:val="20"/>
          <w:szCs w:val="20"/>
        </w:rPr>
        <w:t>MacLure</w:t>
      </w:r>
      <w:proofErr w:type="spellEnd"/>
      <w:r w:rsidRPr="00EB2A66">
        <w:rPr>
          <w:sz w:val="20"/>
          <w:szCs w:val="20"/>
        </w:rPr>
        <w:t xml:space="preserve">, M. (2003), </w:t>
      </w:r>
      <w:r w:rsidRPr="000558D7">
        <w:rPr>
          <w:i/>
          <w:sz w:val="20"/>
          <w:szCs w:val="20"/>
        </w:rPr>
        <w:t>Discourse in Educational and Social Research</w:t>
      </w:r>
      <w:r w:rsidRPr="00EB2A66">
        <w:rPr>
          <w:sz w:val="20"/>
          <w:szCs w:val="20"/>
        </w:rPr>
        <w:t>. Buckingham: Open University Press.</w:t>
      </w:r>
    </w:p>
    <w:p w14:paraId="13738F5F" w14:textId="77777777" w:rsidR="00EB2A66" w:rsidRPr="00EB2A66" w:rsidRDefault="00EB2A66" w:rsidP="000558D7">
      <w:pPr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Rampton, B. (1998). Language crossing and the redefinition of reality. </w:t>
      </w:r>
      <w:r w:rsidRPr="00EB2A66">
        <w:rPr>
          <w:i/>
          <w:iCs/>
          <w:sz w:val="20"/>
          <w:szCs w:val="20"/>
        </w:rPr>
        <w:t>Code-switching in conversation: Language, interaction and identity</w:t>
      </w:r>
      <w:r w:rsidRPr="00EB2A66">
        <w:rPr>
          <w:sz w:val="20"/>
          <w:szCs w:val="20"/>
        </w:rPr>
        <w:t>, 290-317.</w:t>
      </w:r>
    </w:p>
    <w:p w14:paraId="534FE981" w14:textId="77777777" w:rsidR="00224122" w:rsidRPr="00EB2A66" w:rsidRDefault="00224122" w:rsidP="000558D7">
      <w:pPr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Rampton, B., </w:t>
      </w:r>
      <w:proofErr w:type="spellStart"/>
      <w:r w:rsidRPr="00EB2A66">
        <w:rPr>
          <w:sz w:val="20"/>
          <w:szCs w:val="20"/>
        </w:rPr>
        <w:t>Tusting</w:t>
      </w:r>
      <w:proofErr w:type="spellEnd"/>
      <w:r w:rsidRPr="00EB2A66">
        <w:rPr>
          <w:sz w:val="20"/>
          <w:szCs w:val="20"/>
        </w:rPr>
        <w:t xml:space="preserve">, K., Maybin, J., Barwell, R., Creese, A., and Lytra, V. (2004) </w:t>
      </w:r>
      <w:r w:rsidRPr="000558D7">
        <w:rPr>
          <w:i/>
          <w:sz w:val="20"/>
          <w:szCs w:val="20"/>
        </w:rPr>
        <w:t>UK linguistic ethnography: A discussion paper</w:t>
      </w:r>
      <w:r w:rsidRPr="00EB2A66">
        <w:rPr>
          <w:sz w:val="20"/>
          <w:szCs w:val="20"/>
        </w:rPr>
        <w:t>. Unpublished. www.ling-ethnog.org.uk</w:t>
      </w:r>
    </w:p>
    <w:p w14:paraId="3BBDEA55" w14:textId="77777777" w:rsidR="003655D1" w:rsidRPr="003655D1" w:rsidRDefault="003655D1" w:rsidP="000558D7">
      <w:pPr>
        <w:widowControl w:val="0"/>
        <w:autoSpaceDE w:val="0"/>
        <w:autoSpaceDN w:val="0"/>
        <w:adjustRightInd w:val="0"/>
        <w:ind w:left="284" w:hanging="284"/>
        <w:rPr>
          <w:sz w:val="20"/>
          <w:szCs w:val="20"/>
          <w:lang w:eastAsia="hi-IN" w:bidi="hi-IN"/>
        </w:rPr>
      </w:pPr>
      <w:r w:rsidRPr="003655D1">
        <w:rPr>
          <w:sz w:val="20"/>
          <w:szCs w:val="20"/>
          <w:lang w:val="en-US" w:eastAsia="en-US"/>
        </w:rPr>
        <w:t xml:space="preserve">Silverstein, M. (1993) Metapragmatic discourse and metapragmatic function. In Lucy, J. (ed.) </w:t>
      </w:r>
      <w:r w:rsidRPr="003655D1">
        <w:rPr>
          <w:i/>
          <w:sz w:val="20"/>
          <w:szCs w:val="20"/>
          <w:lang w:val="en-US" w:eastAsia="en-US"/>
        </w:rPr>
        <w:t>Reflexive Language</w:t>
      </w:r>
      <w:r w:rsidRPr="003655D1">
        <w:rPr>
          <w:sz w:val="20"/>
          <w:szCs w:val="20"/>
          <w:lang w:val="en-US" w:eastAsia="en-US"/>
        </w:rPr>
        <w:t>. New York, Cambridge University Press.</w:t>
      </w:r>
    </w:p>
    <w:p w14:paraId="7FD38B01" w14:textId="77777777" w:rsidR="00224122" w:rsidRPr="00EB2A66" w:rsidRDefault="00224122" w:rsidP="000558D7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ind w:left="284" w:hanging="284"/>
        <w:rPr>
          <w:sz w:val="20"/>
          <w:szCs w:val="20"/>
          <w:lang w:val="en-US"/>
        </w:rPr>
      </w:pPr>
      <w:r w:rsidRPr="00EB2A66">
        <w:rPr>
          <w:sz w:val="20"/>
          <w:szCs w:val="20"/>
        </w:rPr>
        <w:t xml:space="preserve">Silverstein, M. (2003), Indexical order and the dialectics of sociolinguistic life. </w:t>
      </w:r>
      <w:r w:rsidRPr="000558D7">
        <w:rPr>
          <w:i/>
          <w:sz w:val="20"/>
          <w:szCs w:val="20"/>
        </w:rPr>
        <w:t>Language and Communication</w:t>
      </w:r>
      <w:r w:rsidRPr="00EB2A66">
        <w:rPr>
          <w:i/>
          <w:sz w:val="20"/>
          <w:szCs w:val="20"/>
        </w:rPr>
        <w:t>.</w:t>
      </w:r>
      <w:r w:rsidRPr="00EB2A66">
        <w:rPr>
          <w:sz w:val="20"/>
          <w:szCs w:val="20"/>
        </w:rPr>
        <w:t xml:space="preserve"> 23. 193 – 229.</w:t>
      </w:r>
    </w:p>
    <w:p w14:paraId="7188942E" w14:textId="77777777" w:rsidR="00224122" w:rsidRPr="00EB2A66" w:rsidRDefault="00224122" w:rsidP="000558D7">
      <w:pPr>
        <w:ind w:left="284" w:hanging="284"/>
        <w:rPr>
          <w:sz w:val="20"/>
          <w:szCs w:val="20"/>
        </w:rPr>
      </w:pPr>
      <w:proofErr w:type="spellStart"/>
      <w:r w:rsidRPr="00EB2A66">
        <w:rPr>
          <w:sz w:val="20"/>
          <w:szCs w:val="20"/>
        </w:rPr>
        <w:t>Tusting</w:t>
      </w:r>
      <w:proofErr w:type="spellEnd"/>
      <w:r w:rsidRPr="00EB2A66">
        <w:rPr>
          <w:sz w:val="20"/>
          <w:szCs w:val="20"/>
        </w:rPr>
        <w:t xml:space="preserve">, Karin and Maybin, Janet (2007), Linguistic ethnography and interdisciplinarity: Opening the discussion. </w:t>
      </w:r>
      <w:r w:rsidRPr="000558D7">
        <w:rPr>
          <w:i/>
          <w:sz w:val="20"/>
          <w:szCs w:val="20"/>
        </w:rPr>
        <w:t xml:space="preserve">Journal of Sociolinguistics </w:t>
      </w:r>
      <w:r w:rsidRPr="00EB2A66">
        <w:rPr>
          <w:sz w:val="20"/>
          <w:szCs w:val="20"/>
        </w:rPr>
        <w:t>11/5, 575–583.</w:t>
      </w:r>
    </w:p>
    <w:p w14:paraId="1FA99B6E" w14:textId="77777777" w:rsidR="000558D7" w:rsidRDefault="00224122" w:rsidP="000558D7">
      <w:pPr>
        <w:ind w:left="284" w:hanging="284"/>
        <w:rPr>
          <w:sz w:val="20"/>
          <w:szCs w:val="20"/>
        </w:rPr>
      </w:pPr>
      <w:r w:rsidRPr="00EB2A66">
        <w:rPr>
          <w:sz w:val="20"/>
          <w:szCs w:val="20"/>
        </w:rPr>
        <w:t xml:space="preserve">Wortham, S. (2003), Linguistic anthropology of education: An introduction. In Stanton Wortham and Betsy Rymes (eds) </w:t>
      </w:r>
      <w:r w:rsidRPr="000558D7">
        <w:rPr>
          <w:i/>
          <w:sz w:val="20"/>
          <w:szCs w:val="20"/>
        </w:rPr>
        <w:t xml:space="preserve">Linguistic Anthropology of </w:t>
      </w:r>
      <w:proofErr w:type="gramStart"/>
      <w:r w:rsidRPr="000558D7">
        <w:rPr>
          <w:i/>
          <w:sz w:val="20"/>
          <w:szCs w:val="20"/>
        </w:rPr>
        <w:t>Education</w:t>
      </w:r>
      <w:r w:rsidRPr="00EB2A66">
        <w:rPr>
          <w:sz w:val="20"/>
          <w:szCs w:val="20"/>
          <w:u w:val="single"/>
        </w:rPr>
        <w:t xml:space="preserve"> </w:t>
      </w:r>
      <w:r w:rsidRPr="00EB2A66">
        <w:rPr>
          <w:sz w:val="20"/>
          <w:szCs w:val="20"/>
        </w:rPr>
        <w:t xml:space="preserve"> CT</w:t>
      </w:r>
      <w:proofErr w:type="gramEnd"/>
      <w:r w:rsidRPr="00EB2A66">
        <w:rPr>
          <w:sz w:val="20"/>
          <w:szCs w:val="20"/>
        </w:rPr>
        <w:t>: Praeger Press. pp. 1-29.</w:t>
      </w:r>
      <w:bookmarkStart w:id="0" w:name="_ENREF_23"/>
    </w:p>
    <w:p w14:paraId="48BC8208" w14:textId="77777777" w:rsidR="00B836D3" w:rsidRPr="000558D7" w:rsidRDefault="00B836D3" w:rsidP="000558D7">
      <w:pPr>
        <w:ind w:left="284" w:hanging="284"/>
        <w:rPr>
          <w:sz w:val="20"/>
          <w:szCs w:val="20"/>
        </w:rPr>
      </w:pPr>
      <w:r w:rsidRPr="00EB2A66">
        <w:rPr>
          <w:sz w:val="20"/>
          <w:szCs w:val="20"/>
          <w:lang w:val="en-US"/>
        </w:rPr>
        <w:t>Wortham, S. (2012) Beyond macro and micro in the linguistic anthropology of education: An introduction to the special issue. Anthropology &amp; Education Quarterly.</w:t>
      </w:r>
      <w:r w:rsidRPr="00EB2A66">
        <w:rPr>
          <w:i/>
          <w:sz w:val="20"/>
          <w:szCs w:val="20"/>
          <w:lang w:val="en-US"/>
        </w:rPr>
        <w:t xml:space="preserve"> </w:t>
      </w:r>
      <w:r w:rsidRPr="00EB2A66">
        <w:rPr>
          <w:sz w:val="20"/>
          <w:szCs w:val="20"/>
          <w:lang w:val="en-US"/>
        </w:rPr>
        <w:t>43(2):128−137.</w:t>
      </w:r>
      <w:bookmarkEnd w:id="0"/>
    </w:p>
    <w:p w14:paraId="02D55A28" w14:textId="77777777" w:rsidR="00395DB3" w:rsidRPr="00EB2A66" w:rsidRDefault="00395DB3" w:rsidP="00EB2A66">
      <w:pPr>
        <w:ind w:hanging="284"/>
        <w:rPr>
          <w:sz w:val="20"/>
          <w:szCs w:val="20"/>
        </w:rPr>
      </w:pPr>
    </w:p>
    <w:sectPr w:rsidR="00395DB3" w:rsidRPr="00EB2A66" w:rsidSect="000558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22"/>
    <w:rsid w:val="000558D7"/>
    <w:rsid w:val="00200466"/>
    <w:rsid w:val="00224122"/>
    <w:rsid w:val="003655D1"/>
    <w:rsid w:val="00395DB3"/>
    <w:rsid w:val="00682B43"/>
    <w:rsid w:val="00AC4FC7"/>
    <w:rsid w:val="00B836D3"/>
    <w:rsid w:val="00B853DB"/>
    <w:rsid w:val="00EB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FB727"/>
  <w15:docId w15:val="{010C4D36-BD96-4011-B7A0-E510B409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53D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55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3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9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34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267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6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1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28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36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5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7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23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76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1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40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345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4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96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57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24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3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40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9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utledge.com/books/details/9780415492423/" TargetMode="External"/><Relationship Id="rId4" Type="http://schemas.openxmlformats.org/officeDocument/2006/relationships/hyperlink" Target="http://www.lancs.ac.uk/fss/organisations/lingethn/leicesteroverseasreflections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Creese</dc:creator>
  <cp:lastModifiedBy>Creese, Angela</cp:lastModifiedBy>
  <cp:revision>2</cp:revision>
  <dcterms:created xsi:type="dcterms:W3CDTF">2026-09-25T10:38:00Z</dcterms:created>
  <dcterms:modified xsi:type="dcterms:W3CDTF">2026-09-25T10:38:00Z</dcterms:modified>
</cp:coreProperties>
</file>