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DEC22E" w14:textId="70839868" w:rsidR="00851C02" w:rsidRPr="00D31FFA" w:rsidRDefault="00D31FFA" w:rsidP="00D31FFA">
      <w:pPr>
        <w:jc w:val="center"/>
        <w:rPr>
          <w:rFonts w:ascii="Palatino Linotype" w:hAnsi="Palatino Linotype"/>
          <w:sz w:val="24"/>
          <w:szCs w:val="24"/>
          <w:lang w:val="en-GB"/>
        </w:rPr>
      </w:pPr>
      <w:r w:rsidRPr="00D31FFA">
        <w:rPr>
          <w:rFonts w:ascii="Palatino Linotype" w:hAnsi="Palatino Linotype"/>
          <w:sz w:val="24"/>
          <w:szCs w:val="24"/>
          <w:lang w:val="en-GB"/>
        </w:rPr>
        <w:t xml:space="preserve">WHEN NATION BUILDING GOES BADLY: DRAFT EVASION, </w:t>
      </w:r>
      <w:r w:rsidRPr="00D31FFA">
        <w:rPr>
          <w:rFonts w:ascii="Palatino Linotype" w:hAnsi="Palatino Linotype"/>
          <w:sz w:val="24"/>
          <w:szCs w:val="24"/>
          <w:lang w:val="en-GB"/>
        </w:rPr>
        <w:br/>
        <w:t>GOVERNMENT REPRESSION, AND THE ORIGINS OF THE SICILIAN MAFIA</w:t>
      </w:r>
    </w:p>
    <w:p w14:paraId="18B2C53C" w14:textId="603B28FF" w:rsidR="00D31FFA" w:rsidRDefault="00D31FFA" w:rsidP="00D31FFA">
      <w:pPr>
        <w:spacing w:after="0"/>
        <w:jc w:val="center"/>
        <w:rPr>
          <w:rFonts w:ascii="Palatino Linotype" w:hAnsi="Palatino Linotype"/>
          <w:lang w:val="en-GB"/>
        </w:rPr>
      </w:pPr>
      <w:r>
        <w:rPr>
          <w:rFonts w:ascii="Palatino Linotype" w:hAnsi="Palatino Linotype"/>
          <w:lang w:val="en-GB"/>
        </w:rPr>
        <w:t>Gianni Marciante</w:t>
      </w:r>
    </w:p>
    <w:p w14:paraId="58A0AFED" w14:textId="386EC62C" w:rsidR="00D31FFA" w:rsidRDefault="00D31FFA" w:rsidP="00D31FFA">
      <w:pPr>
        <w:jc w:val="center"/>
        <w:rPr>
          <w:rFonts w:ascii="Palatino Linotype" w:hAnsi="Palatino Linotype"/>
          <w:lang w:val="en-GB"/>
        </w:rPr>
      </w:pPr>
      <w:r>
        <w:rPr>
          <w:rFonts w:ascii="Palatino Linotype" w:hAnsi="Palatino Linotype"/>
          <w:lang w:val="en-GB"/>
        </w:rPr>
        <w:t>University of Warwick</w:t>
      </w:r>
    </w:p>
    <w:p w14:paraId="0CB55483" w14:textId="77777777" w:rsidR="00C934E3" w:rsidRPr="00F553BC" w:rsidRDefault="00C934E3" w:rsidP="00D31FFA">
      <w:pPr>
        <w:jc w:val="center"/>
        <w:rPr>
          <w:rFonts w:ascii="Palatino Linotype" w:hAnsi="Palatino Linotype"/>
          <w:sz w:val="6"/>
          <w:szCs w:val="6"/>
          <w:lang w:val="en-GB"/>
        </w:rPr>
      </w:pPr>
    </w:p>
    <w:p w14:paraId="2632BB90" w14:textId="0EFD5AC6" w:rsidR="00D31FFA" w:rsidRDefault="00C934E3" w:rsidP="00C934E3">
      <w:pPr>
        <w:jc w:val="center"/>
        <w:rPr>
          <w:rFonts w:ascii="Palatino Linotype" w:hAnsi="Palatino Linotype"/>
          <w:lang w:val="en-GB"/>
        </w:rPr>
      </w:pPr>
      <w:r w:rsidRPr="00C934E3">
        <w:rPr>
          <w:rFonts w:ascii="Palatino Linotype" w:hAnsi="Palatino Linotype"/>
          <w:lang w:val="en-GB"/>
        </w:rPr>
        <w:t>DISCLAIMER: DRAFT PREPARED FOR THE ESRC MGS CONFERENCE 2021.</w:t>
      </w:r>
    </w:p>
    <w:p w14:paraId="28900724" w14:textId="77777777" w:rsidR="00C934E3" w:rsidRPr="00C934E3" w:rsidRDefault="00C934E3" w:rsidP="00C934E3">
      <w:pPr>
        <w:jc w:val="center"/>
        <w:rPr>
          <w:rFonts w:ascii="Palatino Linotype" w:hAnsi="Palatino Linotype"/>
          <w:lang w:val="en-GB"/>
        </w:rPr>
      </w:pPr>
    </w:p>
    <w:p w14:paraId="2695200E" w14:textId="078B3E63" w:rsidR="003208E4" w:rsidRPr="003208E4" w:rsidRDefault="003208E4" w:rsidP="003208E4">
      <w:pPr>
        <w:pStyle w:val="Heading1"/>
        <w:spacing w:after="240"/>
        <w:rPr>
          <w:rFonts w:ascii="Palatino Linotype" w:hAnsi="Palatino Linotype"/>
          <w:b/>
          <w:bCs/>
          <w:color w:val="auto"/>
          <w:sz w:val="28"/>
          <w:szCs w:val="28"/>
          <w:lang w:val="en-GB"/>
        </w:rPr>
      </w:pPr>
      <w:r>
        <w:rPr>
          <w:rFonts w:ascii="Palatino Linotype" w:hAnsi="Palatino Linotype"/>
          <w:b/>
          <w:bCs/>
          <w:color w:val="auto"/>
          <w:sz w:val="28"/>
          <w:szCs w:val="28"/>
          <w:lang w:val="en-GB"/>
        </w:rPr>
        <w:t>Executive Summary</w:t>
      </w:r>
    </w:p>
    <w:p w14:paraId="12620D35" w14:textId="084E7F8B" w:rsidR="003C4AD1" w:rsidRPr="003208E4" w:rsidRDefault="003C4AD1" w:rsidP="003C4AD1">
      <w:pPr>
        <w:autoSpaceDE w:val="0"/>
        <w:autoSpaceDN w:val="0"/>
        <w:adjustRightInd w:val="0"/>
        <w:spacing w:after="0" w:line="276" w:lineRule="auto"/>
        <w:ind w:firstLine="284"/>
        <w:jc w:val="both"/>
        <w:rPr>
          <w:rFonts w:ascii="Palatino Linotype" w:hAnsi="Palatino Linotype" w:cs="CMR10"/>
          <w:lang w:val="en-GB"/>
        </w:rPr>
      </w:pPr>
      <w:r w:rsidRPr="003208E4">
        <w:rPr>
          <w:rFonts w:ascii="Palatino Linotype" w:hAnsi="Palatino Linotype" w:cs="CMR10"/>
          <w:lang w:val="en-GB"/>
        </w:rPr>
        <w:t xml:space="preserve">In 1865, in the middle of the tumultuous Italian unification process, a word of Arabic roots reached the ears of the Italian rulers for the first time ever: </w:t>
      </w:r>
      <w:r w:rsidRPr="003208E4">
        <w:rPr>
          <w:rFonts w:ascii="Palatino Linotype" w:hAnsi="Palatino Linotype" w:cs="CMR10"/>
          <w:i/>
          <w:iCs/>
          <w:lang w:val="en-GB"/>
        </w:rPr>
        <w:t>maffia</w:t>
      </w:r>
      <w:r w:rsidRPr="003208E4">
        <w:rPr>
          <w:rFonts w:ascii="Palatino Linotype" w:hAnsi="Palatino Linotype" w:cs="CMR10"/>
          <w:lang w:val="en-GB"/>
        </w:rPr>
        <w:t xml:space="preserve">. The (misspelled) name of one of the most infamous crime syndicates in history appeared in a secret report written by the prefect of Palermo, Filippo Gualterio, to inform the Italian Minister of the Interior of the alarming presence of a criminal association siding with whoever was opposing the </w:t>
      </w:r>
      <w:r w:rsidR="003208E4" w:rsidRPr="003208E4">
        <w:rPr>
          <w:rFonts w:ascii="Palatino Linotype" w:hAnsi="Palatino Linotype" w:cs="CMR10"/>
          <w:lang w:val="en-GB"/>
        </w:rPr>
        <w:t>recently formed</w:t>
      </w:r>
      <w:r w:rsidRPr="003208E4">
        <w:rPr>
          <w:rFonts w:ascii="Palatino Linotype" w:hAnsi="Palatino Linotype" w:cs="CMR10"/>
          <w:lang w:val="en-GB"/>
        </w:rPr>
        <w:t xml:space="preserve"> government back then (Riall, 1998; Dickie, 2004). In this work I argue that Gualterio's letter represented a clear signal about a phenomenon of paramount importance characterising Sicily in that period: the emergence of the Sicilian mafia. In addition, I empirically motivate the early rise of the mafia in Sicily with the mafia's ability to gain the approval of large sections of the Sicilian population being strongly dissatisfied with the new</w:t>
      </w:r>
      <w:r w:rsidR="003208E4">
        <w:rPr>
          <w:rFonts w:ascii="Palatino Linotype" w:hAnsi="Palatino Linotype" w:cs="CMR10"/>
          <w:lang w:val="en-GB"/>
        </w:rPr>
        <w:t xml:space="preserve">ly </w:t>
      </w:r>
      <w:r w:rsidRPr="003208E4">
        <w:rPr>
          <w:rFonts w:ascii="Palatino Linotype" w:hAnsi="Palatino Linotype" w:cs="CMR10"/>
          <w:lang w:val="en-GB"/>
        </w:rPr>
        <w:t>born central government.</w:t>
      </w:r>
    </w:p>
    <w:p w14:paraId="751A05FE" w14:textId="5C73B902" w:rsidR="003C4AD1" w:rsidRPr="003208E4" w:rsidRDefault="003C4AD1" w:rsidP="003C4AD1">
      <w:pPr>
        <w:autoSpaceDE w:val="0"/>
        <w:autoSpaceDN w:val="0"/>
        <w:adjustRightInd w:val="0"/>
        <w:spacing w:after="0" w:line="276" w:lineRule="auto"/>
        <w:ind w:firstLine="284"/>
        <w:jc w:val="both"/>
        <w:rPr>
          <w:rFonts w:ascii="Palatino Linotype" w:hAnsi="Palatino Linotype" w:cs="CMR10"/>
          <w:lang w:val="en-GB"/>
        </w:rPr>
      </w:pPr>
      <w:r w:rsidRPr="003208E4">
        <w:rPr>
          <w:rFonts w:ascii="Palatino Linotype" w:hAnsi="Palatino Linotype" w:cs="CMR10"/>
          <w:lang w:val="en-GB"/>
        </w:rPr>
        <w:t xml:space="preserve">The widespread discontent with the political authorities became evident in Sicily just a few years before Gualterio's report. With the Italian rulers already striving to hold the country together, a key episode deeply compromised the trust in government among the Sicilian population: a repressive military campaign ordered by the central government in 1863 to curb massive draft evasion, soon after the introduction of military conscription in Sicily (deemed as a promising </w:t>
      </w:r>
      <w:r w:rsidRPr="00F152A8">
        <w:rPr>
          <w:rFonts w:ascii="Palatino Linotype" w:hAnsi="Palatino Linotype" w:cs="CMR10"/>
          <w:i/>
          <w:iCs/>
          <w:lang w:val="en-GB"/>
        </w:rPr>
        <w:t>nation builder</w:t>
      </w:r>
      <w:r w:rsidRPr="003208E4">
        <w:rPr>
          <w:rFonts w:ascii="Palatino Linotype" w:hAnsi="Palatino Linotype" w:cs="CMR10"/>
          <w:lang w:val="en-GB"/>
        </w:rPr>
        <w:t xml:space="preserve"> by the government). This campaign left significant residues of resentment toward the central government in the Sicilian population and, in turn, helped the mafia gain a broad social consensus. Using a novel </w:t>
      </w:r>
      <w:r w:rsidR="00882AD6">
        <w:rPr>
          <w:rFonts w:ascii="Palatino Linotype" w:hAnsi="Palatino Linotype" w:cs="CMR10"/>
          <w:lang w:val="en-GB"/>
        </w:rPr>
        <w:t xml:space="preserve">and unique </w:t>
      </w:r>
      <w:r w:rsidRPr="003208E4">
        <w:rPr>
          <w:rFonts w:ascii="Palatino Linotype" w:hAnsi="Palatino Linotype" w:cs="CMR10"/>
          <w:lang w:val="en-GB"/>
        </w:rPr>
        <w:t>dataset containing municipality-level data on repression episodes, I exploit spatial heterogeneity in exposure to military repression in 1863 to show that the Sicilian mafia developed more in municipalities in which the local resentment against the central government was deeper.</w:t>
      </w:r>
    </w:p>
    <w:p w14:paraId="44E129B7" w14:textId="40BB81BB" w:rsidR="003C4AD1" w:rsidRPr="003208E4" w:rsidRDefault="003C4AD1" w:rsidP="003C4AD1">
      <w:pPr>
        <w:autoSpaceDE w:val="0"/>
        <w:autoSpaceDN w:val="0"/>
        <w:adjustRightInd w:val="0"/>
        <w:spacing w:after="0" w:line="276" w:lineRule="auto"/>
        <w:ind w:firstLine="284"/>
        <w:jc w:val="both"/>
        <w:rPr>
          <w:rFonts w:ascii="Palatino Linotype" w:hAnsi="Palatino Linotype" w:cs="CMR10"/>
          <w:lang w:val="en-GB"/>
        </w:rPr>
      </w:pPr>
      <w:r w:rsidRPr="003208E4">
        <w:rPr>
          <w:rFonts w:ascii="Palatino Linotype" w:hAnsi="Palatino Linotype" w:cs="CMR10"/>
          <w:lang w:val="en-GB"/>
        </w:rPr>
        <w:t xml:space="preserve">While speaking to several strands of literature (not fully reviewed here for the sake of brevity), this paper primarily relates to the research on the origins of organised crime, with a special focus on the Sicilian mafia's case. A number of studies have highlighted specific features of nineteenth-century Sicily that may have helped the Sicilian mafia emerge, such as the high land fragmentation (Bandiera, 2003), the profitability of citrus production (Dimico </w:t>
      </w:r>
      <w:r w:rsidRPr="00C934E3">
        <w:rPr>
          <w:rFonts w:ascii="Palatino Linotype" w:hAnsi="Palatino Linotype" w:cs="CMR10"/>
          <w:i/>
          <w:iCs/>
          <w:lang w:val="en-GB"/>
        </w:rPr>
        <w:t>et al.</w:t>
      </w:r>
      <w:r w:rsidRPr="003208E4">
        <w:rPr>
          <w:rFonts w:ascii="Palatino Linotype" w:hAnsi="Palatino Linotype" w:cs="CMR10"/>
          <w:lang w:val="en-GB"/>
        </w:rPr>
        <w:t xml:space="preserve">, 2017) and sulphur extraction (Buonanno </w:t>
      </w:r>
      <w:r w:rsidRPr="00C934E3">
        <w:rPr>
          <w:rFonts w:ascii="Palatino Linotype" w:hAnsi="Palatino Linotype" w:cs="CMR10"/>
          <w:i/>
          <w:iCs/>
          <w:lang w:val="en-GB"/>
        </w:rPr>
        <w:t>et al.</w:t>
      </w:r>
      <w:r w:rsidRPr="003208E4">
        <w:rPr>
          <w:rFonts w:ascii="Palatino Linotype" w:hAnsi="Palatino Linotype" w:cs="CMR10"/>
          <w:lang w:val="en-GB"/>
        </w:rPr>
        <w:t xml:space="preserve">, 2015), or the extremely harsh working conditions of the island's peasants and their </w:t>
      </w:r>
      <w:r w:rsidR="00F10418">
        <w:rPr>
          <w:rFonts w:ascii="Palatino Linotype" w:hAnsi="Palatino Linotype" w:cs="CMR10"/>
          <w:lang w:val="en-GB"/>
        </w:rPr>
        <w:t xml:space="preserve">consequent </w:t>
      </w:r>
      <w:r w:rsidRPr="003208E4">
        <w:rPr>
          <w:rFonts w:ascii="Palatino Linotype" w:hAnsi="Palatino Linotype" w:cs="CMR10"/>
          <w:lang w:val="en-GB"/>
        </w:rPr>
        <w:t xml:space="preserve">revolts (Acemoglu </w:t>
      </w:r>
      <w:r w:rsidRPr="00C934E3">
        <w:rPr>
          <w:rFonts w:ascii="Palatino Linotype" w:hAnsi="Palatino Linotype" w:cs="CMR10"/>
          <w:i/>
          <w:iCs/>
          <w:lang w:val="en-GB"/>
        </w:rPr>
        <w:t>et al.</w:t>
      </w:r>
      <w:r w:rsidRPr="003208E4">
        <w:rPr>
          <w:rFonts w:ascii="Palatino Linotype" w:hAnsi="Palatino Linotype" w:cs="CMR10"/>
          <w:lang w:val="en-GB"/>
        </w:rPr>
        <w:t xml:space="preserve">, 2020). All these factors, they claim, generated a demand for private protection that was promptly met by the mafia, given the weak institutional context in place in Sicily at that time. However, none of these papers looks at the active role played by the Italian government in </w:t>
      </w:r>
      <w:r w:rsidR="00777599">
        <w:rPr>
          <w:rFonts w:ascii="Palatino Linotype" w:hAnsi="Palatino Linotype" w:cs="CMR10"/>
          <w:lang w:val="en-GB"/>
        </w:rPr>
        <w:t xml:space="preserve">(unintentionally) </w:t>
      </w:r>
      <w:r w:rsidR="003208E4" w:rsidRPr="003208E4">
        <w:rPr>
          <w:rFonts w:ascii="Palatino Linotype" w:hAnsi="Palatino Linotype" w:cs="CMR10"/>
          <w:lang w:val="en-GB"/>
        </w:rPr>
        <w:t>favouring</w:t>
      </w:r>
      <w:r w:rsidRPr="003208E4">
        <w:rPr>
          <w:rFonts w:ascii="Palatino Linotype" w:hAnsi="Palatino Linotype" w:cs="CMR10"/>
          <w:lang w:val="en-GB"/>
        </w:rPr>
        <w:t xml:space="preserve"> the early development of the Sicilian mafia</w:t>
      </w:r>
      <w:r w:rsidR="00F152A8">
        <w:rPr>
          <w:rFonts w:ascii="Palatino Linotype" w:hAnsi="Palatino Linotype" w:cs="CMR10"/>
          <w:lang w:val="en-GB"/>
        </w:rPr>
        <w:t>,</w:t>
      </w:r>
      <w:r w:rsidRPr="003208E4">
        <w:rPr>
          <w:rFonts w:ascii="Palatino Linotype" w:hAnsi="Palatino Linotype" w:cs="CMR10"/>
          <w:lang w:val="en-GB"/>
        </w:rPr>
        <w:t xml:space="preserve"> at a critical juncture in the Italian history, i.e. Italy's unification. To the best of my knowledge, this is the first </w:t>
      </w:r>
      <w:r w:rsidRPr="003208E4">
        <w:rPr>
          <w:rFonts w:ascii="Palatino Linotype" w:hAnsi="Palatino Linotype" w:cs="CMR10"/>
          <w:lang w:val="en-GB"/>
        </w:rPr>
        <w:lastRenderedPageBreak/>
        <w:t xml:space="preserve">paper to document that the Sicilian mafia initially rose as a result of lack of state legitimacy, owing to a </w:t>
      </w:r>
      <w:r w:rsidRPr="003208E4">
        <w:rPr>
          <w:rFonts w:ascii="Palatino Linotype" w:hAnsi="Palatino Linotype" w:cs="CMR10"/>
          <w:i/>
          <w:iCs/>
          <w:lang w:val="en-GB"/>
        </w:rPr>
        <w:t>nation building</w:t>
      </w:r>
      <w:r w:rsidRPr="003208E4">
        <w:rPr>
          <w:rFonts w:ascii="Palatino Linotype" w:hAnsi="Palatino Linotype" w:cs="CMR10"/>
          <w:lang w:val="en-GB"/>
        </w:rPr>
        <w:t xml:space="preserve"> policy – military conscription – `turning bad’ during a crucial process of institutional change.</w:t>
      </w:r>
    </w:p>
    <w:p w14:paraId="3E64463A" w14:textId="6F541646" w:rsidR="003C4AD1" w:rsidRPr="003208E4" w:rsidRDefault="003C4AD1" w:rsidP="003C4AD1">
      <w:pPr>
        <w:autoSpaceDE w:val="0"/>
        <w:autoSpaceDN w:val="0"/>
        <w:adjustRightInd w:val="0"/>
        <w:spacing w:after="0" w:line="276" w:lineRule="auto"/>
        <w:ind w:firstLine="284"/>
        <w:jc w:val="both"/>
        <w:rPr>
          <w:rFonts w:ascii="Palatino Linotype" w:hAnsi="Palatino Linotype"/>
          <w:lang w:val="en-GB"/>
        </w:rPr>
      </w:pPr>
      <w:r w:rsidRPr="003208E4">
        <w:rPr>
          <w:rFonts w:ascii="Palatino Linotype" w:hAnsi="Palatino Linotype"/>
          <w:lang w:val="en-GB"/>
        </w:rPr>
        <w:t>The</w:t>
      </w:r>
      <w:r w:rsidRPr="003C4AD1">
        <w:rPr>
          <w:rFonts w:ascii="Palatino Linotype" w:hAnsi="Palatino Linotype"/>
          <w:lang w:val="en-GB"/>
        </w:rPr>
        <w:t xml:space="preserve"> baseline </w:t>
      </w:r>
      <w:r w:rsidRPr="003208E4">
        <w:rPr>
          <w:rFonts w:ascii="Palatino Linotype" w:hAnsi="Palatino Linotype"/>
          <w:lang w:val="en-GB"/>
        </w:rPr>
        <w:t>fi</w:t>
      </w:r>
      <w:r w:rsidRPr="003C4AD1">
        <w:rPr>
          <w:rFonts w:ascii="Palatino Linotype" w:hAnsi="Palatino Linotype"/>
          <w:lang w:val="en-GB"/>
        </w:rPr>
        <w:t xml:space="preserve">ndings </w:t>
      </w:r>
      <w:r w:rsidRPr="003208E4">
        <w:rPr>
          <w:rFonts w:ascii="Palatino Linotype" w:hAnsi="Palatino Linotype"/>
          <w:lang w:val="en-GB"/>
        </w:rPr>
        <w:t xml:space="preserve">of this </w:t>
      </w:r>
      <w:r w:rsidR="00420B62" w:rsidRPr="003208E4">
        <w:rPr>
          <w:rFonts w:ascii="Palatino Linotype" w:hAnsi="Palatino Linotype"/>
          <w:lang w:val="en-GB"/>
        </w:rPr>
        <w:t>study</w:t>
      </w:r>
      <w:r w:rsidRPr="003208E4">
        <w:rPr>
          <w:rFonts w:ascii="Palatino Linotype" w:hAnsi="Palatino Linotype"/>
          <w:lang w:val="en-GB"/>
        </w:rPr>
        <w:t xml:space="preserve"> </w:t>
      </w:r>
      <w:r w:rsidRPr="003C4AD1">
        <w:rPr>
          <w:rFonts w:ascii="Palatino Linotype" w:hAnsi="Palatino Linotype"/>
          <w:lang w:val="en-GB"/>
        </w:rPr>
        <w:t>suggest the existence of a positive and statistically signi</w:t>
      </w:r>
      <w:r w:rsidRPr="003208E4">
        <w:rPr>
          <w:rFonts w:ascii="Palatino Linotype" w:hAnsi="Palatino Linotype"/>
          <w:lang w:val="en-GB"/>
        </w:rPr>
        <w:t>fi</w:t>
      </w:r>
      <w:r w:rsidRPr="003C4AD1">
        <w:rPr>
          <w:rFonts w:ascii="Palatino Linotype" w:hAnsi="Palatino Linotype"/>
          <w:lang w:val="en-GB"/>
        </w:rPr>
        <w:t>cant</w:t>
      </w:r>
      <w:r w:rsidRPr="003208E4">
        <w:rPr>
          <w:rFonts w:ascii="Palatino Linotype" w:hAnsi="Palatino Linotype"/>
          <w:lang w:val="en-GB"/>
        </w:rPr>
        <w:t xml:space="preserve"> </w:t>
      </w:r>
      <w:r w:rsidRPr="003C4AD1">
        <w:rPr>
          <w:rFonts w:ascii="Palatino Linotype" w:hAnsi="Palatino Linotype"/>
          <w:lang w:val="en-GB"/>
        </w:rPr>
        <w:t xml:space="preserve">relationship between </w:t>
      </w:r>
      <w:r w:rsidRPr="003208E4">
        <w:rPr>
          <w:rFonts w:ascii="Palatino Linotype" w:hAnsi="Palatino Linotype"/>
          <w:lang w:val="en-GB"/>
        </w:rPr>
        <w:t>government repression and mafia presence across the island</w:t>
      </w:r>
      <w:r w:rsidRPr="003C4AD1">
        <w:rPr>
          <w:rFonts w:ascii="Palatino Linotype" w:hAnsi="Palatino Linotype"/>
          <w:lang w:val="en-GB"/>
        </w:rPr>
        <w:t>, which is robust to the inclusion of a rich set of control</w:t>
      </w:r>
      <w:r w:rsidRPr="003208E4">
        <w:rPr>
          <w:rFonts w:ascii="Palatino Linotype" w:hAnsi="Palatino Linotype"/>
          <w:lang w:val="en-GB"/>
        </w:rPr>
        <w:t xml:space="preserve"> </w:t>
      </w:r>
      <w:r w:rsidRPr="003C4AD1">
        <w:rPr>
          <w:rFonts w:ascii="Palatino Linotype" w:hAnsi="Palatino Linotype"/>
          <w:lang w:val="en-GB"/>
        </w:rPr>
        <w:t>variables and to di</w:t>
      </w:r>
      <w:r w:rsidRPr="003208E4">
        <w:rPr>
          <w:rFonts w:ascii="Palatino Linotype" w:hAnsi="Palatino Linotype"/>
          <w:lang w:val="en-GB"/>
        </w:rPr>
        <w:t>ff</w:t>
      </w:r>
      <w:r w:rsidRPr="003C4AD1">
        <w:rPr>
          <w:rFonts w:ascii="Palatino Linotype" w:hAnsi="Palatino Linotype"/>
          <w:lang w:val="en-GB"/>
        </w:rPr>
        <w:t>erent estimation techniques</w:t>
      </w:r>
      <w:r w:rsidR="00416B16">
        <w:rPr>
          <w:rStyle w:val="FootnoteReference"/>
          <w:rFonts w:ascii="Palatino Linotype" w:hAnsi="Palatino Linotype"/>
          <w:lang w:val="en-GB"/>
        </w:rPr>
        <w:footnoteReference w:id="1"/>
      </w:r>
      <w:r w:rsidRPr="003C4AD1">
        <w:rPr>
          <w:rFonts w:ascii="Palatino Linotype" w:hAnsi="Palatino Linotype"/>
          <w:lang w:val="en-GB"/>
        </w:rPr>
        <w:t>. In a preliminary mechanism analysis, I</w:t>
      </w:r>
      <w:r w:rsidRPr="003208E4">
        <w:rPr>
          <w:rFonts w:ascii="Palatino Linotype" w:hAnsi="Palatino Linotype"/>
          <w:lang w:val="en-GB"/>
        </w:rPr>
        <w:t xml:space="preserve"> </w:t>
      </w:r>
      <w:r w:rsidRPr="003C4AD1">
        <w:rPr>
          <w:rFonts w:ascii="Palatino Linotype" w:hAnsi="Palatino Linotype"/>
          <w:lang w:val="en-GB"/>
        </w:rPr>
        <w:t xml:space="preserve">also </w:t>
      </w:r>
      <w:r w:rsidRPr="003208E4">
        <w:rPr>
          <w:rFonts w:ascii="Palatino Linotype" w:hAnsi="Palatino Linotype"/>
          <w:lang w:val="en-GB"/>
        </w:rPr>
        <w:t>fi</w:t>
      </w:r>
      <w:r w:rsidRPr="003C4AD1">
        <w:rPr>
          <w:rFonts w:ascii="Palatino Linotype" w:hAnsi="Palatino Linotype"/>
          <w:lang w:val="en-GB"/>
        </w:rPr>
        <w:t>nd that repression-hit towns experienced on average a lower trust in institutions in the</w:t>
      </w:r>
      <w:r w:rsidRPr="003208E4">
        <w:rPr>
          <w:rFonts w:ascii="Palatino Linotype" w:hAnsi="Palatino Linotype"/>
          <w:lang w:val="en-GB"/>
        </w:rPr>
        <w:t xml:space="preserve"> </w:t>
      </w:r>
      <w:r w:rsidRPr="003C4AD1">
        <w:rPr>
          <w:rFonts w:ascii="Palatino Linotype" w:hAnsi="Palatino Linotype"/>
          <w:lang w:val="en-GB"/>
        </w:rPr>
        <w:t>short term, as measured by electoral turnout in 1867, compared to non-repressed towns.</w:t>
      </w:r>
      <w:r w:rsidRPr="003208E4">
        <w:rPr>
          <w:rFonts w:ascii="Palatino Linotype" w:hAnsi="Palatino Linotype"/>
          <w:lang w:val="en-GB"/>
        </w:rPr>
        <w:t xml:space="preserve"> </w:t>
      </w:r>
      <w:r w:rsidRPr="003C4AD1">
        <w:rPr>
          <w:rFonts w:ascii="Palatino Linotype" w:hAnsi="Palatino Linotype"/>
          <w:lang w:val="en-GB"/>
        </w:rPr>
        <w:t>The total evidence gathered so far is indicative of the possibility that municipalities</w:t>
      </w:r>
      <w:r w:rsidRPr="003208E4">
        <w:rPr>
          <w:rFonts w:ascii="Palatino Linotype" w:hAnsi="Palatino Linotype"/>
          <w:lang w:val="en-GB"/>
        </w:rPr>
        <w:t xml:space="preserve"> </w:t>
      </w:r>
      <w:r w:rsidRPr="003C4AD1">
        <w:rPr>
          <w:rFonts w:ascii="Palatino Linotype" w:hAnsi="Palatino Linotype"/>
          <w:lang w:val="en-GB"/>
        </w:rPr>
        <w:t>characterised by a stronger resentment against the central government were more likely to</w:t>
      </w:r>
      <w:r w:rsidRPr="003208E4">
        <w:rPr>
          <w:rFonts w:ascii="Palatino Linotype" w:hAnsi="Palatino Linotype"/>
          <w:lang w:val="en-GB"/>
        </w:rPr>
        <w:t xml:space="preserve"> house the mafia in nineteenth-century Sicily.</w:t>
      </w:r>
      <w:r w:rsidR="00420B62" w:rsidRPr="003208E4">
        <w:rPr>
          <w:rFonts w:ascii="Palatino Linotype" w:hAnsi="Palatino Linotype"/>
          <w:lang w:val="en-GB"/>
        </w:rPr>
        <w:t xml:space="preserve"> </w:t>
      </w:r>
    </w:p>
    <w:p w14:paraId="6CC193DE" w14:textId="79E8ED99" w:rsidR="00420B62" w:rsidRDefault="004461C1" w:rsidP="00420B62">
      <w:pPr>
        <w:autoSpaceDE w:val="0"/>
        <w:autoSpaceDN w:val="0"/>
        <w:adjustRightInd w:val="0"/>
        <w:spacing w:after="0" w:line="276" w:lineRule="auto"/>
        <w:ind w:firstLine="284"/>
        <w:jc w:val="both"/>
        <w:rPr>
          <w:rFonts w:ascii="Palatino Linotype" w:hAnsi="Palatino Linotype"/>
          <w:lang w:val="en-GB"/>
        </w:rPr>
      </w:pPr>
      <w:r>
        <w:rPr>
          <w:rFonts w:ascii="Palatino Linotype" w:hAnsi="Palatino Linotype"/>
          <w:lang w:val="en-GB"/>
        </w:rPr>
        <w:t xml:space="preserve">That being said, </w:t>
      </w:r>
      <w:r w:rsidR="00420B62" w:rsidRPr="00420B62">
        <w:rPr>
          <w:rFonts w:ascii="Palatino Linotype" w:hAnsi="Palatino Linotype"/>
          <w:lang w:val="en-GB"/>
        </w:rPr>
        <w:t>it is not yet possible to empirically document a clearly identi</w:t>
      </w:r>
      <w:r w:rsidR="00420B62" w:rsidRPr="003208E4">
        <w:rPr>
          <w:rFonts w:ascii="Palatino Linotype" w:hAnsi="Palatino Linotype"/>
          <w:lang w:val="en-GB"/>
        </w:rPr>
        <w:t>fi</w:t>
      </w:r>
      <w:r w:rsidR="00420B62" w:rsidRPr="00420B62">
        <w:rPr>
          <w:rFonts w:ascii="Palatino Linotype" w:hAnsi="Palatino Linotype"/>
          <w:lang w:val="en-GB"/>
        </w:rPr>
        <w:t>able causal</w:t>
      </w:r>
      <w:r w:rsidR="00420B62" w:rsidRPr="003208E4">
        <w:rPr>
          <w:rFonts w:ascii="Palatino Linotype" w:hAnsi="Palatino Linotype"/>
          <w:lang w:val="en-GB"/>
        </w:rPr>
        <w:t xml:space="preserve"> </w:t>
      </w:r>
      <w:r w:rsidR="00420B62" w:rsidRPr="00420B62">
        <w:rPr>
          <w:rFonts w:ascii="Palatino Linotype" w:hAnsi="Palatino Linotype"/>
          <w:lang w:val="en-GB"/>
        </w:rPr>
        <w:t>e</w:t>
      </w:r>
      <w:r w:rsidR="00420B62" w:rsidRPr="003208E4">
        <w:rPr>
          <w:rFonts w:ascii="Palatino Linotype" w:hAnsi="Palatino Linotype"/>
          <w:lang w:val="en-GB"/>
        </w:rPr>
        <w:t>ff</w:t>
      </w:r>
      <w:r w:rsidR="00420B62" w:rsidRPr="00420B62">
        <w:rPr>
          <w:rFonts w:ascii="Palatino Linotype" w:hAnsi="Palatino Linotype"/>
          <w:lang w:val="en-GB"/>
        </w:rPr>
        <w:t>ect of the 1863 repression campaign on the emergence of the Sicilian ma</w:t>
      </w:r>
      <w:r w:rsidR="00420B62" w:rsidRPr="003208E4">
        <w:rPr>
          <w:rFonts w:ascii="Palatino Linotype" w:hAnsi="Palatino Linotype"/>
          <w:lang w:val="en-GB"/>
        </w:rPr>
        <w:t>fi</w:t>
      </w:r>
      <w:r w:rsidR="00420B62" w:rsidRPr="00420B62">
        <w:rPr>
          <w:rFonts w:ascii="Palatino Linotype" w:hAnsi="Palatino Linotype"/>
          <w:lang w:val="en-GB"/>
        </w:rPr>
        <w:t>a soon after.</w:t>
      </w:r>
      <w:r w:rsidR="00420B62" w:rsidRPr="003208E4">
        <w:rPr>
          <w:rFonts w:ascii="Palatino Linotype" w:hAnsi="Palatino Linotype"/>
          <w:lang w:val="en-GB"/>
        </w:rPr>
        <w:t xml:space="preserve"> </w:t>
      </w:r>
      <w:r w:rsidR="00420B62" w:rsidRPr="00420B62">
        <w:rPr>
          <w:rFonts w:ascii="Palatino Linotype" w:hAnsi="Palatino Linotype"/>
          <w:lang w:val="en-GB"/>
        </w:rPr>
        <w:t>Despite the accurate set of confounders included in the analysis</w:t>
      </w:r>
      <w:r w:rsidR="003208E4" w:rsidRPr="003208E4">
        <w:rPr>
          <w:rFonts w:ascii="Palatino Linotype" w:hAnsi="Palatino Linotype"/>
          <w:lang w:val="en-GB"/>
        </w:rPr>
        <w:t xml:space="preserve"> so far</w:t>
      </w:r>
      <w:r w:rsidR="00420B62" w:rsidRPr="00420B62">
        <w:rPr>
          <w:rFonts w:ascii="Palatino Linotype" w:hAnsi="Palatino Linotype"/>
          <w:lang w:val="en-GB"/>
        </w:rPr>
        <w:t>, the estimated</w:t>
      </w:r>
      <w:r w:rsidR="00420B62" w:rsidRPr="003208E4">
        <w:rPr>
          <w:rFonts w:ascii="Palatino Linotype" w:hAnsi="Palatino Linotype"/>
          <w:lang w:val="en-GB"/>
        </w:rPr>
        <w:t xml:space="preserve"> </w:t>
      </w:r>
      <w:r w:rsidR="00420B62" w:rsidRPr="00420B62">
        <w:rPr>
          <w:rFonts w:ascii="Palatino Linotype" w:hAnsi="Palatino Linotype"/>
          <w:lang w:val="en-GB"/>
        </w:rPr>
        <w:t>impact of government repression on ma</w:t>
      </w:r>
      <w:r w:rsidR="00420B62" w:rsidRPr="003208E4">
        <w:rPr>
          <w:rFonts w:ascii="Palatino Linotype" w:hAnsi="Palatino Linotype"/>
          <w:lang w:val="en-GB"/>
        </w:rPr>
        <w:t>fi</w:t>
      </w:r>
      <w:r w:rsidR="00420B62" w:rsidRPr="00420B62">
        <w:rPr>
          <w:rFonts w:ascii="Palatino Linotype" w:hAnsi="Palatino Linotype"/>
          <w:lang w:val="en-GB"/>
        </w:rPr>
        <w:t>a presence may still be subject to reverse causality</w:t>
      </w:r>
      <w:r w:rsidR="00420B62" w:rsidRPr="003208E4">
        <w:rPr>
          <w:rFonts w:ascii="Palatino Linotype" w:hAnsi="Palatino Linotype"/>
          <w:lang w:val="en-GB"/>
        </w:rPr>
        <w:t xml:space="preserve"> </w:t>
      </w:r>
      <w:r w:rsidR="00420B62" w:rsidRPr="00420B62">
        <w:rPr>
          <w:rFonts w:ascii="Palatino Linotype" w:hAnsi="Palatino Linotype"/>
          <w:lang w:val="en-GB"/>
        </w:rPr>
        <w:t>bias, as the itinerary of the army was probably not exogenous. The most likely hypothesis</w:t>
      </w:r>
      <w:r w:rsidR="00420B62" w:rsidRPr="003208E4">
        <w:rPr>
          <w:rFonts w:ascii="Palatino Linotype" w:hAnsi="Palatino Linotype"/>
          <w:lang w:val="en-GB"/>
        </w:rPr>
        <w:t xml:space="preserve"> </w:t>
      </w:r>
      <w:r w:rsidR="00420B62" w:rsidRPr="00420B62">
        <w:rPr>
          <w:rFonts w:ascii="Palatino Linotype" w:hAnsi="Palatino Linotype"/>
          <w:lang w:val="en-GB"/>
        </w:rPr>
        <w:t>is that the troops may have targeted towns particularly vulnerable to the ma</w:t>
      </w:r>
      <w:r w:rsidR="00420B62" w:rsidRPr="003208E4">
        <w:rPr>
          <w:rFonts w:ascii="Palatino Linotype" w:hAnsi="Palatino Linotype"/>
          <w:lang w:val="en-GB"/>
        </w:rPr>
        <w:t>fi</w:t>
      </w:r>
      <w:r w:rsidR="00420B62" w:rsidRPr="00420B62">
        <w:rPr>
          <w:rFonts w:ascii="Palatino Linotype" w:hAnsi="Palatino Linotype"/>
          <w:lang w:val="en-GB"/>
        </w:rPr>
        <w:t>a, where</w:t>
      </w:r>
      <w:r w:rsidR="00420B62" w:rsidRPr="003208E4">
        <w:rPr>
          <w:rFonts w:ascii="Palatino Linotype" w:hAnsi="Palatino Linotype"/>
          <w:lang w:val="en-GB"/>
        </w:rPr>
        <w:t xml:space="preserve"> </w:t>
      </w:r>
      <w:r w:rsidR="00420B62" w:rsidRPr="00420B62">
        <w:rPr>
          <w:rFonts w:ascii="Palatino Linotype" w:hAnsi="Palatino Linotype"/>
          <w:lang w:val="en-GB"/>
        </w:rPr>
        <w:t>ma</w:t>
      </w:r>
      <w:r w:rsidR="00420B62" w:rsidRPr="003208E4">
        <w:rPr>
          <w:rFonts w:ascii="Palatino Linotype" w:hAnsi="Palatino Linotype"/>
          <w:lang w:val="en-GB"/>
        </w:rPr>
        <w:t>fi</w:t>
      </w:r>
      <w:r w:rsidR="00420B62" w:rsidRPr="00420B62">
        <w:rPr>
          <w:rFonts w:ascii="Palatino Linotype" w:hAnsi="Palatino Linotype"/>
          <w:lang w:val="en-GB"/>
        </w:rPr>
        <w:t>osi had persuaded many youngsters to evade the draft and turn into bandits (Alongi,</w:t>
      </w:r>
      <w:r w:rsidR="00420B62" w:rsidRPr="003208E4">
        <w:rPr>
          <w:rFonts w:ascii="Palatino Linotype" w:hAnsi="Palatino Linotype"/>
          <w:lang w:val="en-GB"/>
        </w:rPr>
        <w:t xml:space="preserve"> </w:t>
      </w:r>
      <w:r w:rsidR="00420B62" w:rsidRPr="00420B62">
        <w:rPr>
          <w:rFonts w:ascii="Palatino Linotype" w:hAnsi="Palatino Linotype"/>
          <w:lang w:val="en-GB"/>
        </w:rPr>
        <w:t>1886, p. 29). This would lead to an upward bias in the coe</w:t>
      </w:r>
      <w:r w:rsidR="00420B62" w:rsidRPr="003208E4">
        <w:rPr>
          <w:rFonts w:ascii="Palatino Linotype" w:hAnsi="Palatino Linotype"/>
          <w:lang w:val="en-GB"/>
        </w:rPr>
        <w:t>ffi</w:t>
      </w:r>
      <w:r w:rsidR="00420B62" w:rsidRPr="00420B62">
        <w:rPr>
          <w:rFonts w:ascii="Palatino Linotype" w:hAnsi="Palatino Linotype"/>
          <w:lang w:val="en-GB"/>
        </w:rPr>
        <w:t xml:space="preserve">cient of interest </w:t>
      </w:r>
      <m:oMath>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1</m:t>
            </m:r>
          </m:sub>
        </m:sSub>
      </m:oMath>
      <w:r w:rsidR="00420B62" w:rsidRPr="003208E4">
        <w:rPr>
          <w:rFonts w:ascii="Palatino Linotype" w:eastAsiaTheme="minorEastAsia" w:hAnsi="Palatino Linotype"/>
          <w:lang w:val="en-GB"/>
        </w:rPr>
        <w:t xml:space="preserve"> included in the baseline linear probability model</w:t>
      </w:r>
      <w:r w:rsidR="00420B62" w:rsidRPr="00420B62">
        <w:rPr>
          <w:rFonts w:ascii="Palatino Linotype" w:hAnsi="Palatino Linotype"/>
          <w:lang w:val="en-GB"/>
        </w:rPr>
        <w:t xml:space="preserve">, which would be minimised by using an </w:t>
      </w:r>
      <w:r w:rsidR="00420B62" w:rsidRPr="003208E4">
        <w:rPr>
          <w:rFonts w:ascii="Palatino Linotype" w:hAnsi="Palatino Linotype"/>
          <w:lang w:val="en-GB"/>
        </w:rPr>
        <w:t>I</w:t>
      </w:r>
      <w:r w:rsidR="00420B62" w:rsidRPr="00420B62">
        <w:rPr>
          <w:rFonts w:ascii="Palatino Linotype" w:hAnsi="Palatino Linotype"/>
          <w:lang w:val="en-GB"/>
        </w:rPr>
        <w:t xml:space="preserve">nstrumental </w:t>
      </w:r>
      <w:r w:rsidR="00420B62" w:rsidRPr="003208E4">
        <w:rPr>
          <w:rFonts w:ascii="Palatino Linotype" w:hAnsi="Palatino Linotype"/>
          <w:lang w:val="en-GB"/>
        </w:rPr>
        <w:t>V</w:t>
      </w:r>
      <w:r w:rsidR="00420B62" w:rsidRPr="00420B62">
        <w:rPr>
          <w:rFonts w:ascii="Palatino Linotype" w:hAnsi="Palatino Linotype"/>
          <w:lang w:val="en-GB"/>
        </w:rPr>
        <w:t>ariable</w:t>
      </w:r>
      <w:r w:rsidR="00420B62" w:rsidRPr="003208E4">
        <w:rPr>
          <w:rFonts w:ascii="Palatino Linotype" w:hAnsi="Palatino Linotype"/>
          <w:lang w:val="en-GB"/>
        </w:rPr>
        <w:t xml:space="preserve"> (IV)</w:t>
      </w:r>
      <w:r w:rsidR="00420B62" w:rsidRPr="00420B62">
        <w:rPr>
          <w:rFonts w:ascii="Palatino Linotype" w:hAnsi="Palatino Linotype"/>
          <w:lang w:val="en-GB"/>
        </w:rPr>
        <w:t xml:space="preserve"> strategy (whose de</w:t>
      </w:r>
      <w:r w:rsidR="00420B62" w:rsidRPr="003208E4">
        <w:rPr>
          <w:rFonts w:ascii="Palatino Linotype" w:hAnsi="Palatino Linotype"/>
          <w:lang w:val="en-GB"/>
        </w:rPr>
        <w:t>fi</w:t>
      </w:r>
      <w:r w:rsidR="00420B62" w:rsidRPr="00420B62">
        <w:rPr>
          <w:rFonts w:ascii="Palatino Linotype" w:hAnsi="Palatino Linotype"/>
          <w:lang w:val="en-GB"/>
        </w:rPr>
        <w:t>nition</w:t>
      </w:r>
      <w:r w:rsidR="00420B62" w:rsidRPr="003208E4">
        <w:rPr>
          <w:rFonts w:ascii="Palatino Linotype" w:hAnsi="Palatino Linotype"/>
          <w:lang w:val="en-GB"/>
        </w:rPr>
        <w:t xml:space="preserve"> is currently under way).</w:t>
      </w:r>
    </w:p>
    <w:p w14:paraId="2561D3B3" w14:textId="6D1EBC75" w:rsidR="003208E4" w:rsidRDefault="003208E4" w:rsidP="00420B62">
      <w:pPr>
        <w:autoSpaceDE w:val="0"/>
        <w:autoSpaceDN w:val="0"/>
        <w:adjustRightInd w:val="0"/>
        <w:spacing w:after="0" w:line="276" w:lineRule="auto"/>
        <w:ind w:firstLine="284"/>
        <w:jc w:val="both"/>
        <w:rPr>
          <w:rFonts w:ascii="Palatino Linotype" w:hAnsi="Palatino Linotype"/>
          <w:lang w:val="en-GB"/>
        </w:rPr>
      </w:pPr>
    </w:p>
    <w:p w14:paraId="1C4678FE" w14:textId="15ED2C8A" w:rsidR="003208E4" w:rsidRPr="003208E4" w:rsidRDefault="003208E4" w:rsidP="003208E4">
      <w:pPr>
        <w:pStyle w:val="Heading1"/>
        <w:spacing w:after="240"/>
        <w:rPr>
          <w:rFonts w:ascii="Palatino Linotype" w:hAnsi="Palatino Linotype"/>
          <w:b/>
          <w:bCs/>
          <w:color w:val="auto"/>
          <w:sz w:val="28"/>
          <w:szCs w:val="28"/>
          <w:lang w:val="en-GB"/>
        </w:rPr>
      </w:pPr>
      <w:r w:rsidRPr="003208E4">
        <w:rPr>
          <w:rFonts w:ascii="Palatino Linotype" w:hAnsi="Palatino Linotype"/>
          <w:b/>
          <w:bCs/>
          <w:color w:val="auto"/>
          <w:sz w:val="28"/>
          <w:szCs w:val="28"/>
          <w:lang w:val="en-GB"/>
        </w:rPr>
        <w:t>Bibliography</w:t>
      </w:r>
    </w:p>
    <w:p w14:paraId="3598AACC" w14:textId="78A5A6BD" w:rsidR="003208E4" w:rsidRPr="003208E4" w:rsidRDefault="003208E4" w:rsidP="00D31FFA">
      <w:pPr>
        <w:autoSpaceDE w:val="0"/>
        <w:autoSpaceDN w:val="0"/>
        <w:adjustRightInd w:val="0"/>
        <w:spacing w:after="0" w:line="276" w:lineRule="auto"/>
        <w:ind w:left="284" w:hanging="284"/>
        <w:jc w:val="both"/>
        <w:rPr>
          <w:rFonts w:ascii="Palatino Linotype" w:hAnsi="Palatino Linotype"/>
          <w:lang w:val="it-IT"/>
        </w:rPr>
      </w:pPr>
      <w:r w:rsidRPr="003208E4">
        <w:rPr>
          <w:rFonts w:ascii="Palatino Linotype" w:hAnsi="Palatino Linotype"/>
        </w:rPr>
        <w:t>Acemoglu, D., De Feo, G. and De Luca, G.D. (2020), `Weak States: Causes and</w:t>
      </w:r>
      <w:r>
        <w:rPr>
          <w:rFonts w:ascii="Palatino Linotype" w:hAnsi="Palatino Linotype"/>
        </w:rPr>
        <w:t xml:space="preserve"> </w:t>
      </w:r>
      <w:r w:rsidRPr="003208E4">
        <w:rPr>
          <w:rFonts w:ascii="Palatino Linotype" w:hAnsi="Palatino Linotype"/>
        </w:rPr>
        <w:t>Consequences of the Sicilian Ma</w:t>
      </w:r>
      <w:r>
        <w:rPr>
          <w:rFonts w:ascii="Palatino Linotype" w:hAnsi="Palatino Linotype"/>
        </w:rPr>
        <w:t>fi</w:t>
      </w:r>
      <w:r w:rsidRPr="003208E4">
        <w:rPr>
          <w:rFonts w:ascii="Palatino Linotype" w:hAnsi="Palatino Linotype"/>
        </w:rPr>
        <w:t>a</w:t>
      </w:r>
      <w:r>
        <w:rPr>
          <w:rFonts w:ascii="Palatino Linotype" w:hAnsi="Palatino Linotype"/>
        </w:rPr>
        <w:t>’</w:t>
      </w:r>
      <w:r w:rsidRPr="003208E4">
        <w:rPr>
          <w:rFonts w:ascii="Palatino Linotype" w:hAnsi="Palatino Linotype"/>
        </w:rPr>
        <w:t xml:space="preserve">. </w:t>
      </w:r>
      <w:r w:rsidRPr="003208E4">
        <w:rPr>
          <w:rFonts w:ascii="Palatino Linotype" w:hAnsi="Palatino Linotype"/>
          <w:i/>
          <w:iCs/>
          <w:lang w:val="it-IT"/>
        </w:rPr>
        <w:t>Review of Economic Studies</w:t>
      </w:r>
      <w:r w:rsidRPr="003208E4">
        <w:rPr>
          <w:rFonts w:ascii="Palatino Linotype" w:hAnsi="Palatino Linotype"/>
          <w:lang w:val="it-IT"/>
        </w:rPr>
        <w:t>, 87(2), 537-581.</w:t>
      </w:r>
    </w:p>
    <w:p w14:paraId="2B1B10B4" w14:textId="537614A6" w:rsidR="003208E4" w:rsidRPr="003208E4" w:rsidRDefault="003208E4" w:rsidP="00D31FFA">
      <w:pPr>
        <w:autoSpaceDE w:val="0"/>
        <w:autoSpaceDN w:val="0"/>
        <w:adjustRightInd w:val="0"/>
        <w:spacing w:after="0" w:line="276" w:lineRule="auto"/>
        <w:ind w:left="284" w:hanging="284"/>
        <w:jc w:val="both"/>
        <w:rPr>
          <w:rFonts w:ascii="Palatino Linotype" w:hAnsi="Palatino Linotype"/>
          <w:lang w:val="it-IT"/>
        </w:rPr>
      </w:pPr>
      <w:r w:rsidRPr="003208E4">
        <w:rPr>
          <w:rFonts w:ascii="Palatino Linotype" w:hAnsi="Palatino Linotype"/>
          <w:lang w:val="it-IT"/>
        </w:rPr>
        <w:t xml:space="preserve">Alongi, G. (1886), </w:t>
      </w:r>
      <w:r w:rsidRPr="003208E4">
        <w:rPr>
          <w:rFonts w:ascii="Palatino Linotype" w:hAnsi="Palatino Linotype"/>
          <w:i/>
          <w:iCs/>
          <w:lang w:val="it-IT"/>
        </w:rPr>
        <w:t>La ma</w:t>
      </w:r>
      <w:r w:rsidR="00261BE8" w:rsidRPr="00416B16">
        <w:rPr>
          <w:rFonts w:ascii="Palatino Linotype" w:hAnsi="Palatino Linotype"/>
          <w:i/>
          <w:iCs/>
          <w:lang w:val="it-IT"/>
        </w:rPr>
        <w:t>ffi</w:t>
      </w:r>
      <w:r w:rsidRPr="003208E4">
        <w:rPr>
          <w:rFonts w:ascii="Palatino Linotype" w:hAnsi="Palatino Linotype"/>
          <w:i/>
          <w:iCs/>
          <w:lang w:val="it-IT"/>
        </w:rPr>
        <w:t>a</w:t>
      </w:r>
      <w:r w:rsidRPr="003208E4">
        <w:rPr>
          <w:rFonts w:ascii="Palatino Linotype" w:hAnsi="Palatino Linotype"/>
          <w:lang w:val="it-IT"/>
        </w:rPr>
        <w:t xml:space="preserve"> (Palermo, IT: Sellerio).</w:t>
      </w:r>
    </w:p>
    <w:p w14:paraId="108BCDC5" w14:textId="7D7D083C" w:rsidR="003208E4" w:rsidRDefault="003208E4" w:rsidP="00D31FFA">
      <w:pPr>
        <w:autoSpaceDE w:val="0"/>
        <w:autoSpaceDN w:val="0"/>
        <w:adjustRightInd w:val="0"/>
        <w:spacing w:after="0" w:line="276" w:lineRule="auto"/>
        <w:ind w:left="284" w:hanging="284"/>
        <w:jc w:val="both"/>
        <w:rPr>
          <w:rFonts w:ascii="Palatino Linotype" w:hAnsi="Palatino Linotype"/>
        </w:rPr>
      </w:pPr>
      <w:r w:rsidRPr="003208E4">
        <w:rPr>
          <w:rFonts w:ascii="Palatino Linotype" w:hAnsi="Palatino Linotype"/>
        </w:rPr>
        <w:t>Bandiera, O. (2003), `Land Reform, the Market for Protection, and the Origins of the</w:t>
      </w:r>
      <w:r>
        <w:rPr>
          <w:rFonts w:ascii="Palatino Linotype" w:hAnsi="Palatino Linotype"/>
        </w:rPr>
        <w:t xml:space="preserve"> </w:t>
      </w:r>
      <w:r w:rsidRPr="003208E4">
        <w:rPr>
          <w:rFonts w:ascii="Palatino Linotype" w:hAnsi="Palatino Linotype"/>
        </w:rPr>
        <w:t>Sicilian Ma</w:t>
      </w:r>
      <w:r w:rsidR="00416B16">
        <w:rPr>
          <w:rFonts w:ascii="Palatino Linotype" w:hAnsi="Palatino Linotype"/>
        </w:rPr>
        <w:t>fi</w:t>
      </w:r>
      <w:r w:rsidRPr="003208E4">
        <w:rPr>
          <w:rFonts w:ascii="Palatino Linotype" w:hAnsi="Palatino Linotype"/>
        </w:rPr>
        <w:t>a: Theory and Evidence</w:t>
      </w:r>
      <w:r w:rsidR="00416B16">
        <w:rPr>
          <w:rFonts w:ascii="Palatino Linotype" w:hAnsi="Palatino Linotype"/>
        </w:rPr>
        <w:t>’</w:t>
      </w:r>
      <w:r w:rsidRPr="003208E4">
        <w:rPr>
          <w:rFonts w:ascii="Palatino Linotype" w:hAnsi="Palatino Linotype"/>
        </w:rPr>
        <w:t xml:space="preserve">. </w:t>
      </w:r>
      <w:r w:rsidRPr="003208E4">
        <w:rPr>
          <w:rFonts w:ascii="Palatino Linotype" w:hAnsi="Palatino Linotype"/>
          <w:i/>
          <w:iCs/>
        </w:rPr>
        <w:t>Journal of Law, Economics, and Organization</w:t>
      </w:r>
      <w:r w:rsidRPr="003208E4">
        <w:rPr>
          <w:rFonts w:ascii="Palatino Linotype" w:hAnsi="Palatino Linotype"/>
        </w:rPr>
        <w:t>,</w:t>
      </w:r>
      <w:r>
        <w:rPr>
          <w:rFonts w:ascii="Palatino Linotype" w:hAnsi="Palatino Linotype"/>
        </w:rPr>
        <w:t xml:space="preserve"> </w:t>
      </w:r>
      <w:r w:rsidRPr="003208E4">
        <w:rPr>
          <w:rFonts w:ascii="Palatino Linotype" w:hAnsi="Palatino Linotype"/>
        </w:rPr>
        <w:t>19(1), 218-244.</w:t>
      </w:r>
    </w:p>
    <w:p w14:paraId="0EFE92C0" w14:textId="42891684" w:rsidR="003208E4" w:rsidRDefault="003208E4" w:rsidP="00D31FFA">
      <w:pPr>
        <w:autoSpaceDE w:val="0"/>
        <w:autoSpaceDN w:val="0"/>
        <w:adjustRightInd w:val="0"/>
        <w:spacing w:after="0" w:line="276" w:lineRule="auto"/>
        <w:ind w:left="284" w:hanging="284"/>
        <w:jc w:val="both"/>
        <w:rPr>
          <w:rFonts w:ascii="Palatino Linotype" w:hAnsi="Palatino Linotype"/>
        </w:rPr>
      </w:pPr>
      <w:r w:rsidRPr="003208E4">
        <w:rPr>
          <w:rFonts w:ascii="Palatino Linotype" w:hAnsi="Palatino Linotype"/>
        </w:rPr>
        <w:t>Buonanno, P., Durante, R., Prarolo, G. and Vanin, P. (2015), `Poor Institutions, Rich</w:t>
      </w:r>
      <w:r w:rsidR="00416B16">
        <w:rPr>
          <w:rFonts w:ascii="Palatino Linotype" w:hAnsi="Palatino Linotype"/>
        </w:rPr>
        <w:t xml:space="preserve"> </w:t>
      </w:r>
      <w:r w:rsidRPr="003208E4">
        <w:rPr>
          <w:rFonts w:ascii="Palatino Linotype" w:hAnsi="Palatino Linotype"/>
        </w:rPr>
        <w:t>Mines: Resource Curse in the Origins of the Sicilian Ma</w:t>
      </w:r>
      <w:r w:rsidR="00416B16">
        <w:rPr>
          <w:rFonts w:ascii="Palatino Linotype" w:hAnsi="Palatino Linotype"/>
        </w:rPr>
        <w:t>fi</w:t>
      </w:r>
      <w:r w:rsidRPr="003208E4">
        <w:rPr>
          <w:rFonts w:ascii="Palatino Linotype" w:hAnsi="Palatino Linotype"/>
        </w:rPr>
        <w:t>a</w:t>
      </w:r>
      <w:r w:rsidR="00416B16">
        <w:rPr>
          <w:rFonts w:ascii="Palatino Linotype" w:hAnsi="Palatino Linotype"/>
        </w:rPr>
        <w:t>’</w:t>
      </w:r>
      <w:r w:rsidRPr="003208E4">
        <w:rPr>
          <w:rFonts w:ascii="Palatino Linotype" w:hAnsi="Palatino Linotype"/>
        </w:rPr>
        <w:t xml:space="preserve">. </w:t>
      </w:r>
      <w:r w:rsidRPr="003208E4">
        <w:rPr>
          <w:rFonts w:ascii="Palatino Linotype" w:hAnsi="Palatino Linotype"/>
          <w:i/>
          <w:iCs/>
        </w:rPr>
        <w:t>Economic Journal</w:t>
      </w:r>
      <w:r w:rsidRPr="003208E4">
        <w:rPr>
          <w:rFonts w:ascii="Palatino Linotype" w:hAnsi="Palatino Linotype"/>
        </w:rPr>
        <w:t>, 125(586),</w:t>
      </w:r>
      <w:r w:rsidR="00416B16">
        <w:rPr>
          <w:rFonts w:ascii="Palatino Linotype" w:hAnsi="Palatino Linotype"/>
        </w:rPr>
        <w:t xml:space="preserve"> </w:t>
      </w:r>
      <w:r w:rsidRPr="003208E4">
        <w:rPr>
          <w:rFonts w:ascii="Palatino Linotype" w:hAnsi="Palatino Linotype"/>
        </w:rPr>
        <w:t>F175-F202.</w:t>
      </w:r>
    </w:p>
    <w:p w14:paraId="5C086EEC" w14:textId="73109F0B" w:rsidR="003208E4" w:rsidRDefault="003208E4" w:rsidP="00D31FFA">
      <w:pPr>
        <w:autoSpaceDE w:val="0"/>
        <w:autoSpaceDN w:val="0"/>
        <w:adjustRightInd w:val="0"/>
        <w:spacing w:after="0" w:line="276" w:lineRule="auto"/>
        <w:ind w:left="284" w:hanging="284"/>
        <w:jc w:val="both"/>
        <w:rPr>
          <w:rFonts w:ascii="Palatino Linotype" w:hAnsi="Palatino Linotype"/>
        </w:rPr>
      </w:pPr>
      <w:r w:rsidRPr="003208E4">
        <w:rPr>
          <w:rFonts w:ascii="Palatino Linotype" w:hAnsi="Palatino Linotype"/>
          <w:lang w:val="it-IT"/>
        </w:rPr>
        <w:t xml:space="preserve">Colajanni, N. (1900), </w:t>
      </w:r>
      <w:r w:rsidRPr="003208E4">
        <w:rPr>
          <w:rFonts w:ascii="Palatino Linotype" w:hAnsi="Palatino Linotype"/>
          <w:i/>
          <w:iCs/>
          <w:lang w:val="it-IT"/>
        </w:rPr>
        <w:t>Nel Regno della Ma</w:t>
      </w:r>
      <w:r w:rsidR="00416B16" w:rsidRPr="00416B16">
        <w:rPr>
          <w:rFonts w:ascii="Palatino Linotype" w:hAnsi="Palatino Linotype"/>
          <w:i/>
          <w:iCs/>
          <w:lang w:val="it-IT"/>
        </w:rPr>
        <w:t>fi</w:t>
      </w:r>
      <w:r w:rsidRPr="003208E4">
        <w:rPr>
          <w:rFonts w:ascii="Palatino Linotype" w:hAnsi="Palatino Linotype"/>
          <w:i/>
          <w:iCs/>
          <w:lang w:val="it-IT"/>
        </w:rPr>
        <w:t>a. Dai Borboni ai Sabaudi</w:t>
      </w:r>
      <w:r w:rsidRPr="003208E4">
        <w:rPr>
          <w:rFonts w:ascii="Palatino Linotype" w:hAnsi="Palatino Linotype"/>
          <w:lang w:val="it-IT"/>
        </w:rPr>
        <w:t xml:space="preserve"> (1st Edition.</w:t>
      </w:r>
      <w:r w:rsidR="00416B16">
        <w:rPr>
          <w:rFonts w:ascii="Palatino Linotype" w:hAnsi="Palatino Linotype"/>
          <w:lang w:val="it-IT"/>
        </w:rPr>
        <w:t xml:space="preserve"> </w:t>
      </w:r>
      <w:r w:rsidRPr="003208E4">
        <w:rPr>
          <w:rFonts w:ascii="Palatino Linotype" w:hAnsi="Palatino Linotype"/>
        </w:rPr>
        <w:t>Rome, IT: Rivista Popolare).</w:t>
      </w:r>
    </w:p>
    <w:p w14:paraId="0AE3516A" w14:textId="32AEA097" w:rsidR="00261BE8" w:rsidRPr="00261BE8" w:rsidRDefault="00261BE8" w:rsidP="00D31FFA">
      <w:pPr>
        <w:autoSpaceDE w:val="0"/>
        <w:autoSpaceDN w:val="0"/>
        <w:adjustRightInd w:val="0"/>
        <w:spacing w:after="0" w:line="276" w:lineRule="auto"/>
        <w:ind w:left="284" w:hanging="284"/>
        <w:jc w:val="both"/>
        <w:rPr>
          <w:rFonts w:ascii="Palatino Linotype" w:hAnsi="Palatino Linotype"/>
        </w:rPr>
      </w:pPr>
      <w:r w:rsidRPr="00261BE8">
        <w:rPr>
          <w:rFonts w:ascii="Palatino Linotype" w:hAnsi="Palatino Linotype"/>
        </w:rPr>
        <w:t xml:space="preserve">Dickie, J. (2004), </w:t>
      </w:r>
      <w:r w:rsidRPr="00261BE8">
        <w:rPr>
          <w:rFonts w:ascii="Palatino Linotype" w:hAnsi="Palatino Linotype"/>
          <w:i/>
          <w:iCs/>
        </w:rPr>
        <w:t>Cosa Nostra: A History of the Sicilian Ma</w:t>
      </w:r>
      <w:r w:rsidR="00416B16" w:rsidRPr="00416B16">
        <w:rPr>
          <w:rFonts w:ascii="Palatino Linotype" w:hAnsi="Palatino Linotype"/>
          <w:i/>
          <w:iCs/>
        </w:rPr>
        <w:t>fi</w:t>
      </w:r>
      <w:r w:rsidRPr="00261BE8">
        <w:rPr>
          <w:rFonts w:ascii="Palatino Linotype" w:hAnsi="Palatino Linotype"/>
          <w:i/>
          <w:iCs/>
        </w:rPr>
        <w:t>a</w:t>
      </w:r>
      <w:r w:rsidRPr="00261BE8">
        <w:rPr>
          <w:rFonts w:ascii="Palatino Linotype" w:hAnsi="Palatino Linotype"/>
        </w:rPr>
        <w:t xml:space="preserve"> (New York: Palgrave</w:t>
      </w:r>
      <w:r w:rsidR="00416B16">
        <w:rPr>
          <w:rFonts w:ascii="Palatino Linotype" w:hAnsi="Palatino Linotype"/>
        </w:rPr>
        <w:t xml:space="preserve"> </w:t>
      </w:r>
      <w:r w:rsidRPr="00261BE8">
        <w:rPr>
          <w:rFonts w:ascii="Palatino Linotype" w:hAnsi="Palatino Linotype"/>
        </w:rPr>
        <w:t>Macmillan).</w:t>
      </w:r>
    </w:p>
    <w:p w14:paraId="6E009369" w14:textId="053B1AEE" w:rsidR="00261BE8" w:rsidRDefault="00261BE8" w:rsidP="00D31FFA">
      <w:pPr>
        <w:autoSpaceDE w:val="0"/>
        <w:autoSpaceDN w:val="0"/>
        <w:adjustRightInd w:val="0"/>
        <w:spacing w:after="0" w:line="276" w:lineRule="auto"/>
        <w:ind w:left="284" w:hanging="284"/>
        <w:jc w:val="both"/>
        <w:rPr>
          <w:rFonts w:ascii="Palatino Linotype" w:hAnsi="Palatino Linotype"/>
        </w:rPr>
      </w:pPr>
      <w:r w:rsidRPr="00261BE8">
        <w:rPr>
          <w:rFonts w:ascii="Palatino Linotype" w:hAnsi="Palatino Linotype"/>
        </w:rPr>
        <w:t>Dimico, A., Isopi, A. and Olsson, O. (2017), `Origins of the Sicilian Ma</w:t>
      </w:r>
      <w:r w:rsidR="00416B16">
        <w:rPr>
          <w:rFonts w:ascii="Palatino Linotype" w:hAnsi="Palatino Linotype"/>
        </w:rPr>
        <w:t>fi</w:t>
      </w:r>
      <w:r w:rsidRPr="00261BE8">
        <w:rPr>
          <w:rFonts w:ascii="Palatino Linotype" w:hAnsi="Palatino Linotype"/>
        </w:rPr>
        <w:t>a: The Market</w:t>
      </w:r>
      <w:r w:rsidR="00416B16">
        <w:rPr>
          <w:rFonts w:ascii="Palatino Linotype" w:hAnsi="Palatino Linotype"/>
        </w:rPr>
        <w:t xml:space="preserve"> </w:t>
      </w:r>
      <w:r w:rsidRPr="00261BE8">
        <w:rPr>
          <w:rFonts w:ascii="Palatino Linotype" w:hAnsi="Palatino Linotype"/>
        </w:rPr>
        <w:t>for Lemons</w:t>
      </w:r>
      <w:r w:rsidR="00416B16">
        <w:rPr>
          <w:rFonts w:ascii="Palatino Linotype" w:hAnsi="Palatino Linotype"/>
        </w:rPr>
        <w:t>’</w:t>
      </w:r>
      <w:r w:rsidRPr="00261BE8">
        <w:rPr>
          <w:rFonts w:ascii="Palatino Linotype" w:hAnsi="Palatino Linotype"/>
        </w:rPr>
        <w:t xml:space="preserve">. </w:t>
      </w:r>
      <w:r w:rsidRPr="00416B16">
        <w:rPr>
          <w:rFonts w:ascii="Palatino Linotype" w:hAnsi="Palatino Linotype"/>
          <w:i/>
          <w:iCs/>
        </w:rPr>
        <w:t>Journal of Economic History</w:t>
      </w:r>
      <w:r w:rsidRPr="00261BE8">
        <w:rPr>
          <w:rFonts w:ascii="Palatino Linotype" w:hAnsi="Palatino Linotype"/>
        </w:rPr>
        <w:t>, 77(4), 1083-1115.</w:t>
      </w:r>
    </w:p>
    <w:p w14:paraId="4F30C01A" w14:textId="2377E6DB" w:rsidR="003208E4" w:rsidRDefault="00261BE8" w:rsidP="00C934E3">
      <w:pPr>
        <w:autoSpaceDE w:val="0"/>
        <w:autoSpaceDN w:val="0"/>
        <w:adjustRightInd w:val="0"/>
        <w:spacing w:after="0" w:line="276" w:lineRule="auto"/>
        <w:ind w:left="284" w:hanging="284"/>
        <w:jc w:val="both"/>
        <w:rPr>
          <w:rFonts w:ascii="Palatino Linotype" w:hAnsi="Palatino Linotype"/>
          <w:lang w:val="en-GB"/>
        </w:rPr>
      </w:pPr>
      <w:r w:rsidRPr="00261BE8">
        <w:rPr>
          <w:rFonts w:ascii="Palatino Linotype" w:hAnsi="Palatino Linotype"/>
        </w:rPr>
        <w:t xml:space="preserve">Riall, L. (1998), </w:t>
      </w:r>
      <w:r w:rsidRPr="00261BE8">
        <w:rPr>
          <w:rFonts w:ascii="Palatino Linotype" w:hAnsi="Palatino Linotype"/>
          <w:i/>
          <w:iCs/>
        </w:rPr>
        <w:t>Sicily and the Uni</w:t>
      </w:r>
      <w:r w:rsidRPr="00416B16">
        <w:rPr>
          <w:rFonts w:ascii="Palatino Linotype" w:hAnsi="Palatino Linotype"/>
          <w:i/>
          <w:iCs/>
        </w:rPr>
        <w:t>fi</w:t>
      </w:r>
      <w:r w:rsidRPr="00261BE8">
        <w:rPr>
          <w:rFonts w:ascii="Palatino Linotype" w:hAnsi="Palatino Linotype"/>
          <w:i/>
          <w:iCs/>
        </w:rPr>
        <w:t>cation of Italy. Liberal Policy and Local Power,</w:t>
      </w:r>
      <w:r w:rsidR="00416B16" w:rsidRPr="00416B16">
        <w:rPr>
          <w:rFonts w:ascii="Palatino Linotype" w:hAnsi="Palatino Linotype"/>
          <w:i/>
          <w:iCs/>
        </w:rPr>
        <w:t xml:space="preserve"> </w:t>
      </w:r>
      <w:r w:rsidRPr="00416B16">
        <w:rPr>
          <w:rFonts w:ascii="Palatino Linotype" w:hAnsi="Palatino Linotype"/>
          <w:i/>
          <w:iCs/>
        </w:rPr>
        <w:t>1859-1866</w:t>
      </w:r>
      <w:r w:rsidRPr="00261BE8">
        <w:rPr>
          <w:rFonts w:ascii="Palatino Linotype" w:hAnsi="Palatino Linotype"/>
        </w:rPr>
        <w:t xml:space="preserve"> (Oxford: Clarendon Press).</w:t>
      </w:r>
    </w:p>
    <w:p w14:paraId="59007C7D" w14:textId="77777777" w:rsidR="003208E4" w:rsidRPr="003208E4" w:rsidRDefault="003208E4" w:rsidP="00420B62">
      <w:pPr>
        <w:autoSpaceDE w:val="0"/>
        <w:autoSpaceDN w:val="0"/>
        <w:adjustRightInd w:val="0"/>
        <w:spacing w:after="0" w:line="276" w:lineRule="auto"/>
        <w:ind w:firstLine="284"/>
        <w:jc w:val="both"/>
        <w:rPr>
          <w:rFonts w:ascii="Palatino Linotype" w:hAnsi="Palatino Linotype"/>
          <w:lang w:val="en-GB"/>
        </w:rPr>
      </w:pPr>
    </w:p>
    <w:sectPr w:rsidR="003208E4" w:rsidRPr="003208E4" w:rsidSect="00B271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08902" w14:textId="77777777" w:rsidR="00416B16" w:rsidRDefault="00416B16" w:rsidP="00416B16">
      <w:pPr>
        <w:spacing w:after="0" w:line="240" w:lineRule="auto"/>
      </w:pPr>
      <w:r>
        <w:separator/>
      </w:r>
    </w:p>
  </w:endnote>
  <w:endnote w:type="continuationSeparator" w:id="0">
    <w:p w14:paraId="4CA556C7" w14:textId="77777777" w:rsidR="00416B16" w:rsidRDefault="00416B16" w:rsidP="00416B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MR10">
    <w:altName w:val="Calibri"/>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EEF00E" w14:textId="77777777" w:rsidR="00416B16" w:rsidRDefault="00416B16" w:rsidP="00416B16">
      <w:pPr>
        <w:spacing w:after="0" w:line="240" w:lineRule="auto"/>
      </w:pPr>
      <w:r>
        <w:separator/>
      </w:r>
    </w:p>
  </w:footnote>
  <w:footnote w:type="continuationSeparator" w:id="0">
    <w:p w14:paraId="0CCE69C1" w14:textId="77777777" w:rsidR="00416B16" w:rsidRDefault="00416B16" w:rsidP="00416B16">
      <w:pPr>
        <w:spacing w:after="0" w:line="240" w:lineRule="auto"/>
      </w:pPr>
      <w:r>
        <w:continuationSeparator/>
      </w:r>
    </w:p>
  </w:footnote>
  <w:footnote w:id="1">
    <w:p w14:paraId="0E5F26B9" w14:textId="4C39B956" w:rsidR="00416B16" w:rsidRPr="00D31FFA" w:rsidRDefault="00416B16" w:rsidP="00D31FFA">
      <w:pPr>
        <w:pStyle w:val="FootnoteText"/>
        <w:jc w:val="both"/>
        <w:rPr>
          <w:rFonts w:ascii="Palatino Linotype" w:hAnsi="Palatino Linotype"/>
        </w:rPr>
      </w:pPr>
      <w:r w:rsidRPr="00D31FFA">
        <w:rPr>
          <w:rStyle w:val="FootnoteReference"/>
          <w:rFonts w:ascii="Palatino Linotype" w:hAnsi="Palatino Linotype"/>
          <w:sz w:val="18"/>
          <w:szCs w:val="18"/>
        </w:rPr>
        <w:footnoteRef/>
      </w:r>
      <w:r w:rsidRPr="00D31FFA">
        <w:rPr>
          <w:rFonts w:ascii="Palatino Linotype" w:hAnsi="Palatino Linotype"/>
          <w:sz w:val="18"/>
          <w:szCs w:val="18"/>
        </w:rPr>
        <w:t xml:space="preserve"> </w:t>
      </w:r>
      <w:r w:rsidR="00D31FFA" w:rsidRPr="00D31FFA">
        <w:rPr>
          <w:rFonts w:ascii="Palatino Linotype" w:hAnsi="Palatino Linotype"/>
          <w:sz w:val="18"/>
          <w:szCs w:val="18"/>
        </w:rPr>
        <w:t xml:space="preserve">More precisely, I have tested the </w:t>
      </w:r>
      <w:r w:rsidRPr="00D31FFA">
        <w:rPr>
          <w:rFonts w:ascii="Palatino Linotype" w:hAnsi="Palatino Linotype"/>
          <w:sz w:val="18"/>
          <w:szCs w:val="18"/>
        </w:rPr>
        <w:t>robustness</w:t>
      </w:r>
      <w:r w:rsidR="00D31FFA" w:rsidRPr="00D31FFA">
        <w:rPr>
          <w:rFonts w:ascii="Palatino Linotype" w:hAnsi="Palatino Linotype"/>
          <w:sz w:val="18"/>
          <w:szCs w:val="18"/>
        </w:rPr>
        <w:t xml:space="preserve"> of these findings by estimating</w:t>
      </w:r>
      <w:r w:rsidRPr="00D31FFA">
        <w:rPr>
          <w:rFonts w:ascii="Palatino Linotype" w:hAnsi="Palatino Linotype"/>
          <w:sz w:val="18"/>
          <w:szCs w:val="18"/>
        </w:rPr>
        <w:t xml:space="preserve"> </w:t>
      </w:r>
      <w:r w:rsidRPr="00D31FFA">
        <w:rPr>
          <w:rFonts w:ascii="Palatino Linotype" w:hAnsi="Palatino Linotype"/>
          <w:sz w:val="18"/>
          <w:szCs w:val="18"/>
          <w:lang w:val="en-GB"/>
        </w:rPr>
        <w:t xml:space="preserve">propensity matching, geographical matching, conditional </w:t>
      </w:r>
      <w:r w:rsidR="00D31FFA" w:rsidRPr="00D31FFA">
        <w:rPr>
          <w:rFonts w:ascii="Palatino Linotype" w:hAnsi="Palatino Linotype"/>
          <w:sz w:val="18"/>
          <w:szCs w:val="18"/>
          <w:lang w:val="en-GB"/>
        </w:rPr>
        <w:t>logit,</w:t>
      </w:r>
      <w:r w:rsidRPr="00D31FFA">
        <w:rPr>
          <w:rFonts w:ascii="Palatino Linotype" w:hAnsi="Palatino Linotype"/>
          <w:sz w:val="18"/>
          <w:szCs w:val="18"/>
          <w:lang w:val="en-GB"/>
        </w:rPr>
        <w:t xml:space="preserve"> and neighbour-pair fixed effects </w:t>
      </w:r>
      <w:r w:rsidR="00D31FFA" w:rsidRPr="00D31FFA">
        <w:rPr>
          <w:rFonts w:ascii="Palatino Linotype" w:hAnsi="Palatino Linotype"/>
          <w:sz w:val="18"/>
          <w:szCs w:val="18"/>
          <w:lang w:val="en-GB"/>
        </w:rPr>
        <w:t>regression models</w:t>
      </w:r>
      <w:r w:rsidR="00D31FFA">
        <w:rPr>
          <w:rFonts w:ascii="Palatino Linotype" w:hAnsi="Palatino Linotype"/>
          <w:sz w:val="18"/>
          <w:szCs w:val="18"/>
          <w:lang w:val="en-GB"/>
        </w:rPr>
        <w:t>, all deliver</w:t>
      </w:r>
      <w:r w:rsidR="00C934E3">
        <w:rPr>
          <w:rFonts w:ascii="Palatino Linotype" w:hAnsi="Palatino Linotype"/>
          <w:sz w:val="18"/>
          <w:szCs w:val="18"/>
          <w:lang w:val="en-GB"/>
        </w:rPr>
        <w:t>ing</w:t>
      </w:r>
      <w:r w:rsidR="00D31FFA">
        <w:rPr>
          <w:rFonts w:ascii="Palatino Linotype" w:hAnsi="Palatino Linotype"/>
          <w:sz w:val="18"/>
          <w:szCs w:val="18"/>
          <w:lang w:val="en-GB"/>
        </w:rPr>
        <w:t xml:space="preserve"> very similar results</w:t>
      </w:r>
      <w:r w:rsidR="00D31FFA" w:rsidRPr="00D31FFA">
        <w:rPr>
          <w:rFonts w:ascii="Palatino Linotype" w:hAnsi="Palatino Linotype"/>
          <w:sz w:val="18"/>
          <w:szCs w:val="18"/>
          <w:lang w:val="en-GB"/>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4AD1"/>
    <w:rsid w:val="001730E3"/>
    <w:rsid w:val="00261BE8"/>
    <w:rsid w:val="003208E4"/>
    <w:rsid w:val="003C4AD1"/>
    <w:rsid w:val="00416B16"/>
    <w:rsid w:val="00420B62"/>
    <w:rsid w:val="00442230"/>
    <w:rsid w:val="004461C1"/>
    <w:rsid w:val="007058F6"/>
    <w:rsid w:val="00777599"/>
    <w:rsid w:val="00882AD6"/>
    <w:rsid w:val="00A26DC9"/>
    <w:rsid w:val="00B27150"/>
    <w:rsid w:val="00C934E3"/>
    <w:rsid w:val="00D31FFA"/>
    <w:rsid w:val="00F10418"/>
    <w:rsid w:val="00F152A8"/>
    <w:rsid w:val="00F553BC"/>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91E5B"/>
  <w15:chartTrackingRefBased/>
  <w15:docId w15:val="{DA359A6A-2599-417E-A105-6E2AD3B02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208E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08E4"/>
    <w:rPr>
      <w:rFonts w:asciiTheme="majorHAnsi" w:eastAsiaTheme="majorEastAsia" w:hAnsiTheme="majorHAnsi" w:cstheme="majorBidi"/>
      <w:color w:val="2F5496" w:themeColor="accent1" w:themeShade="BF"/>
      <w:sz w:val="32"/>
      <w:szCs w:val="32"/>
    </w:rPr>
  </w:style>
  <w:style w:type="paragraph" w:styleId="FootnoteText">
    <w:name w:val="footnote text"/>
    <w:basedOn w:val="Normal"/>
    <w:link w:val="FootnoteTextChar"/>
    <w:uiPriority w:val="99"/>
    <w:semiHidden/>
    <w:unhideWhenUsed/>
    <w:rsid w:val="00416B1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16B16"/>
    <w:rPr>
      <w:sz w:val="20"/>
      <w:szCs w:val="20"/>
    </w:rPr>
  </w:style>
  <w:style w:type="character" w:styleId="FootnoteReference">
    <w:name w:val="footnote reference"/>
    <w:basedOn w:val="DefaultParagraphFont"/>
    <w:uiPriority w:val="99"/>
    <w:semiHidden/>
    <w:unhideWhenUsed/>
    <w:rsid w:val="00416B1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5B668F-9A7A-4AC8-9ED7-D56FE86B65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924</Words>
  <Characters>5269</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Gianni Marciante</dc:creator>
  <cp:keywords/>
  <dc:description/>
  <cp:lastModifiedBy>Daniel Munday</cp:lastModifiedBy>
  <cp:revision>2</cp:revision>
  <dcterms:created xsi:type="dcterms:W3CDTF">2021-06-11T08:26:00Z</dcterms:created>
  <dcterms:modified xsi:type="dcterms:W3CDTF">2021-06-11T08:26:00Z</dcterms:modified>
</cp:coreProperties>
</file>