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2CD4E9" w14:textId="7376E9E1" w:rsidR="00434523" w:rsidRPr="00352D6E" w:rsidRDefault="0036787A">
      <w:pPr>
        <w:rPr>
          <w:rFonts w:ascii="Arial" w:hAnsi="Arial" w:cs="Arial"/>
          <w:b/>
          <w:bCs/>
        </w:rPr>
      </w:pPr>
      <w:r w:rsidRPr="00352D6E">
        <w:rPr>
          <w:rFonts w:ascii="Arial" w:hAnsi="Arial" w:cs="Arial"/>
          <w:b/>
          <w:bCs/>
        </w:rPr>
        <w:t>The Competitive Consequences of Delegating Pricing Decisions to a Category Captain in the Presence of Retail Competition</w:t>
      </w:r>
    </w:p>
    <w:p w14:paraId="33F756B9" w14:textId="32C6C5F5" w:rsidR="00AF6A47" w:rsidRPr="00352D6E" w:rsidRDefault="00AF6A47">
      <w:pPr>
        <w:rPr>
          <w:rFonts w:ascii="Arial" w:hAnsi="Arial" w:cs="Arial"/>
        </w:rPr>
      </w:pPr>
    </w:p>
    <w:p w14:paraId="6D566F92" w14:textId="01BE5061" w:rsidR="003061D0" w:rsidRPr="003061D0" w:rsidRDefault="00352D6E" w:rsidP="003061D0">
      <w:pPr>
        <w:rPr>
          <w:rFonts w:ascii="Arial" w:eastAsia="Times New Roman" w:hAnsi="Arial" w:cs="Arial"/>
          <w:lang w:eastAsia="en-GB" w:bidi="hi-IN"/>
        </w:rPr>
      </w:pPr>
      <w:r>
        <w:rPr>
          <w:rFonts w:ascii="Arial" w:eastAsia="Times New Roman" w:hAnsi="Arial" w:cs="Arial"/>
          <w:lang w:eastAsia="en-GB" w:bidi="hi-IN"/>
        </w:rPr>
        <w:t>An</w:t>
      </w:r>
      <w:r w:rsidR="003061D0" w:rsidRPr="00352D6E">
        <w:rPr>
          <w:rFonts w:ascii="Arial" w:eastAsia="Times New Roman" w:hAnsi="Arial" w:cs="Arial"/>
          <w:lang w:eastAsia="en-GB" w:bidi="hi-IN"/>
        </w:rPr>
        <w:t xml:space="preserve"> increasing number of retail stores have delegated the task of category management to one or a number of their manufacturers who become known as a “category captain”. To facilitate the arrangement the retailer generally shares information on sales, pricing and turnover of all brands with the captain, who in return conducts an analysis of the category and provides the retailer with recommendations </w:t>
      </w:r>
      <w:r w:rsidR="000A2F1F" w:rsidRPr="00352D6E">
        <w:rPr>
          <w:rFonts w:ascii="Arial" w:eastAsia="Times New Roman" w:hAnsi="Arial" w:cs="Arial"/>
          <w:lang w:eastAsia="en-GB" w:bidi="hi-IN"/>
        </w:rPr>
        <w:t>on category management related aspects</w:t>
      </w:r>
      <w:r w:rsidR="003061D0" w:rsidRPr="00352D6E">
        <w:rPr>
          <w:rFonts w:ascii="Arial" w:eastAsia="Times New Roman" w:hAnsi="Arial" w:cs="Arial"/>
          <w:lang w:eastAsia="en-GB" w:bidi="hi-IN"/>
        </w:rPr>
        <w:t xml:space="preserve"> for all brands in the category </w:t>
      </w:r>
      <w:r w:rsidRPr="00352D6E">
        <w:rPr>
          <w:rFonts w:ascii="Arial" w:eastAsia="Times New Roman" w:hAnsi="Arial" w:cs="Arial"/>
          <w:lang w:eastAsia="en-GB" w:bidi="hi-IN"/>
        </w:rPr>
        <w:t>(Desrochers, 2003).</w:t>
      </w:r>
      <w:r w:rsidR="003061D0" w:rsidRPr="00352D6E">
        <w:rPr>
          <w:rFonts w:ascii="Arial" w:eastAsia="Times New Roman" w:hAnsi="Arial" w:cs="Arial"/>
          <w:lang w:eastAsia="en-GB" w:bidi="hi-IN"/>
        </w:rPr>
        <w:t xml:space="preserve"> </w:t>
      </w:r>
      <w:r w:rsidR="003061D0" w:rsidRPr="003061D0">
        <w:rPr>
          <w:rFonts w:ascii="Arial" w:eastAsia="Times New Roman" w:hAnsi="Arial" w:cs="Arial"/>
          <w:lang w:eastAsia="en-GB" w:bidi="hi-IN"/>
        </w:rPr>
        <w:t xml:space="preserve">Although there is usually no explicit monetary payment made to the manufacturer for providing this service, the manufacturer's incentive to provide the service may lie in the advantage of having, at the very least, some influence over the retailer's decisions within a given category. </w:t>
      </w:r>
    </w:p>
    <w:p w14:paraId="0F690F09" w14:textId="77777777" w:rsidR="00352D6E" w:rsidRDefault="00352D6E" w:rsidP="003061D0">
      <w:pPr>
        <w:rPr>
          <w:rFonts w:ascii="Arial" w:eastAsia="Times New Roman" w:hAnsi="Arial" w:cs="Arial"/>
          <w:lang w:eastAsia="en-GB" w:bidi="hi-IN"/>
        </w:rPr>
      </w:pPr>
    </w:p>
    <w:p w14:paraId="11E90EF5" w14:textId="7D1E5328" w:rsidR="007D0B8A" w:rsidRPr="00352D6E" w:rsidRDefault="003061D0" w:rsidP="003061D0">
      <w:pPr>
        <w:rPr>
          <w:rFonts w:ascii="Arial" w:eastAsia="Times New Roman" w:hAnsi="Arial" w:cs="Arial"/>
          <w:lang w:eastAsia="en-GB" w:bidi="hi-IN"/>
        </w:rPr>
      </w:pPr>
      <w:r w:rsidRPr="003061D0">
        <w:rPr>
          <w:rFonts w:ascii="Arial" w:eastAsia="Times New Roman" w:hAnsi="Arial" w:cs="Arial"/>
          <w:lang w:eastAsia="en-GB" w:bidi="hi-IN"/>
        </w:rPr>
        <w:t xml:space="preserve">The </w:t>
      </w:r>
      <w:r w:rsidR="00352D6E" w:rsidRPr="00352D6E">
        <w:rPr>
          <w:rFonts w:ascii="Arial" w:eastAsia="Times New Roman" w:hAnsi="Arial" w:cs="Arial"/>
          <w:lang w:eastAsia="en-GB" w:bidi="hi-IN"/>
        </w:rPr>
        <w:t xml:space="preserve">European Commission (2005) </w:t>
      </w:r>
      <w:r w:rsidRPr="003061D0">
        <w:rPr>
          <w:rFonts w:ascii="Arial" w:eastAsia="Times New Roman" w:hAnsi="Arial" w:cs="Arial"/>
          <w:lang w:eastAsia="en-GB" w:bidi="hi-IN"/>
        </w:rPr>
        <w:t>suggest that there may also be some additional benefits</w:t>
      </w:r>
      <w:r w:rsidR="007D0B8A" w:rsidRPr="00352D6E">
        <w:rPr>
          <w:rFonts w:ascii="Arial" w:eastAsia="Times New Roman" w:hAnsi="Arial" w:cs="Arial"/>
          <w:lang w:eastAsia="en-GB" w:bidi="hi-IN"/>
        </w:rPr>
        <w:t xml:space="preserve"> from category captainship:</w:t>
      </w:r>
    </w:p>
    <w:p w14:paraId="76256618" w14:textId="77777777" w:rsidR="007D0B8A" w:rsidRPr="00352D6E" w:rsidRDefault="007D0B8A" w:rsidP="007D0B8A">
      <w:pPr>
        <w:pStyle w:val="ListParagraph"/>
        <w:numPr>
          <w:ilvl w:val="0"/>
          <w:numId w:val="1"/>
        </w:numPr>
        <w:rPr>
          <w:rFonts w:ascii="Arial" w:eastAsia="Times New Roman" w:hAnsi="Arial" w:cs="Arial"/>
          <w:lang w:eastAsia="en-GB" w:bidi="hi-IN"/>
        </w:rPr>
      </w:pPr>
      <w:r w:rsidRPr="00352D6E">
        <w:rPr>
          <w:rFonts w:ascii="Arial" w:eastAsia="Times New Roman" w:hAnsi="Arial" w:cs="Arial"/>
          <w:lang w:eastAsia="en-GB" w:bidi="hi-IN"/>
        </w:rPr>
        <w:t>Allowing</w:t>
      </w:r>
      <w:r w:rsidR="003061D0" w:rsidRPr="00352D6E">
        <w:rPr>
          <w:rFonts w:ascii="Arial" w:eastAsia="Times New Roman" w:hAnsi="Arial" w:cs="Arial"/>
          <w:lang w:eastAsia="en-GB" w:bidi="hi-IN"/>
        </w:rPr>
        <w:t xml:space="preserve"> a manufacturer to achieve economies of scale </w:t>
      </w:r>
    </w:p>
    <w:p w14:paraId="3C9AB8FE" w14:textId="77777777" w:rsidR="007D0B8A" w:rsidRPr="00352D6E" w:rsidRDefault="007D0B8A" w:rsidP="007D0B8A">
      <w:pPr>
        <w:pStyle w:val="ListParagraph"/>
        <w:numPr>
          <w:ilvl w:val="0"/>
          <w:numId w:val="1"/>
        </w:numPr>
        <w:rPr>
          <w:rFonts w:ascii="Arial" w:eastAsia="Times New Roman" w:hAnsi="Arial" w:cs="Arial"/>
          <w:lang w:eastAsia="en-GB" w:bidi="hi-IN"/>
        </w:rPr>
      </w:pPr>
      <w:r w:rsidRPr="00352D6E">
        <w:rPr>
          <w:rFonts w:ascii="Arial" w:eastAsia="Times New Roman" w:hAnsi="Arial" w:cs="Arial"/>
          <w:lang w:eastAsia="en-GB" w:bidi="hi-IN"/>
        </w:rPr>
        <w:t>R</w:t>
      </w:r>
      <w:r w:rsidR="003061D0" w:rsidRPr="00352D6E">
        <w:rPr>
          <w:rFonts w:ascii="Arial" w:eastAsia="Times New Roman" w:hAnsi="Arial" w:cs="Arial"/>
          <w:lang w:eastAsia="en-GB" w:bidi="hi-IN"/>
        </w:rPr>
        <w:t>educing listing fees which favour larger manufacturers</w:t>
      </w:r>
    </w:p>
    <w:p w14:paraId="51788791" w14:textId="11E42B4C" w:rsidR="007D0B8A" w:rsidRPr="00352D6E" w:rsidRDefault="007D0B8A" w:rsidP="00352D6E">
      <w:pPr>
        <w:pStyle w:val="ListParagraph"/>
        <w:numPr>
          <w:ilvl w:val="0"/>
          <w:numId w:val="1"/>
        </w:numPr>
        <w:rPr>
          <w:rFonts w:ascii="Arial" w:eastAsia="Times New Roman" w:hAnsi="Arial" w:cs="Arial"/>
          <w:lang w:eastAsia="en-GB" w:bidi="hi-IN"/>
        </w:rPr>
      </w:pPr>
      <w:r w:rsidRPr="00352D6E">
        <w:rPr>
          <w:rFonts w:ascii="Arial" w:eastAsia="Times New Roman" w:hAnsi="Arial" w:cs="Arial"/>
          <w:lang w:eastAsia="en-GB" w:bidi="hi-IN"/>
        </w:rPr>
        <w:t>I</w:t>
      </w:r>
      <w:r w:rsidR="003061D0" w:rsidRPr="00352D6E">
        <w:rPr>
          <w:rFonts w:ascii="Arial" w:eastAsia="Times New Roman" w:hAnsi="Arial" w:cs="Arial"/>
          <w:lang w:eastAsia="en-GB" w:bidi="hi-IN"/>
        </w:rPr>
        <w:t xml:space="preserve">ncrease in consumer satisfaction </w:t>
      </w:r>
      <w:r w:rsidR="00352D6E" w:rsidRPr="00352D6E">
        <w:rPr>
          <w:rFonts w:ascii="Arial" w:eastAsia="Times New Roman" w:hAnsi="Arial" w:cs="Arial"/>
          <w:lang w:eastAsia="en-GB" w:bidi="hi-IN"/>
        </w:rPr>
        <w:t>due to category better meeting consumer demands and possibility of lower retail prices</w:t>
      </w:r>
      <w:r w:rsidR="003061D0" w:rsidRPr="00352D6E">
        <w:rPr>
          <w:rFonts w:ascii="Arial" w:eastAsia="Times New Roman" w:hAnsi="Arial" w:cs="Arial"/>
          <w:lang w:eastAsia="en-GB" w:bidi="hi-IN"/>
        </w:rPr>
        <w:t xml:space="preserve"> </w:t>
      </w:r>
    </w:p>
    <w:p w14:paraId="1C768769" w14:textId="59058DCD" w:rsidR="003061D0" w:rsidRPr="00352D6E" w:rsidRDefault="003061D0" w:rsidP="007D0B8A">
      <w:pPr>
        <w:pStyle w:val="ListParagraph"/>
        <w:numPr>
          <w:ilvl w:val="0"/>
          <w:numId w:val="1"/>
        </w:numPr>
        <w:rPr>
          <w:rFonts w:ascii="Arial" w:eastAsia="Times New Roman" w:hAnsi="Arial" w:cs="Arial"/>
          <w:lang w:eastAsia="en-GB" w:bidi="hi-IN"/>
        </w:rPr>
      </w:pPr>
      <w:r w:rsidRPr="00352D6E">
        <w:rPr>
          <w:rFonts w:ascii="Arial" w:eastAsia="Times New Roman" w:hAnsi="Arial" w:cs="Arial"/>
          <w:lang w:eastAsia="en-GB" w:bidi="hi-IN"/>
        </w:rPr>
        <w:t>The retailer</w:t>
      </w:r>
      <w:r w:rsidR="007D0B8A" w:rsidRPr="00352D6E">
        <w:rPr>
          <w:rFonts w:ascii="Arial" w:eastAsia="Times New Roman" w:hAnsi="Arial" w:cs="Arial"/>
          <w:lang w:eastAsia="en-GB" w:bidi="hi-IN"/>
        </w:rPr>
        <w:t xml:space="preserve"> can</w:t>
      </w:r>
      <w:r w:rsidRPr="00352D6E">
        <w:rPr>
          <w:rFonts w:ascii="Arial" w:eastAsia="Times New Roman" w:hAnsi="Arial" w:cs="Arial"/>
          <w:lang w:eastAsia="en-GB" w:bidi="hi-IN"/>
        </w:rPr>
        <w:t xml:space="preserve"> benefit from effective management of a category, without having to invest a significant amount of time and resources into the process</w:t>
      </w:r>
      <w:r w:rsidR="00352D6E" w:rsidRPr="00352D6E">
        <w:rPr>
          <w:rFonts w:ascii="Arial" w:eastAsia="Times New Roman" w:hAnsi="Arial" w:cs="Arial"/>
          <w:lang w:eastAsia="en-GB" w:bidi="hi-IN"/>
        </w:rPr>
        <w:t xml:space="preserve"> (FTC, 2001).</w:t>
      </w:r>
    </w:p>
    <w:p w14:paraId="2E3A6CE0" w14:textId="77777777" w:rsidR="00352D6E" w:rsidRPr="00352D6E" w:rsidRDefault="00352D6E" w:rsidP="003061D0">
      <w:pPr>
        <w:rPr>
          <w:rFonts w:ascii="Arial" w:eastAsia="Times New Roman" w:hAnsi="Arial" w:cs="Arial"/>
          <w:lang w:eastAsia="en-GB" w:bidi="hi-IN"/>
        </w:rPr>
      </w:pPr>
    </w:p>
    <w:p w14:paraId="73F324C3" w14:textId="3DE25096" w:rsidR="003061D0" w:rsidRPr="00352D6E" w:rsidRDefault="007D0B8A" w:rsidP="003061D0">
      <w:pPr>
        <w:rPr>
          <w:rFonts w:ascii="Arial" w:eastAsia="Times New Roman" w:hAnsi="Arial" w:cs="Arial"/>
          <w:lang w:eastAsia="en-GB" w:bidi="hi-IN"/>
        </w:rPr>
      </w:pPr>
      <w:r w:rsidRPr="00352D6E">
        <w:rPr>
          <w:rFonts w:ascii="Arial" w:eastAsia="Times New Roman" w:hAnsi="Arial" w:cs="Arial"/>
          <w:lang w:eastAsia="en-GB" w:bidi="hi-IN"/>
        </w:rPr>
        <w:t xml:space="preserve">However, there are many potential risks from category captainship implementation. This paper focuses on the possibility of </w:t>
      </w:r>
      <w:r w:rsidR="00A10D2E" w:rsidRPr="00352D6E">
        <w:rPr>
          <w:rFonts w:ascii="Arial" w:eastAsia="Times New Roman" w:hAnsi="Arial" w:cs="Arial"/>
          <w:lang w:eastAsia="en-GB" w:bidi="hi-IN"/>
        </w:rPr>
        <w:t xml:space="preserve">partial </w:t>
      </w:r>
      <w:r w:rsidRPr="00352D6E">
        <w:rPr>
          <w:rFonts w:ascii="Arial" w:eastAsia="Times New Roman" w:hAnsi="Arial" w:cs="Arial"/>
          <w:lang w:eastAsia="en-GB" w:bidi="hi-IN"/>
        </w:rPr>
        <w:t xml:space="preserve">competitive exclusion. </w:t>
      </w:r>
      <w:r w:rsidR="003061D0" w:rsidRPr="003061D0">
        <w:rPr>
          <w:rFonts w:ascii="Arial" w:eastAsia="Times New Roman" w:hAnsi="Arial" w:cs="Arial"/>
          <w:lang w:eastAsia="en-GB" w:bidi="hi-IN"/>
        </w:rPr>
        <w:t xml:space="preserve">As defined by </w:t>
      </w:r>
      <w:r w:rsidR="00352D6E" w:rsidRPr="00352D6E">
        <w:rPr>
          <w:rFonts w:ascii="Arial" w:eastAsia="Times New Roman" w:hAnsi="Arial" w:cs="Arial"/>
          <w:lang w:eastAsia="en-GB" w:bidi="hi-IN"/>
        </w:rPr>
        <w:t>Desrochers (2003)</w:t>
      </w:r>
      <w:r w:rsidR="003061D0" w:rsidRPr="003061D0">
        <w:rPr>
          <w:rFonts w:ascii="Arial" w:eastAsia="Times New Roman" w:hAnsi="Arial" w:cs="Arial"/>
          <w:lang w:eastAsia="en-GB" w:bidi="hi-IN"/>
        </w:rPr>
        <w:t xml:space="preserve"> competitive exclusion may occur when a category captain with sufficient market power uses its role and influence over the retailer in order to exclude other rival manufacturers in the category. </w:t>
      </w:r>
      <w:r w:rsidR="003061D0" w:rsidRPr="00352D6E">
        <w:rPr>
          <w:rFonts w:ascii="Arial" w:eastAsia="Times New Roman" w:hAnsi="Arial" w:cs="Arial"/>
          <w:lang w:eastAsia="en-GB" w:bidi="hi-IN"/>
        </w:rPr>
        <w:t xml:space="preserve">Under partial exclusion, the competing brand is </w:t>
      </w:r>
      <w:r w:rsidR="00A10D2E" w:rsidRPr="00352D6E">
        <w:rPr>
          <w:rFonts w:ascii="Arial" w:eastAsia="Times New Roman" w:hAnsi="Arial" w:cs="Arial"/>
          <w:lang w:eastAsia="en-GB" w:bidi="hi-IN"/>
        </w:rPr>
        <w:t xml:space="preserve">negatively </w:t>
      </w:r>
      <w:r w:rsidR="003061D0" w:rsidRPr="00352D6E">
        <w:rPr>
          <w:rFonts w:ascii="Arial" w:eastAsia="Times New Roman" w:hAnsi="Arial" w:cs="Arial"/>
          <w:lang w:eastAsia="en-GB" w:bidi="hi-IN"/>
        </w:rPr>
        <w:t>affected, like for example</w:t>
      </w:r>
      <w:r w:rsidR="00A10D2E" w:rsidRPr="00352D6E">
        <w:rPr>
          <w:rFonts w:ascii="Arial" w:eastAsia="Times New Roman" w:hAnsi="Arial" w:cs="Arial"/>
          <w:lang w:eastAsia="en-GB" w:bidi="hi-IN"/>
        </w:rPr>
        <w:t xml:space="preserve"> through</w:t>
      </w:r>
      <w:r w:rsidR="003061D0" w:rsidRPr="00352D6E">
        <w:rPr>
          <w:rFonts w:ascii="Arial" w:eastAsia="Times New Roman" w:hAnsi="Arial" w:cs="Arial"/>
          <w:lang w:eastAsia="en-GB" w:bidi="hi-IN"/>
        </w:rPr>
        <w:t xml:space="preserve"> a reduction in their profits.</w:t>
      </w:r>
    </w:p>
    <w:p w14:paraId="1A78832B" w14:textId="77777777" w:rsidR="00352D6E" w:rsidRPr="00352D6E" w:rsidRDefault="00352D6E" w:rsidP="003061D0">
      <w:pPr>
        <w:rPr>
          <w:rFonts w:ascii="Arial" w:eastAsia="Times New Roman" w:hAnsi="Arial" w:cs="Arial"/>
          <w:lang w:eastAsia="en-GB" w:bidi="hi-IN"/>
        </w:rPr>
      </w:pPr>
    </w:p>
    <w:p w14:paraId="79DC7BCA" w14:textId="4C728D3B" w:rsidR="003061D0" w:rsidRPr="00352D6E" w:rsidRDefault="003061D0" w:rsidP="003061D0">
      <w:pPr>
        <w:rPr>
          <w:rFonts w:ascii="Arial" w:eastAsia="Times New Roman" w:hAnsi="Arial" w:cs="Arial"/>
          <w:lang w:eastAsia="en-GB" w:bidi="hi-IN"/>
        </w:rPr>
      </w:pPr>
      <w:r w:rsidRPr="003061D0">
        <w:rPr>
          <w:rFonts w:ascii="Arial" w:eastAsia="Times New Roman" w:hAnsi="Arial" w:cs="Arial"/>
          <w:lang w:eastAsia="en-GB" w:bidi="hi-IN"/>
        </w:rPr>
        <w:t>This research makes several contributions to the literature. First, thus far the analytical CC literature has used models with a multiple manufacturer, single retailer setting (see</w:t>
      </w:r>
      <w:r w:rsidR="00352D6E" w:rsidRPr="00352D6E">
        <w:rPr>
          <w:rFonts w:ascii="Arial" w:eastAsia="Times New Roman" w:hAnsi="Arial" w:cs="Arial"/>
          <w:lang w:eastAsia="en-GB" w:bidi="hi-IN"/>
        </w:rPr>
        <w:t xml:space="preserve"> Kurtulus, 2011; Wang, 2003), </w:t>
      </w:r>
      <w:r w:rsidRPr="003061D0">
        <w:rPr>
          <w:rFonts w:ascii="Arial" w:eastAsia="Times New Roman" w:hAnsi="Arial" w:cs="Arial"/>
          <w:lang w:eastAsia="en-GB" w:bidi="hi-IN"/>
        </w:rPr>
        <w:t>which overlooks the impact of retail competition. Second, there has been a lot of discussion in regard to whether or not category captainship leads to competitive exclusion</w:t>
      </w:r>
      <w:r w:rsidR="004B2D6D" w:rsidRPr="00352D6E">
        <w:rPr>
          <w:rFonts w:ascii="Arial" w:eastAsia="Times New Roman" w:hAnsi="Arial" w:cs="Arial"/>
          <w:lang w:eastAsia="en-GB" w:bidi="hi-IN"/>
        </w:rPr>
        <w:t xml:space="preserve"> </w:t>
      </w:r>
      <w:r w:rsidRPr="003061D0">
        <w:rPr>
          <w:rFonts w:ascii="Arial" w:eastAsia="Times New Roman" w:hAnsi="Arial" w:cs="Arial"/>
          <w:lang w:eastAsia="en-GB" w:bidi="hi-IN"/>
        </w:rPr>
        <w:t xml:space="preserve">and research thus far is inconclusive. Thirdly, there is limited research on the impact of category captainship when the scope of category management is pricing decisions i.e. when a category captain is responsible for setting the retail prices at the retailer which it serves. Therefore, this </w:t>
      </w:r>
      <w:r w:rsidR="002C268E" w:rsidRPr="00352D6E">
        <w:rPr>
          <w:rFonts w:ascii="Arial" w:eastAsia="Times New Roman" w:hAnsi="Arial" w:cs="Arial"/>
          <w:lang w:eastAsia="en-GB" w:bidi="hi-IN"/>
        </w:rPr>
        <w:t>research</w:t>
      </w:r>
      <w:r w:rsidRPr="003061D0">
        <w:rPr>
          <w:rFonts w:ascii="Arial" w:eastAsia="Times New Roman" w:hAnsi="Arial" w:cs="Arial"/>
          <w:lang w:eastAsia="en-GB" w:bidi="hi-IN"/>
        </w:rPr>
        <w:t xml:space="preserve"> aims to contribute to the ongoing debate </w:t>
      </w:r>
      <w:r w:rsidR="00352D6E" w:rsidRPr="00352D6E">
        <w:rPr>
          <w:rFonts w:ascii="Arial" w:eastAsia="Times New Roman" w:hAnsi="Arial" w:cs="Arial"/>
          <w:lang w:eastAsia="en-GB" w:bidi="hi-IN"/>
        </w:rPr>
        <w:t>in regard to</w:t>
      </w:r>
      <w:r w:rsidRPr="003061D0">
        <w:rPr>
          <w:rFonts w:ascii="Arial" w:eastAsia="Times New Roman" w:hAnsi="Arial" w:cs="Arial"/>
          <w:lang w:eastAsia="en-GB" w:bidi="hi-IN"/>
        </w:rPr>
        <w:t xml:space="preserve"> category captainship and exclusion by using a model which uniquely incorporates both retail competition and endogenous prices. </w:t>
      </w:r>
    </w:p>
    <w:p w14:paraId="54694ADE" w14:textId="666A14B7" w:rsidR="00472E85" w:rsidRPr="00352D6E" w:rsidRDefault="00472E85" w:rsidP="003061D0">
      <w:pPr>
        <w:rPr>
          <w:rFonts w:ascii="Arial" w:eastAsia="Times New Roman" w:hAnsi="Arial" w:cs="Arial"/>
          <w:lang w:eastAsia="en-GB" w:bidi="hi-IN"/>
        </w:rPr>
      </w:pPr>
    </w:p>
    <w:p w14:paraId="0EA9AA2B" w14:textId="61A0FCC7" w:rsidR="00472E85" w:rsidRDefault="00472E85" w:rsidP="003061D0">
      <w:pPr>
        <w:rPr>
          <w:rFonts w:ascii="Arial" w:eastAsia="Times New Roman" w:hAnsi="Arial" w:cs="Arial"/>
          <w:lang w:eastAsia="en-GB" w:bidi="hi-IN"/>
        </w:rPr>
      </w:pPr>
      <w:r w:rsidRPr="00352D6E">
        <w:rPr>
          <w:rFonts w:ascii="Arial" w:eastAsia="Times New Roman" w:hAnsi="Arial" w:cs="Arial"/>
          <w:lang w:eastAsia="en-GB" w:bidi="hi-IN"/>
        </w:rPr>
        <w:t xml:space="preserve">The research uses game theoretical techniques to model several different category captainship structures in a market with two manufacturers and two retailers. By comparing the profits of all firms across each of these scenarios, this research finds that partial competitive exclusion of a manufacturer is a possibility when product level and retail level competition is sufficiently high. </w:t>
      </w:r>
      <w:r w:rsidR="000C373B" w:rsidRPr="00352D6E">
        <w:rPr>
          <w:rFonts w:ascii="Arial" w:eastAsia="Times New Roman" w:hAnsi="Arial" w:cs="Arial"/>
          <w:lang w:eastAsia="en-GB" w:bidi="hi-IN"/>
        </w:rPr>
        <w:t xml:space="preserve">Additionally, for sufficiently high </w:t>
      </w:r>
      <w:r w:rsidR="000C373B" w:rsidRPr="00352D6E">
        <w:rPr>
          <w:rFonts w:ascii="Arial" w:eastAsia="Times New Roman" w:hAnsi="Arial" w:cs="Arial"/>
          <w:lang w:eastAsia="en-GB" w:bidi="hi-IN"/>
        </w:rPr>
        <w:lastRenderedPageBreak/>
        <w:t xml:space="preserve">levels of product and retail level competition, retail prices increase relative to the benchmark demonstrating potential harm to consumer welfare. </w:t>
      </w:r>
    </w:p>
    <w:p w14:paraId="780E5128" w14:textId="584C56D4" w:rsidR="00352D6E" w:rsidRDefault="00352D6E" w:rsidP="003061D0">
      <w:pPr>
        <w:rPr>
          <w:rFonts w:ascii="Arial" w:eastAsia="Times New Roman" w:hAnsi="Arial" w:cs="Arial"/>
          <w:lang w:eastAsia="en-GB" w:bidi="hi-IN"/>
        </w:rPr>
      </w:pPr>
    </w:p>
    <w:p w14:paraId="03ABE10E" w14:textId="73E587FC" w:rsidR="00352D6E" w:rsidRPr="000C721A" w:rsidRDefault="00352D6E" w:rsidP="003061D0">
      <w:pPr>
        <w:rPr>
          <w:rFonts w:ascii="Arial" w:eastAsia="Times New Roman" w:hAnsi="Arial" w:cs="Arial"/>
          <w:b/>
          <w:bCs/>
          <w:lang w:eastAsia="en-GB" w:bidi="hi-IN"/>
        </w:rPr>
      </w:pPr>
    </w:p>
    <w:p w14:paraId="479ECDB3" w14:textId="76F4BB23" w:rsidR="00352D6E" w:rsidRPr="000C721A" w:rsidRDefault="00352D6E" w:rsidP="003061D0">
      <w:pPr>
        <w:rPr>
          <w:rFonts w:ascii="Arial" w:eastAsia="Times New Roman" w:hAnsi="Arial" w:cs="Arial"/>
          <w:b/>
          <w:bCs/>
          <w:lang w:eastAsia="en-GB" w:bidi="hi-IN"/>
        </w:rPr>
      </w:pPr>
      <w:r w:rsidRPr="000C721A">
        <w:rPr>
          <w:rFonts w:ascii="Arial" w:eastAsia="Times New Roman" w:hAnsi="Arial" w:cs="Arial"/>
          <w:b/>
          <w:bCs/>
          <w:lang w:eastAsia="en-GB" w:bidi="hi-IN"/>
        </w:rPr>
        <w:t>Reference List</w:t>
      </w:r>
      <w:r w:rsidR="000C721A">
        <w:rPr>
          <w:rFonts w:ascii="Arial" w:eastAsia="Times New Roman" w:hAnsi="Arial" w:cs="Arial"/>
          <w:b/>
          <w:bCs/>
          <w:lang w:eastAsia="en-GB" w:bidi="hi-IN"/>
        </w:rPr>
        <w:t>:</w:t>
      </w:r>
    </w:p>
    <w:p w14:paraId="5A121828" w14:textId="2735029F" w:rsidR="00352D6E" w:rsidRDefault="00352D6E" w:rsidP="00352D6E">
      <w:pPr>
        <w:pStyle w:val="NormalWeb"/>
      </w:pPr>
      <w:r>
        <w:rPr>
          <w:rFonts w:ascii="SFRM1000" w:hAnsi="SFRM1000"/>
          <w:sz w:val="20"/>
          <w:szCs w:val="20"/>
        </w:rPr>
        <w:t xml:space="preserve">Desrochers, Debra M., Gregory T. Gundlach, and Albert A. Foer (2003a). “Analysis of Antitrust Challenges to Category Captain Arrangements”. In: </w:t>
      </w:r>
      <w:r>
        <w:rPr>
          <w:rFonts w:ascii="SFTI1000" w:hAnsi="SFTI1000"/>
          <w:sz w:val="20"/>
          <w:szCs w:val="20"/>
        </w:rPr>
        <w:t xml:space="preserve">Journal of Public Policy and Marketing </w:t>
      </w:r>
      <w:r>
        <w:rPr>
          <w:rFonts w:ascii="SFRM1000" w:hAnsi="SFRM1000"/>
          <w:sz w:val="20"/>
          <w:szCs w:val="20"/>
        </w:rPr>
        <w:t xml:space="preserve">22.2, pp. 201–215. </w:t>
      </w:r>
      <w:r>
        <w:rPr>
          <w:rFonts w:ascii="SFCC1000" w:hAnsi="SFCC1000"/>
          <w:sz w:val="20"/>
          <w:szCs w:val="20"/>
        </w:rPr>
        <w:t>issn</w:t>
      </w:r>
      <w:r>
        <w:rPr>
          <w:rFonts w:ascii="SFRM1000" w:hAnsi="SFRM1000"/>
          <w:sz w:val="20"/>
          <w:szCs w:val="20"/>
        </w:rPr>
        <w:t xml:space="preserve">: 15477207. </w:t>
      </w:r>
      <w:r>
        <w:rPr>
          <w:rFonts w:ascii="SFCC1000" w:hAnsi="SFCC1000"/>
          <w:sz w:val="20"/>
          <w:szCs w:val="20"/>
        </w:rPr>
        <w:t>doi</w:t>
      </w:r>
      <w:r>
        <w:rPr>
          <w:rFonts w:ascii="SFRM1000" w:hAnsi="SFRM1000"/>
          <w:sz w:val="20"/>
          <w:szCs w:val="20"/>
        </w:rPr>
        <w:t xml:space="preserve">: </w:t>
      </w:r>
      <w:r>
        <w:rPr>
          <w:rFonts w:ascii="SFTT1000" w:hAnsi="SFTT1000"/>
          <w:sz w:val="20"/>
          <w:szCs w:val="20"/>
        </w:rPr>
        <w:t>10.1509/jppm.22.2.201.17635</w:t>
      </w:r>
      <w:r>
        <w:rPr>
          <w:rFonts w:ascii="SFRM1000" w:hAnsi="SFRM1000"/>
          <w:sz w:val="20"/>
          <w:szCs w:val="20"/>
        </w:rPr>
        <w:t xml:space="preserve">. </w:t>
      </w:r>
    </w:p>
    <w:p w14:paraId="1DBD6FE7" w14:textId="77777777" w:rsidR="00352D6E" w:rsidRDefault="00352D6E" w:rsidP="00352D6E">
      <w:pPr>
        <w:pStyle w:val="NormalWeb"/>
      </w:pPr>
      <w:r>
        <w:rPr>
          <w:rFonts w:ascii="SFRM1000" w:hAnsi="SFRM1000"/>
          <w:sz w:val="20"/>
          <w:szCs w:val="20"/>
        </w:rPr>
        <w:t xml:space="preserve">European Commission (2005). </w:t>
      </w:r>
      <w:r>
        <w:rPr>
          <w:rFonts w:ascii="SFTI1000" w:hAnsi="SFTI1000"/>
          <w:sz w:val="20"/>
          <w:szCs w:val="20"/>
        </w:rPr>
        <w:t>P&amp;G Gillette EC CASE</w:t>
      </w:r>
      <w:r>
        <w:rPr>
          <w:rFonts w:ascii="SFRM1000" w:hAnsi="SFRM1000"/>
          <w:sz w:val="20"/>
          <w:szCs w:val="20"/>
        </w:rPr>
        <w:t>.</w:t>
      </w:r>
    </w:p>
    <w:p w14:paraId="7BA88456" w14:textId="0C4D63D4" w:rsidR="00352D6E" w:rsidRDefault="00352D6E" w:rsidP="00352D6E">
      <w:pPr>
        <w:pStyle w:val="NormalWeb"/>
      </w:pPr>
      <w:r>
        <w:rPr>
          <w:rFonts w:ascii="SFRM1000" w:hAnsi="SFRM1000"/>
          <w:sz w:val="20"/>
          <w:szCs w:val="20"/>
        </w:rPr>
        <w:t xml:space="preserve">FTC (2001). </w:t>
      </w:r>
      <w:r>
        <w:rPr>
          <w:rFonts w:ascii="SFTI1000" w:hAnsi="SFTI1000"/>
          <w:sz w:val="20"/>
          <w:szCs w:val="20"/>
        </w:rPr>
        <w:t>Report on the Federal Trade Commission Workshop on Slotting Allowances and Other Marketing Practices in the Grocery Industry</w:t>
      </w:r>
      <w:r>
        <w:rPr>
          <w:rFonts w:ascii="SFRM1000" w:hAnsi="SFRM1000"/>
          <w:sz w:val="20"/>
          <w:szCs w:val="20"/>
        </w:rPr>
        <w:t>. Tech. rep.</w:t>
      </w:r>
    </w:p>
    <w:p w14:paraId="08B8E1E8" w14:textId="67BC1539" w:rsidR="00352D6E" w:rsidRDefault="00352D6E" w:rsidP="00352D6E">
      <w:pPr>
        <w:pStyle w:val="NormalWeb"/>
      </w:pPr>
      <w:r>
        <w:rPr>
          <w:rFonts w:ascii="SFRM1000" w:hAnsi="SFRM1000"/>
          <w:sz w:val="20"/>
          <w:szCs w:val="20"/>
        </w:rPr>
        <w:t xml:space="preserve">Kurtulus, Mümin and L. Beril Toktay (2011). “Category captainship vs. retailer category management under limited retail shelf space”. In: </w:t>
      </w:r>
      <w:r>
        <w:rPr>
          <w:rFonts w:ascii="SFTI1000" w:hAnsi="SFTI1000"/>
          <w:sz w:val="20"/>
          <w:szCs w:val="20"/>
        </w:rPr>
        <w:t>Production and</w:t>
      </w:r>
      <w:r>
        <w:t xml:space="preserve"> </w:t>
      </w:r>
      <w:r>
        <w:rPr>
          <w:rFonts w:ascii="SFTI1000" w:hAnsi="SFTI1000"/>
          <w:sz w:val="20"/>
          <w:szCs w:val="20"/>
        </w:rPr>
        <w:t xml:space="preserve">Operations Management </w:t>
      </w:r>
      <w:r>
        <w:rPr>
          <w:rFonts w:ascii="SFRM1000" w:hAnsi="SFRM1000"/>
          <w:sz w:val="20"/>
          <w:szCs w:val="20"/>
        </w:rPr>
        <w:t xml:space="preserve">20.1, pp. 47–56. </w:t>
      </w:r>
      <w:r>
        <w:rPr>
          <w:rFonts w:ascii="SFCC1000" w:hAnsi="SFCC1000"/>
          <w:sz w:val="20"/>
          <w:szCs w:val="20"/>
        </w:rPr>
        <w:t>issn</w:t>
      </w:r>
      <w:r>
        <w:rPr>
          <w:rFonts w:ascii="SFRM1000" w:hAnsi="SFRM1000"/>
          <w:sz w:val="20"/>
          <w:szCs w:val="20"/>
        </w:rPr>
        <w:t xml:space="preserve">: 10591478. </w:t>
      </w:r>
      <w:r>
        <w:rPr>
          <w:rFonts w:ascii="SFCC1000" w:hAnsi="SFCC1000"/>
          <w:sz w:val="20"/>
          <w:szCs w:val="20"/>
        </w:rPr>
        <w:t>doi</w:t>
      </w:r>
      <w:r>
        <w:rPr>
          <w:rFonts w:ascii="SFRM1000" w:hAnsi="SFRM1000"/>
          <w:sz w:val="20"/>
          <w:szCs w:val="20"/>
        </w:rPr>
        <w:t xml:space="preserve">: </w:t>
      </w:r>
      <w:r>
        <w:rPr>
          <w:rFonts w:ascii="SFTT1000" w:hAnsi="SFTT1000"/>
          <w:sz w:val="20"/>
          <w:szCs w:val="20"/>
        </w:rPr>
        <w:t>10.1111/j. 1937-5956.2010.01141.x</w:t>
      </w:r>
      <w:r>
        <w:rPr>
          <w:rFonts w:ascii="SFRM1000" w:hAnsi="SFRM1000"/>
          <w:sz w:val="20"/>
          <w:szCs w:val="20"/>
        </w:rPr>
        <w:t>.</w:t>
      </w:r>
    </w:p>
    <w:p w14:paraId="4081D2B4" w14:textId="19A7499E" w:rsidR="00352D6E" w:rsidRDefault="00352D6E" w:rsidP="00352D6E">
      <w:pPr>
        <w:pStyle w:val="NormalWeb"/>
      </w:pPr>
      <w:r>
        <w:rPr>
          <w:rFonts w:ascii="SFRM1000" w:hAnsi="SFRM1000"/>
          <w:sz w:val="20"/>
          <w:szCs w:val="20"/>
        </w:rPr>
        <w:t xml:space="preserve">Wang, Yusong, Jagmohan S Raju, and Sanjay K Dhar (2003). “The Choice and Consequences of Using a Category Captain for Category Management”. In: </w:t>
      </w:r>
      <w:r>
        <w:rPr>
          <w:rFonts w:ascii="SFTI1000" w:hAnsi="SFTI1000"/>
          <w:sz w:val="20"/>
          <w:szCs w:val="20"/>
        </w:rPr>
        <w:t>Working paper. Marketing Department, Wharton, University of Pennsylvania</w:t>
      </w:r>
      <w:r>
        <w:rPr>
          <w:rFonts w:ascii="SFRM1000" w:hAnsi="SFRM1000"/>
          <w:sz w:val="20"/>
          <w:szCs w:val="20"/>
        </w:rPr>
        <w:t xml:space="preserve">. </w:t>
      </w:r>
    </w:p>
    <w:p w14:paraId="0EA51E2D" w14:textId="77777777" w:rsidR="00AF6A47" w:rsidRPr="00352D6E" w:rsidRDefault="00AF6A47">
      <w:pPr>
        <w:rPr>
          <w:rFonts w:ascii="Arial" w:hAnsi="Arial" w:cs="Arial"/>
        </w:rPr>
      </w:pPr>
    </w:p>
    <w:sectPr w:rsidR="00AF6A47" w:rsidRPr="00352D6E" w:rsidSect="00D467CE">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FRM1000">
    <w:altName w:val="Cambria"/>
    <w:charset w:val="00"/>
    <w:family w:val="roman"/>
    <w:pitch w:val="default"/>
  </w:font>
  <w:font w:name="SFTI1000">
    <w:altName w:val="Cambria"/>
    <w:charset w:val="00"/>
    <w:family w:val="roman"/>
    <w:pitch w:val="default"/>
  </w:font>
  <w:font w:name="SFCC1000">
    <w:altName w:val="Cambria"/>
    <w:charset w:val="00"/>
    <w:family w:val="roman"/>
    <w:pitch w:val="default"/>
  </w:font>
  <w:font w:name="SFTT1000">
    <w:altName w:val="Cambria"/>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13134A6"/>
    <w:multiLevelType w:val="hybridMultilevel"/>
    <w:tmpl w:val="1554B9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787A"/>
    <w:rsid w:val="000A2F1F"/>
    <w:rsid w:val="000C373B"/>
    <w:rsid w:val="000C721A"/>
    <w:rsid w:val="000C7715"/>
    <w:rsid w:val="002C268E"/>
    <w:rsid w:val="003061D0"/>
    <w:rsid w:val="00352D6E"/>
    <w:rsid w:val="0036787A"/>
    <w:rsid w:val="00434523"/>
    <w:rsid w:val="00472E85"/>
    <w:rsid w:val="004B2D6D"/>
    <w:rsid w:val="007C044D"/>
    <w:rsid w:val="007D0B8A"/>
    <w:rsid w:val="00A10D2E"/>
    <w:rsid w:val="00AF6A47"/>
    <w:rsid w:val="00B32F3E"/>
    <w:rsid w:val="00D467CE"/>
    <w:rsid w:val="00EF4927"/>
  </w:rsids>
  <m:mathPr>
    <m:mathFont m:val="Cambria Math"/>
    <m:brkBin m:val="before"/>
    <m:brkBinSub m:val="--"/>
    <m:smallFrac m:val="0"/>
    <m:dispDef/>
    <m:lMargin m:val="0"/>
    <m:rMargin m:val="0"/>
    <m:defJc m:val="centerGroup"/>
    <m:wrapIndent m:val="1440"/>
    <m:intLim m:val="subSup"/>
    <m:naryLim m:val="undOvr"/>
  </m:mathPr>
  <w:themeFontLang w:val="en-GB"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2EB269"/>
  <w15:chartTrackingRefBased/>
  <w15:docId w15:val="{488830A2-5A62-F044-88BD-588A47EAD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061D0"/>
    <w:rPr>
      <w:color w:val="0000FF"/>
      <w:u w:val="single"/>
    </w:rPr>
  </w:style>
  <w:style w:type="paragraph" w:styleId="ListParagraph">
    <w:name w:val="List Paragraph"/>
    <w:basedOn w:val="Normal"/>
    <w:uiPriority w:val="34"/>
    <w:qFormat/>
    <w:rsid w:val="007D0B8A"/>
    <w:pPr>
      <w:ind w:left="720"/>
      <w:contextualSpacing/>
    </w:pPr>
  </w:style>
  <w:style w:type="paragraph" w:styleId="NormalWeb">
    <w:name w:val="Normal (Web)"/>
    <w:basedOn w:val="Normal"/>
    <w:uiPriority w:val="99"/>
    <w:semiHidden/>
    <w:unhideWhenUsed/>
    <w:rsid w:val="00352D6E"/>
    <w:pPr>
      <w:spacing w:before="100" w:beforeAutospacing="1" w:after="100" w:afterAutospacing="1"/>
    </w:pPr>
    <w:rPr>
      <w:rFonts w:ascii="Times New Roman" w:eastAsia="Times New Roman" w:hAnsi="Times New Roman" w:cs="Times New Roman"/>
      <w:lang w:eastAsia="en-GB"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371356">
      <w:bodyDiv w:val="1"/>
      <w:marLeft w:val="0"/>
      <w:marRight w:val="0"/>
      <w:marTop w:val="0"/>
      <w:marBottom w:val="0"/>
      <w:divBdr>
        <w:top w:val="none" w:sz="0" w:space="0" w:color="auto"/>
        <w:left w:val="none" w:sz="0" w:space="0" w:color="auto"/>
        <w:bottom w:val="none" w:sz="0" w:space="0" w:color="auto"/>
        <w:right w:val="none" w:sz="0" w:space="0" w:color="auto"/>
      </w:divBdr>
      <w:divsChild>
        <w:div w:id="1177384948">
          <w:marLeft w:val="0"/>
          <w:marRight w:val="0"/>
          <w:marTop w:val="0"/>
          <w:marBottom w:val="0"/>
          <w:divBdr>
            <w:top w:val="none" w:sz="0" w:space="0" w:color="auto"/>
            <w:left w:val="none" w:sz="0" w:space="0" w:color="auto"/>
            <w:bottom w:val="none" w:sz="0" w:space="0" w:color="auto"/>
            <w:right w:val="none" w:sz="0" w:space="0" w:color="auto"/>
          </w:divBdr>
          <w:divsChild>
            <w:div w:id="360322051">
              <w:marLeft w:val="0"/>
              <w:marRight w:val="0"/>
              <w:marTop w:val="0"/>
              <w:marBottom w:val="0"/>
              <w:divBdr>
                <w:top w:val="none" w:sz="0" w:space="0" w:color="auto"/>
                <w:left w:val="none" w:sz="0" w:space="0" w:color="auto"/>
                <w:bottom w:val="none" w:sz="0" w:space="0" w:color="auto"/>
                <w:right w:val="none" w:sz="0" w:space="0" w:color="auto"/>
              </w:divBdr>
              <w:divsChild>
                <w:div w:id="341669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685939">
      <w:bodyDiv w:val="1"/>
      <w:marLeft w:val="0"/>
      <w:marRight w:val="0"/>
      <w:marTop w:val="0"/>
      <w:marBottom w:val="0"/>
      <w:divBdr>
        <w:top w:val="none" w:sz="0" w:space="0" w:color="auto"/>
        <w:left w:val="none" w:sz="0" w:space="0" w:color="auto"/>
        <w:bottom w:val="none" w:sz="0" w:space="0" w:color="auto"/>
        <w:right w:val="none" w:sz="0" w:space="0" w:color="auto"/>
      </w:divBdr>
      <w:divsChild>
        <w:div w:id="1380085961">
          <w:marLeft w:val="0"/>
          <w:marRight w:val="0"/>
          <w:marTop w:val="0"/>
          <w:marBottom w:val="240"/>
          <w:divBdr>
            <w:top w:val="none" w:sz="0" w:space="0" w:color="auto"/>
            <w:left w:val="none" w:sz="0" w:space="0" w:color="auto"/>
            <w:bottom w:val="none" w:sz="0" w:space="0" w:color="auto"/>
            <w:right w:val="none" w:sz="0" w:space="0" w:color="auto"/>
          </w:divBdr>
        </w:div>
      </w:divsChild>
    </w:div>
    <w:div w:id="145823370">
      <w:bodyDiv w:val="1"/>
      <w:marLeft w:val="0"/>
      <w:marRight w:val="0"/>
      <w:marTop w:val="0"/>
      <w:marBottom w:val="0"/>
      <w:divBdr>
        <w:top w:val="none" w:sz="0" w:space="0" w:color="auto"/>
        <w:left w:val="none" w:sz="0" w:space="0" w:color="auto"/>
        <w:bottom w:val="none" w:sz="0" w:space="0" w:color="auto"/>
        <w:right w:val="none" w:sz="0" w:space="0" w:color="auto"/>
      </w:divBdr>
      <w:divsChild>
        <w:div w:id="1152259847">
          <w:marLeft w:val="0"/>
          <w:marRight w:val="0"/>
          <w:marTop w:val="0"/>
          <w:marBottom w:val="0"/>
          <w:divBdr>
            <w:top w:val="none" w:sz="0" w:space="0" w:color="auto"/>
            <w:left w:val="none" w:sz="0" w:space="0" w:color="auto"/>
            <w:bottom w:val="none" w:sz="0" w:space="0" w:color="auto"/>
            <w:right w:val="none" w:sz="0" w:space="0" w:color="auto"/>
          </w:divBdr>
          <w:divsChild>
            <w:div w:id="663045033">
              <w:marLeft w:val="0"/>
              <w:marRight w:val="0"/>
              <w:marTop w:val="0"/>
              <w:marBottom w:val="0"/>
              <w:divBdr>
                <w:top w:val="none" w:sz="0" w:space="0" w:color="auto"/>
                <w:left w:val="none" w:sz="0" w:space="0" w:color="auto"/>
                <w:bottom w:val="none" w:sz="0" w:space="0" w:color="auto"/>
                <w:right w:val="none" w:sz="0" w:space="0" w:color="auto"/>
              </w:divBdr>
              <w:divsChild>
                <w:div w:id="446893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6635715">
      <w:bodyDiv w:val="1"/>
      <w:marLeft w:val="0"/>
      <w:marRight w:val="0"/>
      <w:marTop w:val="0"/>
      <w:marBottom w:val="0"/>
      <w:divBdr>
        <w:top w:val="none" w:sz="0" w:space="0" w:color="auto"/>
        <w:left w:val="none" w:sz="0" w:space="0" w:color="auto"/>
        <w:bottom w:val="none" w:sz="0" w:space="0" w:color="auto"/>
        <w:right w:val="none" w:sz="0" w:space="0" w:color="auto"/>
      </w:divBdr>
      <w:divsChild>
        <w:div w:id="777218994">
          <w:marLeft w:val="0"/>
          <w:marRight w:val="0"/>
          <w:marTop w:val="0"/>
          <w:marBottom w:val="240"/>
          <w:divBdr>
            <w:top w:val="none" w:sz="0" w:space="0" w:color="auto"/>
            <w:left w:val="none" w:sz="0" w:space="0" w:color="auto"/>
            <w:bottom w:val="none" w:sz="0" w:space="0" w:color="auto"/>
            <w:right w:val="none" w:sz="0" w:space="0" w:color="auto"/>
          </w:divBdr>
        </w:div>
      </w:divsChild>
    </w:div>
    <w:div w:id="808985054">
      <w:bodyDiv w:val="1"/>
      <w:marLeft w:val="0"/>
      <w:marRight w:val="0"/>
      <w:marTop w:val="0"/>
      <w:marBottom w:val="0"/>
      <w:divBdr>
        <w:top w:val="none" w:sz="0" w:space="0" w:color="auto"/>
        <w:left w:val="none" w:sz="0" w:space="0" w:color="auto"/>
        <w:bottom w:val="none" w:sz="0" w:space="0" w:color="auto"/>
        <w:right w:val="none" w:sz="0" w:space="0" w:color="auto"/>
      </w:divBdr>
      <w:divsChild>
        <w:div w:id="1914776150">
          <w:marLeft w:val="0"/>
          <w:marRight w:val="0"/>
          <w:marTop w:val="0"/>
          <w:marBottom w:val="0"/>
          <w:divBdr>
            <w:top w:val="none" w:sz="0" w:space="0" w:color="auto"/>
            <w:left w:val="none" w:sz="0" w:space="0" w:color="auto"/>
            <w:bottom w:val="none" w:sz="0" w:space="0" w:color="auto"/>
            <w:right w:val="none" w:sz="0" w:space="0" w:color="auto"/>
          </w:divBdr>
          <w:divsChild>
            <w:div w:id="1589541095">
              <w:marLeft w:val="0"/>
              <w:marRight w:val="0"/>
              <w:marTop w:val="0"/>
              <w:marBottom w:val="0"/>
              <w:divBdr>
                <w:top w:val="none" w:sz="0" w:space="0" w:color="auto"/>
                <w:left w:val="none" w:sz="0" w:space="0" w:color="auto"/>
                <w:bottom w:val="none" w:sz="0" w:space="0" w:color="auto"/>
                <w:right w:val="none" w:sz="0" w:space="0" w:color="auto"/>
              </w:divBdr>
              <w:divsChild>
                <w:div w:id="1185483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400660">
      <w:bodyDiv w:val="1"/>
      <w:marLeft w:val="0"/>
      <w:marRight w:val="0"/>
      <w:marTop w:val="0"/>
      <w:marBottom w:val="0"/>
      <w:divBdr>
        <w:top w:val="none" w:sz="0" w:space="0" w:color="auto"/>
        <w:left w:val="none" w:sz="0" w:space="0" w:color="auto"/>
        <w:bottom w:val="none" w:sz="0" w:space="0" w:color="auto"/>
        <w:right w:val="none" w:sz="0" w:space="0" w:color="auto"/>
      </w:divBdr>
      <w:divsChild>
        <w:div w:id="180703606">
          <w:marLeft w:val="0"/>
          <w:marRight w:val="0"/>
          <w:marTop w:val="0"/>
          <w:marBottom w:val="240"/>
          <w:divBdr>
            <w:top w:val="none" w:sz="0" w:space="0" w:color="auto"/>
            <w:left w:val="none" w:sz="0" w:space="0" w:color="auto"/>
            <w:bottom w:val="none" w:sz="0" w:space="0" w:color="auto"/>
            <w:right w:val="none" w:sz="0" w:space="0" w:color="auto"/>
          </w:divBdr>
        </w:div>
      </w:divsChild>
    </w:div>
    <w:div w:id="971639283">
      <w:bodyDiv w:val="1"/>
      <w:marLeft w:val="0"/>
      <w:marRight w:val="0"/>
      <w:marTop w:val="0"/>
      <w:marBottom w:val="0"/>
      <w:divBdr>
        <w:top w:val="none" w:sz="0" w:space="0" w:color="auto"/>
        <w:left w:val="none" w:sz="0" w:space="0" w:color="auto"/>
        <w:bottom w:val="none" w:sz="0" w:space="0" w:color="auto"/>
        <w:right w:val="none" w:sz="0" w:space="0" w:color="auto"/>
      </w:divBdr>
      <w:divsChild>
        <w:div w:id="2132552401">
          <w:marLeft w:val="0"/>
          <w:marRight w:val="0"/>
          <w:marTop w:val="0"/>
          <w:marBottom w:val="240"/>
          <w:divBdr>
            <w:top w:val="none" w:sz="0" w:space="0" w:color="auto"/>
            <w:left w:val="none" w:sz="0" w:space="0" w:color="auto"/>
            <w:bottom w:val="none" w:sz="0" w:space="0" w:color="auto"/>
            <w:right w:val="none" w:sz="0" w:space="0" w:color="auto"/>
          </w:divBdr>
        </w:div>
      </w:divsChild>
    </w:div>
    <w:div w:id="998071544">
      <w:bodyDiv w:val="1"/>
      <w:marLeft w:val="0"/>
      <w:marRight w:val="0"/>
      <w:marTop w:val="0"/>
      <w:marBottom w:val="0"/>
      <w:divBdr>
        <w:top w:val="none" w:sz="0" w:space="0" w:color="auto"/>
        <w:left w:val="none" w:sz="0" w:space="0" w:color="auto"/>
        <w:bottom w:val="none" w:sz="0" w:space="0" w:color="auto"/>
        <w:right w:val="none" w:sz="0" w:space="0" w:color="auto"/>
      </w:divBdr>
      <w:divsChild>
        <w:div w:id="677266905">
          <w:marLeft w:val="0"/>
          <w:marRight w:val="0"/>
          <w:marTop w:val="0"/>
          <w:marBottom w:val="240"/>
          <w:divBdr>
            <w:top w:val="none" w:sz="0" w:space="0" w:color="auto"/>
            <w:left w:val="none" w:sz="0" w:space="0" w:color="auto"/>
            <w:bottom w:val="none" w:sz="0" w:space="0" w:color="auto"/>
            <w:right w:val="none" w:sz="0" w:space="0" w:color="auto"/>
          </w:divBdr>
        </w:div>
      </w:divsChild>
    </w:div>
    <w:div w:id="1035274238">
      <w:bodyDiv w:val="1"/>
      <w:marLeft w:val="0"/>
      <w:marRight w:val="0"/>
      <w:marTop w:val="0"/>
      <w:marBottom w:val="0"/>
      <w:divBdr>
        <w:top w:val="none" w:sz="0" w:space="0" w:color="auto"/>
        <w:left w:val="none" w:sz="0" w:space="0" w:color="auto"/>
        <w:bottom w:val="none" w:sz="0" w:space="0" w:color="auto"/>
        <w:right w:val="none" w:sz="0" w:space="0" w:color="auto"/>
      </w:divBdr>
      <w:divsChild>
        <w:div w:id="856776625">
          <w:marLeft w:val="0"/>
          <w:marRight w:val="0"/>
          <w:marTop w:val="0"/>
          <w:marBottom w:val="240"/>
          <w:divBdr>
            <w:top w:val="none" w:sz="0" w:space="0" w:color="auto"/>
            <w:left w:val="none" w:sz="0" w:space="0" w:color="auto"/>
            <w:bottom w:val="none" w:sz="0" w:space="0" w:color="auto"/>
            <w:right w:val="none" w:sz="0" w:space="0" w:color="auto"/>
          </w:divBdr>
        </w:div>
      </w:divsChild>
    </w:div>
    <w:div w:id="1071539245">
      <w:bodyDiv w:val="1"/>
      <w:marLeft w:val="0"/>
      <w:marRight w:val="0"/>
      <w:marTop w:val="0"/>
      <w:marBottom w:val="0"/>
      <w:divBdr>
        <w:top w:val="none" w:sz="0" w:space="0" w:color="auto"/>
        <w:left w:val="none" w:sz="0" w:space="0" w:color="auto"/>
        <w:bottom w:val="none" w:sz="0" w:space="0" w:color="auto"/>
        <w:right w:val="none" w:sz="0" w:space="0" w:color="auto"/>
      </w:divBdr>
      <w:divsChild>
        <w:div w:id="732120459">
          <w:marLeft w:val="0"/>
          <w:marRight w:val="0"/>
          <w:marTop w:val="0"/>
          <w:marBottom w:val="0"/>
          <w:divBdr>
            <w:top w:val="none" w:sz="0" w:space="0" w:color="auto"/>
            <w:left w:val="none" w:sz="0" w:space="0" w:color="auto"/>
            <w:bottom w:val="none" w:sz="0" w:space="0" w:color="auto"/>
            <w:right w:val="none" w:sz="0" w:space="0" w:color="auto"/>
          </w:divBdr>
          <w:divsChild>
            <w:div w:id="965503571">
              <w:marLeft w:val="0"/>
              <w:marRight w:val="0"/>
              <w:marTop w:val="0"/>
              <w:marBottom w:val="0"/>
              <w:divBdr>
                <w:top w:val="none" w:sz="0" w:space="0" w:color="auto"/>
                <w:left w:val="none" w:sz="0" w:space="0" w:color="auto"/>
                <w:bottom w:val="none" w:sz="0" w:space="0" w:color="auto"/>
                <w:right w:val="none" w:sz="0" w:space="0" w:color="auto"/>
              </w:divBdr>
              <w:divsChild>
                <w:div w:id="1720351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193360">
          <w:marLeft w:val="0"/>
          <w:marRight w:val="0"/>
          <w:marTop w:val="0"/>
          <w:marBottom w:val="0"/>
          <w:divBdr>
            <w:top w:val="none" w:sz="0" w:space="0" w:color="auto"/>
            <w:left w:val="none" w:sz="0" w:space="0" w:color="auto"/>
            <w:bottom w:val="none" w:sz="0" w:space="0" w:color="auto"/>
            <w:right w:val="none" w:sz="0" w:space="0" w:color="auto"/>
          </w:divBdr>
          <w:divsChild>
            <w:div w:id="2070879985">
              <w:marLeft w:val="0"/>
              <w:marRight w:val="0"/>
              <w:marTop w:val="0"/>
              <w:marBottom w:val="0"/>
              <w:divBdr>
                <w:top w:val="none" w:sz="0" w:space="0" w:color="auto"/>
                <w:left w:val="none" w:sz="0" w:space="0" w:color="auto"/>
                <w:bottom w:val="none" w:sz="0" w:space="0" w:color="auto"/>
                <w:right w:val="none" w:sz="0" w:space="0" w:color="auto"/>
              </w:divBdr>
              <w:divsChild>
                <w:div w:id="1928885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8965680">
      <w:bodyDiv w:val="1"/>
      <w:marLeft w:val="0"/>
      <w:marRight w:val="0"/>
      <w:marTop w:val="0"/>
      <w:marBottom w:val="0"/>
      <w:divBdr>
        <w:top w:val="none" w:sz="0" w:space="0" w:color="auto"/>
        <w:left w:val="none" w:sz="0" w:space="0" w:color="auto"/>
        <w:bottom w:val="none" w:sz="0" w:space="0" w:color="auto"/>
        <w:right w:val="none" w:sz="0" w:space="0" w:color="auto"/>
      </w:divBdr>
      <w:divsChild>
        <w:div w:id="1392967862">
          <w:marLeft w:val="0"/>
          <w:marRight w:val="0"/>
          <w:marTop w:val="0"/>
          <w:marBottom w:val="0"/>
          <w:divBdr>
            <w:top w:val="none" w:sz="0" w:space="0" w:color="auto"/>
            <w:left w:val="none" w:sz="0" w:space="0" w:color="auto"/>
            <w:bottom w:val="none" w:sz="0" w:space="0" w:color="auto"/>
            <w:right w:val="none" w:sz="0" w:space="0" w:color="auto"/>
          </w:divBdr>
          <w:divsChild>
            <w:div w:id="1866944596">
              <w:marLeft w:val="0"/>
              <w:marRight w:val="0"/>
              <w:marTop w:val="0"/>
              <w:marBottom w:val="0"/>
              <w:divBdr>
                <w:top w:val="none" w:sz="0" w:space="0" w:color="auto"/>
                <w:left w:val="none" w:sz="0" w:space="0" w:color="auto"/>
                <w:bottom w:val="none" w:sz="0" w:space="0" w:color="auto"/>
                <w:right w:val="none" w:sz="0" w:space="0" w:color="auto"/>
              </w:divBdr>
              <w:divsChild>
                <w:div w:id="1388408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9193867">
      <w:bodyDiv w:val="1"/>
      <w:marLeft w:val="0"/>
      <w:marRight w:val="0"/>
      <w:marTop w:val="0"/>
      <w:marBottom w:val="0"/>
      <w:divBdr>
        <w:top w:val="none" w:sz="0" w:space="0" w:color="auto"/>
        <w:left w:val="none" w:sz="0" w:space="0" w:color="auto"/>
        <w:bottom w:val="none" w:sz="0" w:space="0" w:color="auto"/>
        <w:right w:val="none" w:sz="0" w:space="0" w:color="auto"/>
      </w:divBdr>
      <w:divsChild>
        <w:div w:id="1654259854">
          <w:marLeft w:val="0"/>
          <w:marRight w:val="0"/>
          <w:marTop w:val="0"/>
          <w:marBottom w:val="240"/>
          <w:divBdr>
            <w:top w:val="none" w:sz="0" w:space="0" w:color="auto"/>
            <w:left w:val="none" w:sz="0" w:space="0" w:color="auto"/>
            <w:bottom w:val="none" w:sz="0" w:space="0" w:color="auto"/>
            <w:right w:val="none" w:sz="0" w:space="0" w:color="auto"/>
          </w:divBdr>
        </w:div>
      </w:divsChild>
    </w:div>
    <w:div w:id="1241406547">
      <w:bodyDiv w:val="1"/>
      <w:marLeft w:val="0"/>
      <w:marRight w:val="0"/>
      <w:marTop w:val="0"/>
      <w:marBottom w:val="0"/>
      <w:divBdr>
        <w:top w:val="none" w:sz="0" w:space="0" w:color="auto"/>
        <w:left w:val="none" w:sz="0" w:space="0" w:color="auto"/>
        <w:bottom w:val="none" w:sz="0" w:space="0" w:color="auto"/>
        <w:right w:val="none" w:sz="0" w:space="0" w:color="auto"/>
      </w:divBdr>
      <w:divsChild>
        <w:div w:id="1006251118">
          <w:marLeft w:val="0"/>
          <w:marRight w:val="0"/>
          <w:marTop w:val="0"/>
          <w:marBottom w:val="240"/>
          <w:divBdr>
            <w:top w:val="none" w:sz="0" w:space="0" w:color="auto"/>
            <w:left w:val="none" w:sz="0" w:space="0" w:color="auto"/>
            <w:bottom w:val="none" w:sz="0" w:space="0" w:color="auto"/>
            <w:right w:val="none" w:sz="0" w:space="0" w:color="auto"/>
          </w:divBdr>
        </w:div>
        <w:div w:id="2131052601">
          <w:marLeft w:val="0"/>
          <w:marRight w:val="0"/>
          <w:marTop w:val="0"/>
          <w:marBottom w:val="240"/>
          <w:divBdr>
            <w:top w:val="none" w:sz="0" w:space="0" w:color="auto"/>
            <w:left w:val="none" w:sz="0" w:space="0" w:color="auto"/>
            <w:bottom w:val="none" w:sz="0" w:space="0" w:color="auto"/>
            <w:right w:val="none" w:sz="0" w:space="0" w:color="auto"/>
          </w:divBdr>
        </w:div>
        <w:div w:id="1649820446">
          <w:marLeft w:val="0"/>
          <w:marRight w:val="0"/>
          <w:marTop w:val="0"/>
          <w:marBottom w:val="240"/>
          <w:divBdr>
            <w:top w:val="none" w:sz="0" w:space="0" w:color="auto"/>
            <w:left w:val="none" w:sz="0" w:space="0" w:color="auto"/>
            <w:bottom w:val="none" w:sz="0" w:space="0" w:color="auto"/>
            <w:right w:val="none" w:sz="0" w:space="0" w:color="auto"/>
          </w:divBdr>
        </w:div>
        <w:div w:id="282688">
          <w:marLeft w:val="0"/>
          <w:marRight w:val="0"/>
          <w:marTop w:val="0"/>
          <w:marBottom w:val="240"/>
          <w:divBdr>
            <w:top w:val="none" w:sz="0" w:space="0" w:color="auto"/>
            <w:left w:val="none" w:sz="0" w:space="0" w:color="auto"/>
            <w:bottom w:val="none" w:sz="0" w:space="0" w:color="auto"/>
            <w:right w:val="none" w:sz="0" w:space="0" w:color="auto"/>
          </w:divBdr>
        </w:div>
      </w:divsChild>
    </w:div>
    <w:div w:id="1585604148">
      <w:bodyDiv w:val="1"/>
      <w:marLeft w:val="0"/>
      <w:marRight w:val="0"/>
      <w:marTop w:val="0"/>
      <w:marBottom w:val="0"/>
      <w:divBdr>
        <w:top w:val="none" w:sz="0" w:space="0" w:color="auto"/>
        <w:left w:val="none" w:sz="0" w:space="0" w:color="auto"/>
        <w:bottom w:val="none" w:sz="0" w:space="0" w:color="auto"/>
        <w:right w:val="none" w:sz="0" w:space="0" w:color="auto"/>
      </w:divBdr>
      <w:divsChild>
        <w:div w:id="1849982126">
          <w:marLeft w:val="0"/>
          <w:marRight w:val="0"/>
          <w:marTop w:val="0"/>
          <w:marBottom w:val="24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641</Words>
  <Characters>3658</Characters>
  <Application>Microsoft Office Word</Application>
  <DocSecurity>4</DocSecurity>
  <Lines>30</Lines>
  <Paragraphs>8</Paragraphs>
  <ScaleCrop>false</ScaleCrop>
  <Company/>
  <LinksUpToDate>false</LinksUpToDate>
  <CharactersWithSpaces>4291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Patel, Karishma (Research Student)</dc:creator>
  <cp:keywords/>
  <dc:description/>
  <cp:lastModifiedBy>Daniel Munday</cp:lastModifiedBy>
  <cp:revision>2</cp:revision>
  <dcterms:created xsi:type="dcterms:W3CDTF">2021-06-08T15:10:00Z</dcterms:created>
  <dcterms:modified xsi:type="dcterms:W3CDTF">2021-06-08T15:10:00Z</dcterms:modified>
</cp:coreProperties>
</file>