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2D97" w:rsidRPr="00F400C6" w:rsidRDefault="00AF5D65" w:rsidP="00642D97">
      <w:pPr>
        <w:jc w:val="center"/>
        <w:rPr>
          <w:rFonts w:ascii="Arial" w:hAnsi="Arial" w:cs="Arial"/>
        </w:rPr>
      </w:pPr>
      <w:r>
        <w:rPr>
          <w:rFonts w:ascii="Arial" w:hAnsi="Arial" w:cs="Arial"/>
          <w:b/>
          <w:noProof/>
          <w:sz w:val="28"/>
          <w:szCs w:val="28"/>
          <w:lang w:eastAsia="en-GB"/>
        </w:rPr>
        <w:drawing>
          <wp:anchor distT="0" distB="0" distL="114300" distR="114300" simplePos="0" relativeHeight="251659264" behindDoc="0" locked="0" layoutInCell="1" allowOverlap="1" wp14:anchorId="0132FF80" wp14:editId="1C807864">
            <wp:simplePos x="0" y="0"/>
            <wp:positionH relativeFrom="column">
              <wp:posOffset>4732655</wp:posOffset>
            </wp:positionH>
            <wp:positionV relativeFrom="paragraph">
              <wp:posOffset>-36195</wp:posOffset>
            </wp:positionV>
            <wp:extent cx="1583055" cy="539750"/>
            <wp:effectExtent l="0" t="0" r="0" b="0"/>
            <wp:wrapSquare wrapText="bothSides"/>
            <wp:docPr id="7" name="Picture 7"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arwick"/>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83055" cy="539750"/>
                    </a:xfrm>
                    <a:prstGeom prst="rect">
                      <a:avLst/>
                    </a:prstGeom>
                    <a:noFill/>
                    <a:ln>
                      <a:noFill/>
                    </a:ln>
                  </pic:spPr>
                </pic:pic>
              </a:graphicData>
            </a:graphic>
            <wp14:sizeRelH relativeFrom="page">
              <wp14:pctWidth>0</wp14:pctWidth>
            </wp14:sizeRelH>
            <wp14:sizeRelV relativeFrom="page">
              <wp14:pctHeight>0</wp14:pctHeight>
            </wp14:sizeRelV>
          </wp:anchor>
        </w:drawing>
      </w:r>
      <w:r w:rsidR="003131A8">
        <w:rPr>
          <w:rFonts w:ascii="Arial" w:hAnsi="Arial" w:cs="Arial"/>
          <w:b/>
          <w:noProof/>
          <w:sz w:val="28"/>
          <w:szCs w:val="28"/>
          <w:lang w:eastAsia="en-GB"/>
        </w:rPr>
        <w:drawing>
          <wp:anchor distT="0" distB="0" distL="114300" distR="114300" simplePos="0" relativeHeight="251660288" behindDoc="1" locked="0" layoutInCell="1" allowOverlap="1" wp14:anchorId="11669227" wp14:editId="27018AB5">
            <wp:simplePos x="0" y="0"/>
            <wp:positionH relativeFrom="column">
              <wp:posOffset>26035</wp:posOffset>
            </wp:positionH>
            <wp:positionV relativeFrom="paragraph">
              <wp:posOffset>-33655</wp:posOffset>
            </wp:positionV>
            <wp:extent cx="577215" cy="577215"/>
            <wp:effectExtent l="0" t="0" r="0" b="0"/>
            <wp:wrapThrough wrapText="bothSides">
              <wp:wrapPolygon edited="0">
                <wp:start x="0" y="0"/>
                <wp:lineTo x="0" y="20673"/>
                <wp:lineTo x="20673" y="20673"/>
                <wp:lineTo x="20673" y="0"/>
                <wp:lineTo x="0" y="0"/>
              </wp:wrapPolygon>
            </wp:wrapThrough>
            <wp:docPr id="6" name="Picture 6" descr="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RC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7215" cy="577215"/>
                    </a:xfrm>
                    <a:prstGeom prst="rect">
                      <a:avLst/>
                    </a:prstGeom>
                    <a:noFill/>
                    <a:ln>
                      <a:noFill/>
                    </a:ln>
                  </pic:spPr>
                </pic:pic>
              </a:graphicData>
            </a:graphic>
            <wp14:sizeRelH relativeFrom="page">
              <wp14:pctWidth>0</wp14:pctWidth>
            </wp14:sizeRelH>
            <wp14:sizeRelV relativeFrom="page">
              <wp14:pctHeight>0</wp14:pctHeight>
            </wp14:sizeRelV>
          </wp:anchor>
        </w:drawing>
      </w:r>
      <w:r w:rsidR="00642D97">
        <w:t xml:space="preserve">              </w:t>
      </w:r>
      <w:r w:rsidR="003131A8">
        <w:t xml:space="preserve">  </w:t>
      </w:r>
      <w:r>
        <w:t xml:space="preserve">        </w:t>
      </w:r>
      <w:r w:rsidR="00642D97">
        <w:t xml:space="preserve"> </w:t>
      </w:r>
      <w:r w:rsidR="00642D97">
        <w:rPr>
          <w:noProof/>
          <w:color w:val="0000FF"/>
          <w:lang w:eastAsia="en-GB"/>
        </w:rPr>
        <w:drawing>
          <wp:inline distT="0" distB="0" distL="0" distR="0" wp14:anchorId="3CB1B94B" wp14:editId="091E535B">
            <wp:extent cx="342900" cy="495300"/>
            <wp:effectExtent l="0" t="0" r="0" b="0"/>
            <wp:docPr id="5" name="Picture 5" descr="3e4888b19f87401a5398e2ec64ea7be7">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e4888b19f87401a5398e2ec64ea7be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2900" cy="495300"/>
                    </a:xfrm>
                    <a:prstGeom prst="rect">
                      <a:avLst/>
                    </a:prstGeom>
                    <a:noFill/>
                    <a:ln>
                      <a:noFill/>
                    </a:ln>
                  </pic:spPr>
                </pic:pic>
              </a:graphicData>
            </a:graphic>
          </wp:inline>
        </w:drawing>
      </w:r>
      <w:r w:rsidR="00642D97">
        <w:t xml:space="preserve">  </w:t>
      </w:r>
      <w:r w:rsidR="00642D97">
        <w:rPr>
          <w:sz w:val="28"/>
          <w:szCs w:val="28"/>
        </w:rPr>
        <w:t>WLHS</w:t>
      </w:r>
      <w:r w:rsidR="00642D97">
        <w:rPr>
          <w:rFonts w:ascii="Arial" w:hAnsi="Arial" w:cs="Arial"/>
          <w:b/>
          <w:color w:val="FF0000"/>
          <w:sz w:val="28"/>
          <w:szCs w:val="28"/>
        </w:rPr>
        <w:t xml:space="preserve">             </w:t>
      </w:r>
      <w:r w:rsidR="00642D97">
        <w:rPr>
          <w:rFonts w:ascii="Arial" w:hAnsi="Arial" w:cs="Arial"/>
          <w:b/>
          <w:color w:val="FF0000"/>
          <w:sz w:val="28"/>
          <w:szCs w:val="28"/>
        </w:rPr>
        <w:br/>
        <w:t xml:space="preserve">  </w:t>
      </w:r>
    </w:p>
    <w:p w:rsidR="00642D97" w:rsidRPr="00F400C6" w:rsidRDefault="00642D97" w:rsidP="00642D97">
      <w:pPr>
        <w:pBdr>
          <w:top w:val="threeDEngrave" w:sz="24" w:space="1" w:color="auto"/>
          <w:left w:val="threeDEngrave" w:sz="24" w:space="4" w:color="auto"/>
          <w:bottom w:val="threeDEmboss" w:sz="24" w:space="1" w:color="auto"/>
          <w:right w:val="threeDEmboss" w:sz="24" w:space="4" w:color="auto"/>
        </w:pBdr>
        <w:jc w:val="center"/>
        <w:rPr>
          <w:rFonts w:ascii="Arial" w:hAnsi="Arial" w:cs="Arial"/>
          <w:sz w:val="16"/>
        </w:rPr>
      </w:pPr>
    </w:p>
    <w:p w:rsidR="00642D97" w:rsidRPr="00F400C6" w:rsidRDefault="00642D97" w:rsidP="00642D97">
      <w:pPr>
        <w:pBdr>
          <w:top w:val="threeDEngrave" w:sz="24" w:space="1" w:color="auto"/>
          <w:left w:val="threeDEngrave" w:sz="24" w:space="4" w:color="auto"/>
          <w:bottom w:val="threeDEmboss" w:sz="24" w:space="1" w:color="auto"/>
          <w:right w:val="threeDEmboss" w:sz="24" w:space="4" w:color="auto"/>
        </w:pBdr>
        <w:jc w:val="center"/>
        <w:rPr>
          <w:rFonts w:ascii="Arial" w:hAnsi="Arial" w:cs="Arial"/>
          <w:b/>
          <w:szCs w:val="24"/>
        </w:rPr>
      </w:pPr>
      <w:r w:rsidRPr="00F400C6">
        <w:rPr>
          <w:rFonts w:ascii="Arial" w:hAnsi="Arial" w:cs="Arial"/>
          <w:b/>
          <w:szCs w:val="24"/>
        </w:rPr>
        <w:t>Thirteenth Warwick Symposium on Parish Research</w:t>
      </w:r>
    </w:p>
    <w:p w:rsidR="00642D97" w:rsidRDefault="00642D97" w:rsidP="00642D97">
      <w:pPr>
        <w:pBdr>
          <w:top w:val="threeDEngrave" w:sz="24" w:space="1" w:color="auto"/>
          <w:left w:val="threeDEngrave" w:sz="24" w:space="4" w:color="auto"/>
          <w:bottom w:val="threeDEmboss" w:sz="24" w:space="1" w:color="auto"/>
          <w:right w:val="threeDEmboss" w:sz="24" w:space="4" w:color="auto"/>
        </w:pBdr>
        <w:jc w:val="center"/>
        <w:rPr>
          <w:rFonts w:ascii="Arial" w:hAnsi="Arial" w:cs="Arial"/>
          <w:b/>
          <w:sz w:val="28"/>
          <w:szCs w:val="28"/>
        </w:rPr>
      </w:pPr>
    </w:p>
    <w:p w:rsidR="00642D97" w:rsidRPr="00F400C6" w:rsidRDefault="00642D97" w:rsidP="00642D97">
      <w:pPr>
        <w:pBdr>
          <w:top w:val="threeDEngrave" w:sz="24" w:space="1" w:color="auto"/>
          <w:left w:val="threeDEngrave" w:sz="24" w:space="4" w:color="auto"/>
          <w:bottom w:val="threeDEmboss" w:sz="24" w:space="1" w:color="auto"/>
          <w:right w:val="threeDEmboss" w:sz="24" w:space="4" w:color="auto"/>
        </w:pBdr>
        <w:jc w:val="center"/>
        <w:rPr>
          <w:rFonts w:ascii="Arial" w:hAnsi="Arial" w:cs="Arial"/>
          <w:b/>
          <w:sz w:val="36"/>
          <w:szCs w:val="36"/>
        </w:rPr>
      </w:pPr>
      <w:r w:rsidRPr="00F400C6">
        <w:rPr>
          <w:rFonts w:ascii="Arial" w:hAnsi="Arial" w:cs="Arial"/>
          <w:b/>
          <w:sz w:val="36"/>
          <w:szCs w:val="36"/>
        </w:rPr>
        <w:t>Warwickshire Parishes: History and Legac</w:t>
      </w:r>
      <w:r w:rsidR="003B0ADA">
        <w:rPr>
          <w:rFonts w:ascii="Arial" w:hAnsi="Arial" w:cs="Arial"/>
          <w:b/>
          <w:sz w:val="36"/>
          <w:szCs w:val="36"/>
        </w:rPr>
        <w:t>ies</w:t>
      </w:r>
    </w:p>
    <w:p w:rsidR="00642D97" w:rsidRPr="00F400C6" w:rsidRDefault="00642D97" w:rsidP="00642D97">
      <w:pPr>
        <w:pBdr>
          <w:top w:val="threeDEngrave" w:sz="24" w:space="1" w:color="auto"/>
          <w:left w:val="threeDEngrave" w:sz="24" w:space="4" w:color="auto"/>
          <w:bottom w:val="threeDEmboss" w:sz="24" w:space="1" w:color="auto"/>
          <w:right w:val="threeDEmboss" w:sz="24" w:space="4" w:color="auto"/>
        </w:pBdr>
        <w:jc w:val="center"/>
        <w:rPr>
          <w:rFonts w:ascii="Arial" w:hAnsi="Arial" w:cs="Arial"/>
          <w:szCs w:val="24"/>
        </w:rPr>
      </w:pPr>
    </w:p>
    <w:p w:rsidR="00642D97" w:rsidRDefault="00642D97" w:rsidP="00642D97">
      <w:pPr>
        <w:pBdr>
          <w:top w:val="threeDEngrave" w:sz="24" w:space="1" w:color="auto"/>
          <w:left w:val="threeDEngrave" w:sz="24" w:space="4" w:color="auto"/>
          <w:bottom w:val="threeDEmboss" w:sz="24" w:space="1" w:color="auto"/>
          <w:right w:val="threeDEmboss" w:sz="24" w:space="4" w:color="auto"/>
        </w:pBdr>
        <w:jc w:val="center"/>
        <w:rPr>
          <w:b/>
          <w:sz w:val="28"/>
          <w:szCs w:val="28"/>
        </w:rPr>
      </w:pPr>
      <w:r w:rsidRPr="00F400C6">
        <w:rPr>
          <w:rFonts w:ascii="Arial" w:hAnsi="Arial" w:cs="Arial"/>
          <w:szCs w:val="24"/>
        </w:rPr>
        <w:t>Saturday 16 May 201</w:t>
      </w:r>
      <w:r>
        <w:rPr>
          <w:rFonts w:ascii="Arial" w:hAnsi="Arial" w:cs="Arial"/>
          <w:szCs w:val="24"/>
        </w:rPr>
        <w:t>5</w:t>
      </w:r>
      <w:r w:rsidRPr="00F400C6">
        <w:rPr>
          <w:rFonts w:ascii="Arial" w:hAnsi="Arial" w:cs="Arial"/>
          <w:szCs w:val="24"/>
        </w:rPr>
        <w:t xml:space="preserve">, University of Warwick, </w:t>
      </w:r>
      <w:r w:rsidRPr="00F400C6">
        <w:rPr>
          <w:rFonts w:ascii="Arial" w:hAnsi="Arial" w:cs="Arial"/>
          <w:i/>
          <w:szCs w:val="24"/>
        </w:rPr>
        <w:t>c</w:t>
      </w:r>
      <w:r>
        <w:rPr>
          <w:rFonts w:ascii="Arial" w:hAnsi="Arial" w:cs="Arial"/>
          <w:szCs w:val="24"/>
        </w:rPr>
        <w:t>. 11am-6pm</w:t>
      </w:r>
    </w:p>
    <w:p w:rsidR="00642D97" w:rsidRDefault="00642D97">
      <w:pPr>
        <w:rPr>
          <w:b/>
          <w:sz w:val="28"/>
          <w:szCs w:val="28"/>
        </w:rPr>
      </w:pPr>
    </w:p>
    <w:p w:rsidR="00642D97" w:rsidRDefault="00642D97" w:rsidP="00642D97">
      <w:pPr>
        <w:jc w:val="center"/>
        <w:rPr>
          <w:b/>
          <w:sz w:val="36"/>
          <w:szCs w:val="36"/>
        </w:rPr>
      </w:pPr>
      <w:r w:rsidRPr="00642D97">
        <w:rPr>
          <w:b/>
          <w:sz w:val="36"/>
          <w:szCs w:val="36"/>
        </w:rPr>
        <w:t>ABSTRACTS</w:t>
      </w:r>
    </w:p>
    <w:p w:rsidR="004C6DB9" w:rsidRPr="004C6DB9" w:rsidRDefault="004C6DB9" w:rsidP="00642D97">
      <w:pPr>
        <w:jc w:val="center"/>
        <w:rPr>
          <w:szCs w:val="24"/>
        </w:rPr>
      </w:pPr>
      <w:r w:rsidRPr="004C6DB9">
        <w:rPr>
          <w:szCs w:val="24"/>
        </w:rPr>
        <w:t>(</w:t>
      </w:r>
      <w:proofErr w:type="gramStart"/>
      <w:r w:rsidRPr="004C6DB9">
        <w:rPr>
          <w:szCs w:val="24"/>
        </w:rPr>
        <w:t>alphabetically</w:t>
      </w:r>
      <w:proofErr w:type="gramEnd"/>
      <w:r w:rsidRPr="004C6DB9">
        <w:rPr>
          <w:szCs w:val="24"/>
        </w:rPr>
        <w:t xml:space="preserve"> by surname)</w:t>
      </w:r>
    </w:p>
    <w:p w:rsidR="007C467D" w:rsidRPr="003131A8" w:rsidRDefault="00642D97" w:rsidP="007C467D">
      <w:pPr>
        <w:rPr>
          <w:rFonts w:eastAsia="Times New Roman" w:cs="Times New Roman"/>
          <w:b/>
          <w:color w:val="000000"/>
          <w:sz w:val="28"/>
          <w:szCs w:val="28"/>
          <w:lang w:eastAsia="en-GB"/>
        </w:rPr>
      </w:pPr>
      <w:r>
        <w:rPr>
          <w:b/>
          <w:sz w:val="28"/>
          <w:szCs w:val="28"/>
        </w:rPr>
        <w:br/>
      </w:r>
      <w:r w:rsidR="007C467D" w:rsidRPr="003131A8">
        <w:rPr>
          <w:rFonts w:eastAsia="Times New Roman" w:cs="Times New Roman"/>
          <w:b/>
          <w:color w:val="000000"/>
          <w:sz w:val="28"/>
          <w:szCs w:val="28"/>
          <w:lang w:eastAsia="en-GB"/>
        </w:rPr>
        <w:t xml:space="preserve">Medieval Churches of Norwich Research Project: </w:t>
      </w:r>
    </w:p>
    <w:p w:rsidR="007C467D" w:rsidRPr="003131A8" w:rsidRDefault="007C467D" w:rsidP="007C467D">
      <w:pPr>
        <w:shd w:val="clear" w:color="auto" w:fill="FFFFFF"/>
        <w:rPr>
          <w:rFonts w:eastAsia="Times New Roman" w:cs="Times New Roman"/>
          <w:b/>
          <w:color w:val="000000"/>
          <w:sz w:val="28"/>
          <w:szCs w:val="28"/>
          <w:lang w:eastAsia="en-GB"/>
        </w:rPr>
      </w:pPr>
      <w:r w:rsidRPr="003131A8">
        <w:rPr>
          <w:rFonts w:eastAsia="Times New Roman" w:cs="Times New Roman"/>
          <w:b/>
          <w:color w:val="000000"/>
          <w:sz w:val="28"/>
          <w:szCs w:val="28"/>
          <w:lang w:eastAsia="en-GB"/>
        </w:rPr>
        <w:t>City, Community and Architecture</w:t>
      </w:r>
    </w:p>
    <w:p w:rsidR="007C467D" w:rsidRPr="001432DE" w:rsidRDefault="007C467D" w:rsidP="007C467D">
      <w:pPr>
        <w:shd w:val="clear" w:color="auto" w:fill="FFFFFF"/>
        <w:rPr>
          <w:rFonts w:eastAsia="Times New Roman" w:cs="Times New Roman"/>
          <w:color w:val="000000"/>
          <w:szCs w:val="24"/>
          <w:lang w:eastAsia="en-GB"/>
        </w:rPr>
      </w:pPr>
    </w:p>
    <w:p w:rsidR="007C467D" w:rsidRPr="0048163C" w:rsidRDefault="007C467D" w:rsidP="007C467D">
      <w:pPr>
        <w:shd w:val="clear" w:color="auto" w:fill="FFFFFF"/>
        <w:rPr>
          <w:rFonts w:eastAsia="Times New Roman" w:cs="Times New Roman"/>
          <w:i/>
          <w:color w:val="000000"/>
          <w:szCs w:val="24"/>
          <w:lang w:eastAsia="en-GB"/>
        </w:rPr>
      </w:pPr>
      <w:r w:rsidRPr="0048163C">
        <w:rPr>
          <w:rFonts w:eastAsia="Times New Roman" w:cs="Times New Roman"/>
          <w:i/>
          <w:color w:val="000000"/>
          <w:szCs w:val="24"/>
          <w:lang w:eastAsia="en-GB"/>
        </w:rPr>
        <w:t xml:space="preserve">Kristi Bain, </w:t>
      </w:r>
      <w:r w:rsidR="0048163C" w:rsidRPr="0048163C">
        <w:rPr>
          <w:i/>
          <w:szCs w:val="24"/>
        </w:rPr>
        <w:t>University of East Anglia</w:t>
      </w:r>
      <w:r w:rsidR="0048163C" w:rsidRPr="0048163C">
        <w:rPr>
          <w:szCs w:val="24"/>
        </w:rPr>
        <w:t xml:space="preserve"> </w:t>
      </w:r>
      <w:r w:rsidR="0048163C" w:rsidRPr="0048163C">
        <w:rPr>
          <w:i/>
          <w:szCs w:val="24"/>
        </w:rPr>
        <w:t>Norwich</w:t>
      </w:r>
    </w:p>
    <w:p w:rsidR="007C467D" w:rsidRDefault="007C467D" w:rsidP="007C467D">
      <w:pPr>
        <w:shd w:val="clear" w:color="auto" w:fill="FFFFFF"/>
        <w:rPr>
          <w:rFonts w:eastAsia="Times New Roman" w:cs="Times New Roman"/>
          <w:color w:val="000000"/>
          <w:szCs w:val="24"/>
          <w:lang w:eastAsia="en-GB"/>
        </w:rPr>
      </w:pPr>
    </w:p>
    <w:p w:rsidR="007C467D" w:rsidRDefault="007C467D" w:rsidP="007C467D">
      <w:pPr>
        <w:rPr>
          <w:rFonts w:cs="Times New Roman"/>
          <w:b/>
          <w:sz w:val="28"/>
          <w:szCs w:val="28"/>
          <w:lang w:val="en-US"/>
        </w:rPr>
      </w:pPr>
      <w:r w:rsidRPr="001432DE">
        <w:rPr>
          <w:rFonts w:eastAsia="Times New Roman" w:cs="Times New Roman"/>
          <w:color w:val="000000"/>
          <w:szCs w:val="24"/>
          <w:lang w:eastAsia="en-GB"/>
        </w:rPr>
        <w:t xml:space="preserve">57 parish churches are known to have stood within the walls of medieval Norwich. Despite depredations, notably in the sixteenth century and World War II, 31 of them remain standing—the greatest concentration of medieval urban churches north of the Alps. Not only are these medieval churches significant for their architectural quality and the incredible medieval furnishings and objects held within, but also for their inextricable relationship with the physical, social, and cultural character of the city. The city’s ruined and lost churches play an important role in this project as well, offering further insights into Norwich’s architectural development. Norwich’s churches are nationally renowned, but no overarching study has been attempted since Francis </w:t>
      </w:r>
      <w:proofErr w:type="spellStart"/>
      <w:r w:rsidRPr="001432DE">
        <w:rPr>
          <w:rFonts w:eastAsia="Times New Roman" w:cs="Times New Roman"/>
          <w:color w:val="000000"/>
          <w:szCs w:val="24"/>
          <w:lang w:eastAsia="en-GB"/>
        </w:rPr>
        <w:t>Blomefield’s</w:t>
      </w:r>
      <w:proofErr w:type="spellEnd"/>
      <w:r w:rsidRPr="001432DE">
        <w:rPr>
          <w:rFonts w:eastAsia="Times New Roman" w:cs="Times New Roman"/>
          <w:color w:val="000000"/>
          <w:szCs w:val="24"/>
          <w:lang w:eastAsia="en-GB"/>
        </w:rPr>
        <w:t xml:space="preserve"> seminal work published in the 1740s. The only other attempt at a detailed survey of Norwich Churches came from Alan Carter in the 1970s, but the work was left unfinished. This project picks up where others have left off, filling in the gaps whilst offering innovative architectural, art </w:t>
      </w:r>
      <w:proofErr w:type="gramStart"/>
      <w:r w:rsidRPr="001432DE">
        <w:rPr>
          <w:rFonts w:eastAsia="Times New Roman" w:cs="Times New Roman"/>
          <w:color w:val="000000"/>
          <w:szCs w:val="24"/>
          <w:lang w:eastAsia="en-GB"/>
        </w:rPr>
        <w:t>historical,</w:t>
      </w:r>
      <w:proofErr w:type="gramEnd"/>
      <w:r w:rsidRPr="001432DE">
        <w:rPr>
          <w:rFonts w:eastAsia="Times New Roman" w:cs="Times New Roman"/>
          <w:color w:val="000000"/>
          <w:szCs w:val="24"/>
          <w:lang w:eastAsia="en-GB"/>
        </w:rPr>
        <w:t xml:space="preserve"> and archaeological perspectives. Ultimately, this project will reveal the symbiotic relationship between city, community, and architecture, by which people and places have shaped each other since the early </w:t>
      </w:r>
      <w:proofErr w:type="gramStart"/>
      <w:r w:rsidRPr="001432DE">
        <w:rPr>
          <w:rFonts w:eastAsia="Times New Roman" w:cs="Times New Roman"/>
          <w:color w:val="000000"/>
          <w:szCs w:val="24"/>
          <w:lang w:eastAsia="en-GB"/>
        </w:rPr>
        <w:t>Middle</w:t>
      </w:r>
      <w:proofErr w:type="gramEnd"/>
      <w:r w:rsidRPr="001432DE">
        <w:rPr>
          <w:rFonts w:eastAsia="Times New Roman" w:cs="Times New Roman"/>
          <w:color w:val="000000"/>
          <w:szCs w:val="24"/>
          <w:lang w:eastAsia="en-GB"/>
        </w:rPr>
        <w:t xml:space="preserve"> Ages. By focusing on Norwich’s medieval church buildings, their furnishings and imagery, we can better understand the city’s architectural and spiritual landscape. More broadly, this project provides a paradigm for exploring and analysing the artistic, cultural, and social importance of medieval parish churches in England and beyond.</w:t>
      </w:r>
    </w:p>
    <w:p w:rsidR="004C6DB9" w:rsidRPr="006F3ABD" w:rsidRDefault="004C6DB9" w:rsidP="004C6DB9">
      <w:pPr>
        <w:rPr>
          <w:rFonts w:cs="Times New Roman"/>
          <w:b/>
          <w:sz w:val="28"/>
          <w:szCs w:val="28"/>
          <w:lang w:val="en-US"/>
        </w:rPr>
      </w:pPr>
      <w:r>
        <w:rPr>
          <w:rFonts w:cs="Times New Roman"/>
          <w:b/>
          <w:sz w:val="28"/>
          <w:szCs w:val="28"/>
          <w:lang w:val="en-US"/>
        </w:rPr>
        <w:br/>
      </w:r>
      <w:r w:rsidRPr="006F3ABD">
        <w:rPr>
          <w:rFonts w:cs="Times New Roman"/>
          <w:b/>
          <w:sz w:val="28"/>
          <w:szCs w:val="28"/>
          <w:lang w:val="en-US"/>
        </w:rPr>
        <w:t>‘Church Memorial Tablets: Reflections of Secular Power? Memorials to Catholics in Warwickshire Parish Churches’</w:t>
      </w:r>
    </w:p>
    <w:p w:rsidR="004C6DB9" w:rsidRPr="006F3ABD" w:rsidRDefault="004C6DB9" w:rsidP="004C6DB9">
      <w:pPr>
        <w:rPr>
          <w:rStyle w:val="Emphasis"/>
          <w:rFonts w:cs="Times New Roman"/>
          <w:szCs w:val="24"/>
          <w:lang w:val="en-US"/>
        </w:rPr>
      </w:pPr>
    </w:p>
    <w:p w:rsidR="004C6DB9" w:rsidRPr="006F3ABD" w:rsidRDefault="004C6DB9" w:rsidP="004C6DB9">
      <w:pPr>
        <w:rPr>
          <w:rFonts w:cs="Times New Roman"/>
          <w:i/>
          <w:szCs w:val="24"/>
          <w:lang w:val="en-US"/>
        </w:rPr>
      </w:pPr>
      <w:r w:rsidRPr="006F3ABD">
        <w:rPr>
          <w:rStyle w:val="Emphasis"/>
          <w:rFonts w:cs="Times New Roman"/>
          <w:szCs w:val="24"/>
          <w:lang w:val="en-US"/>
        </w:rPr>
        <w:t>Ruth Barbour</w:t>
      </w:r>
      <w:r w:rsidRPr="006F3ABD">
        <w:rPr>
          <w:rFonts w:cs="Times New Roman"/>
          <w:szCs w:val="24"/>
          <w:lang w:val="en-US"/>
        </w:rPr>
        <w:t>,</w:t>
      </w:r>
      <w:r w:rsidRPr="006F3ABD">
        <w:rPr>
          <w:rFonts w:cs="Times New Roman"/>
          <w:i/>
          <w:szCs w:val="24"/>
          <w:lang w:val="en-US"/>
        </w:rPr>
        <w:t xml:space="preserve"> Warwick / WLHS</w:t>
      </w:r>
      <w:r w:rsidRPr="006F3ABD">
        <w:rPr>
          <w:rFonts w:cs="Times New Roman"/>
          <w:i/>
          <w:szCs w:val="24"/>
          <w:lang w:val="en-US"/>
        </w:rPr>
        <w:br/>
      </w:r>
    </w:p>
    <w:p w:rsidR="004C6DB9" w:rsidRPr="006F3ABD" w:rsidRDefault="004C6DB9" w:rsidP="004C6DB9">
      <w:pPr>
        <w:rPr>
          <w:rFonts w:cs="Times New Roman"/>
          <w:b/>
          <w:szCs w:val="24"/>
        </w:rPr>
      </w:pPr>
      <w:r w:rsidRPr="006F3ABD">
        <w:rPr>
          <w:rFonts w:cs="Times New Roman"/>
          <w:szCs w:val="24"/>
        </w:rPr>
        <w:t xml:space="preserve">Leaders of the nineteenth-century Catholic revival portrayed eighteenth-century English Catholics as a small and insignificant remnant. Newman, in his </w:t>
      </w:r>
      <w:r w:rsidRPr="006F3ABD">
        <w:rPr>
          <w:rFonts w:cs="Times New Roman"/>
          <w:i/>
          <w:szCs w:val="24"/>
        </w:rPr>
        <w:t>Second Spring Sermon</w:t>
      </w:r>
      <w:r w:rsidRPr="006F3ABD">
        <w:rPr>
          <w:rFonts w:cs="Times New Roman"/>
          <w:szCs w:val="24"/>
        </w:rPr>
        <w:t xml:space="preserve">, referred to ‘a few adherents of the Old Religion, moving silently and sorrowfully about’ at the end of the eighteenth century. How true a representation is this for Warwickshire? Here we have a number of Catholic churches located in small rural communities – not just post-emancipation churches within the large </w:t>
      </w:r>
      <w:r w:rsidRPr="006F3ABD">
        <w:rPr>
          <w:rFonts w:cs="Times New Roman"/>
          <w:szCs w:val="24"/>
        </w:rPr>
        <w:lastRenderedPageBreak/>
        <w:t xml:space="preserve">cities in which the Irish fleeing the famine settled. Peter Marshall highlighted the continued use of the graveyards attached to Anglican churches by Catholics even after the Reformation. Further evidence of apparently good Anglican / Catholic relationships derives from surviving material culture within parish churches in the form of memorials to Catholics, some of which incorporate traditional Catholic wording and iconography. In this paper, I will examine these issues with reference to, amongst other parishes, </w:t>
      </w:r>
      <w:proofErr w:type="spellStart"/>
      <w:r w:rsidRPr="006F3ABD">
        <w:rPr>
          <w:rFonts w:cs="Times New Roman"/>
          <w:szCs w:val="24"/>
        </w:rPr>
        <w:t>Baddesley</w:t>
      </w:r>
      <w:proofErr w:type="spellEnd"/>
      <w:r w:rsidRPr="006F3ABD">
        <w:rPr>
          <w:rFonts w:cs="Times New Roman"/>
          <w:szCs w:val="24"/>
        </w:rPr>
        <w:t xml:space="preserve"> Clinton, </w:t>
      </w:r>
      <w:proofErr w:type="spellStart"/>
      <w:r w:rsidRPr="006F3ABD">
        <w:rPr>
          <w:rFonts w:cs="Times New Roman"/>
          <w:szCs w:val="24"/>
        </w:rPr>
        <w:t>Brailes</w:t>
      </w:r>
      <w:proofErr w:type="spellEnd"/>
      <w:r w:rsidRPr="006F3ABD">
        <w:rPr>
          <w:rFonts w:cs="Times New Roman"/>
          <w:szCs w:val="24"/>
        </w:rPr>
        <w:t xml:space="preserve">, </w:t>
      </w:r>
      <w:proofErr w:type="spellStart"/>
      <w:r w:rsidRPr="006F3ABD">
        <w:rPr>
          <w:rFonts w:cs="Times New Roman"/>
          <w:szCs w:val="24"/>
        </w:rPr>
        <w:t>Budbrooke</w:t>
      </w:r>
      <w:proofErr w:type="spellEnd"/>
      <w:r w:rsidRPr="006F3ABD">
        <w:rPr>
          <w:rFonts w:cs="Times New Roman"/>
          <w:szCs w:val="24"/>
        </w:rPr>
        <w:t xml:space="preserve"> and </w:t>
      </w:r>
      <w:proofErr w:type="spellStart"/>
      <w:r w:rsidRPr="006F3ABD">
        <w:rPr>
          <w:rFonts w:cs="Times New Roman"/>
          <w:szCs w:val="24"/>
        </w:rPr>
        <w:t>Coughton</w:t>
      </w:r>
      <w:proofErr w:type="spellEnd"/>
      <w:r w:rsidRPr="006F3ABD">
        <w:rPr>
          <w:rFonts w:cs="Times New Roman"/>
          <w:szCs w:val="24"/>
        </w:rPr>
        <w:t xml:space="preserve">. </w:t>
      </w:r>
    </w:p>
    <w:p w:rsidR="00642D97" w:rsidRDefault="00642D97">
      <w:pPr>
        <w:rPr>
          <w:b/>
          <w:sz w:val="28"/>
          <w:szCs w:val="28"/>
        </w:rPr>
      </w:pPr>
    </w:p>
    <w:p w:rsidR="008308F8" w:rsidRPr="008308F8" w:rsidRDefault="003131A8" w:rsidP="008308F8">
      <w:pPr>
        <w:rPr>
          <w:b/>
          <w:sz w:val="28"/>
          <w:szCs w:val="28"/>
        </w:rPr>
      </w:pPr>
      <w:r>
        <w:rPr>
          <w:b/>
          <w:sz w:val="28"/>
          <w:szCs w:val="28"/>
        </w:rPr>
        <w:br/>
      </w:r>
      <w:r w:rsidR="008308F8" w:rsidRPr="008308F8">
        <w:rPr>
          <w:b/>
          <w:sz w:val="28"/>
          <w:szCs w:val="28"/>
        </w:rPr>
        <w:t>Chester Consistory Court Records Project</w:t>
      </w:r>
    </w:p>
    <w:p w:rsidR="008308F8" w:rsidRDefault="008308F8" w:rsidP="008308F8">
      <w:pPr>
        <w:rPr>
          <w:b/>
        </w:rPr>
      </w:pPr>
    </w:p>
    <w:p w:rsidR="008308F8" w:rsidRPr="00D35D79" w:rsidRDefault="008308F8" w:rsidP="008308F8">
      <w:pPr>
        <w:rPr>
          <w:i/>
        </w:rPr>
      </w:pPr>
      <w:r w:rsidRPr="00D35D79">
        <w:rPr>
          <w:i/>
        </w:rPr>
        <w:t>Patricia Cox</w:t>
      </w:r>
      <w:r>
        <w:rPr>
          <w:i/>
        </w:rPr>
        <w:t>, Chester</w:t>
      </w:r>
    </w:p>
    <w:p w:rsidR="008308F8" w:rsidRDefault="008308F8" w:rsidP="008308F8"/>
    <w:p w:rsidR="008308F8" w:rsidRDefault="008308F8" w:rsidP="008308F8">
      <w:r>
        <w:t xml:space="preserve">The importance of church court records as a source for the study of the lives and concerns of ordinary men and women is now widely recognised. Recent incentives to make these records more generally available online include the digitisation of cause papers held at York and transcriptions of medieval depositions from the London court. However, the early records of the courts can be challenging to use both because of problems with palaeography and because many of the papers are written in abbreviated Latin. </w:t>
      </w:r>
    </w:p>
    <w:p w:rsidR="008308F8" w:rsidRDefault="008308F8" w:rsidP="008308F8"/>
    <w:p w:rsidR="008308F8" w:rsidRPr="00A32DBB" w:rsidRDefault="008308F8" w:rsidP="008308F8">
      <w:r>
        <w:t>My presentation is about a project which I have been working on to develop a website comprising digital images of the earliest surviving cause papers of the Chester consistory court</w:t>
      </w:r>
      <w:r w:rsidRPr="00DF4771">
        <w:t xml:space="preserve"> </w:t>
      </w:r>
      <w:r>
        <w:t xml:space="preserve">dating from the sixteenth century, together with a transcription of each document and a translation of those in Latin. This would not only make the early Chester cause papers freely available, but will </w:t>
      </w:r>
      <w:r w:rsidRPr="00952F25">
        <w:rPr>
          <w:rFonts w:cs="Times New Roman"/>
        </w:rPr>
        <w:t xml:space="preserve">open up </w:t>
      </w:r>
      <w:r>
        <w:rPr>
          <w:rFonts w:cs="Times New Roman"/>
        </w:rPr>
        <w:t>this</w:t>
      </w:r>
      <w:r w:rsidRPr="00952F25">
        <w:rPr>
          <w:rFonts w:cs="Times New Roman"/>
        </w:rPr>
        <w:t xml:space="preserve"> rich and complex </w:t>
      </w:r>
      <w:r>
        <w:rPr>
          <w:rFonts w:cs="Times New Roman"/>
        </w:rPr>
        <w:t>source</w:t>
      </w:r>
      <w:r w:rsidRPr="00952F25">
        <w:rPr>
          <w:rFonts w:cs="Times New Roman"/>
        </w:rPr>
        <w:t xml:space="preserve"> </w:t>
      </w:r>
      <w:r>
        <w:rPr>
          <w:rFonts w:cs="Times New Roman"/>
        </w:rPr>
        <w:t>to a wider audience and, it is hoped, make the records more user-friendly.</w:t>
      </w:r>
    </w:p>
    <w:p w:rsidR="008308F8" w:rsidRDefault="008308F8">
      <w:pPr>
        <w:rPr>
          <w:b/>
          <w:sz w:val="28"/>
          <w:szCs w:val="28"/>
        </w:rPr>
      </w:pPr>
    </w:p>
    <w:p w:rsidR="00345DF0" w:rsidRPr="0044498C" w:rsidRDefault="003131A8">
      <w:pPr>
        <w:rPr>
          <w:b/>
          <w:sz w:val="28"/>
          <w:szCs w:val="28"/>
        </w:rPr>
      </w:pPr>
      <w:r>
        <w:rPr>
          <w:b/>
          <w:sz w:val="28"/>
          <w:szCs w:val="28"/>
        </w:rPr>
        <w:br/>
      </w:r>
      <w:r w:rsidR="0044498C" w:rsidRPr="0044498C">
        <w:rPr>
          <w:b/>
          <w:sz w:val="28"/>
          <w:szCs w:val="28"/>
        </w:rPr>
        <w:t>Solihull Town Centre Photographs</w:t>
      </w:r>
    </w:p>
    <w:p w:rsidR="0044498C" w:rsidRDefault="0044498C"/>
    <w:p w:rsidR="0044498C" w:rsidRPr="0044498C" w:rsidRDefault="0044498C">
      <w:pPr>
        <w:rPr>
          <w:i/>
        </w:rPr>
      </w:pPr>
      <w:r w:rsidRPr="0044498C">
        <w:rPr>
          <w:i/>
        </w:rPr>
        <w:t>Trevor England,</w:t>
      </w:r>
      <w:r w:rsidR="003131A8">
        <w:rPr>
          <w:i/>
        </w:rPr>
        <w:t xml:space="preserve"> </w:t>
      </w:r>
      <w:r w:rsidR="003131A8">
        <w:rPr>
          <w:i/>
        </w:rPr>
        <w:br/>
      </w:r>
      <w:r w:rsidRPr="0044498C">
        <w:rPr>
          <w:i/>
        </w:rPr>
        <w:t>Solihull Local History Circle</w:t>
      </w:r>
    </w:p>
    <w:p w:rsidR="0044498C" w:rsidRDefault="0044498C"/>
    <w:p w:rsidR="0044498C" w:rsidRDefault="0044498C">
      <w:r>
        <w:t>This project presentation will focus on a collection of early photographs of Solihull town centre (around 1900) before the redevelopments of the 1960s.</w:t>
      </w:r>
    </w:p>
    <w:p w:rsidR="004C6DB9" w:rsidRDefault="004C6DB9"/>
    <w:p w:rsidR="0020119F" w:rsidRDefault="003131A8" w:rsidP="00EA07EC">
      <w:pPr>
        <w:rPr>
          <w:i/>
          <w:szCs w:val="24"/>
        </w:rPr>
      </w:pPr>
      <w:r>
        <w:rPr>
          <w:b/>
          <w:sz w:val="28"/>
          <w:szCs w:val="28"/>
        </w:rPr>
        <w:br/>
      </w:r>
      <w:r w:rsidR="0020119F" w:rsidRPr="0020119F">
        <w:rPr>
          <w:b/>
          <w:sz w:val="28"/>
          <w:szCs w:val="28"/>
        </w:rPr>
        <w:t>The Churchwardens’ Accounts Database Project</w:t>
      </w:r>
      <w:r w:rsidR="004C6DB9" w:rsidRPr="0020119F">
        <w:rPr>
          <w:b/>
          <w:sz w:val="28"/>
          <w:szCs w:val="28"/>
        </w:rPr>
        <w:br/>
      </w:r>
      <w:r w:rsidR="004C6DB9">
        <w:rPr>
          <w:b/>
        </w:rPr>
        <w:br/>
      </w:r>
      <w:r w:rsidR="0020119F" w:rsidRPr="0020119F">
        <w:rPr>
          <w:i/>
          <w:szCs w:val="24"/>
        </w:rPr>
        <w:t>Andrew Foster, Kent</w:t>
      </w:r>
    </w:p>
    <w:p w:rsidR="0020119F" w:rsidRDefault="0020119F" w:rsidP="00EA07EC">
      <w:pPr>
        <w:rPr>
          <w:i/>
          <w:szCs w:val="24"/>
        </w:rPr>
      </w:pPr>
    </w:p>
    <w:p w:rsidR="0020119F" w:rsidRPr="0020119F" w:rsidRDefault="0020119F" w:rsidP="00EA07EC">
      <w:pPr>
        <w:rPr>
          <w:szCs w:val="24"/>
        </w:rPr>
      </w:pPr>
      <w:r>
        <w:rPr>
          <w:sz w:val="23"/>
          <w:szCs w:val="23"/>
        </w:rPr>
        <w:t>A report on progress being made to create a database of extant churchwardens' accounts held in England and Wales between the fourteenth century and around 1850. The aim is to provide an on-line database that will give a complete listing of surviving accounts, where they are located, the extent of runs of material, and summary guide to income and expenditure totals.  Current estimates suggest that we are dealing with a total of just over 3,000 sets of accounts, rather more than previously estimated, and improving over time as one might expect.  A framework is being constructed courtesy of the Warwick Parish Studies Network on its My-Parish.org platform and help is eagerly sought from all those interested in this field to assist us in populating the database fully.</w:t>
      </w:r>
    </w:p>
    <w:p w:rsidR="003131A8" w:rsidRDefault="003131A8" w:rsidP="0049272D">
      <w:pPr>
        <w:rPr>
          <w:b/>
          <w:sz w:val="28"/>
          <w:szCs w:val="28"/>
        </w:rPr>
      </w:pPr>
    </w:p>
    <w:p w:rsidR="0049272D" w:rsidRPr="0049272D" w:rsidRDefault="003131A8" w:rsidP="0049272D">
      <w:pPr>
        <w:rPr>
          <w:b/>
          <w:sz w:val="28"/>
          <w:szCs w:val="28"/>
        </w:rPr>
      </w:pPr>
      <w:r>
        <w:rPr>
          <w:b/>
          <w:sz w:val="28"/>
          <w:szCs w:val="28"/>
        </w:rPr>
        <w:lastRenderedPageBreak/>
        <w:br/>
      </w:r>
      <w:r w:rsidR="0049272D" w:rsidRPr="0049272D">
        <w:rPr>
          <w:b/>
          <w:sz w:val="28"/>
          <w:szCs w:val="28"/>
        </w:rPr>
        <w:t>Some 17</w:t>
      </w:r>
      <w:r w:rsidR="0049272D" w:rsidRPr="0049272D">
        <w:rPr>
          <w:b/>
          <w:sz w:val="28"/>
          <w:szCs w:val="28"/>
          <w:vertAlign w:val="superscript"/>
        </w:rPr>
        <w:t>th</w:t>
      </w:r>
      <w:r w:rsidR="0049272D" w:rsidRPr="0049272D">
        <w:rPr>
          <w:b/>
          <w:sz w:val="28"/>
          <w:szCs w:val="28"/>
        </w:rPr>
        <w:t xml:space="preserve"> century headstones from </w:t>
      </w:r>
      <w:proofErr w:type="spellStart"/>
      <w:r w:rsidR="0049272D" w:rsidRPr="0049272D">
        <w:rPr>
          <w:b/>
          <w:sz w:val="28"/>
          <w:szCs w:val="28"/>
        </w:rPr>
        <w:t>Kineton</w:t>
      </w:r>
      <w:proofErr w:type="spellEnd"/>
      <w:r w:rsidR="0049272D" w:rsidRPr="0049272D">
        <w:rPr>
          <w:b/>
          <w:sz w:val="28"/>
          <w:szCs w:val="28"/>
        </w:rPr>
        <w:t xml:space="preserve"> and </w:t>
      </w:r>
      <w:proofErr w:type="spellStart"/>
      <w:r w:rsidR="0049272D" w:rsidRPr="0049272D">
        <w:rPr>
          <w:b/>
          <w:sz w:val="28"/>
          <w:szCs w:val="28"/>
        </w:rPr>
        <w:t>Warmington</w:t>
      </w:r>
      <w:proofErr w:type="spellEnd"/>
      <w:r w:rsidR="0049272D" w:rsidRPr="0049272D">
        <w:rPr>
          <w:b/>
          <w:sz w:val="28"/>
          <w:szCs w:val="28"/>
        </w:rPr>
        <w:t xml:space="preserve">  </w:t>
      </w:r>
    </w:p>
    <w:p w:rsidR="0049272D" w:rsidRDefault="0049272D" w:rsidP="0049272D">
      <w:pPr>
        <w:rPr>
          <w:sz w:val="22"/>
        </w:rPr>
      </w:pPr>
    </w:p>
    <w:p w:rsidR="0049272D" w:rsidRPr="0049272D" w:rsidRDefault="0049272D" w:rsidP="0049272D">
      <w:pPr>
        <w:rPr>
          <w:i/>
          <w:sz w:val="22"/>
        </w:rPr>
      </w:pPr>
      <w:r w:rsidRPr="0049272D">
        <w:rPr>
          <w:i/>
          <w:sz w:val="22"/>
        </w:rPr>
        <w:t xml:space="preserve">David </w:t>
      </w:r>
      <w:proofErr w:type="spellStart"/>
      <w:r w:rsidRPr="0049272D">
        <w:rPr>
          <w:i/>
          <w:sz w:val="22"/>
        </w:rPr>
        <w:t>Freke</w:t>
      </w:r>
      <w:proofErr w:type="spellEnd"/>
      <w:r w:rsidR="003131A8">
        <w:rPr>
          <w:i/>
          <w:sz w:val="22"/>
        </w:rPr>
        <w:t xml:space="preserve">, </w:t>
      </w:r>
      <w:proofErr w:type="spellStart"/>
      <w:r w:rsidRPr="0049272D">
        <w:rPr>
          <w:i/>
          <w:sz w:val="22"/>
        </w:rPr>
        <w:t>Kineton</w:t>
      </w:r>
      <w:proofErr w:type="spellEnd"/>
      <w:r w:rsidRPr="0049272D">
        <w:rPr>
          <w:i/>
          <w:sz w:val="22"/>
        </w:rPr>
        <w:t xml:space="preserve"> and</w:t>
      </w:r>
      <w:r>
        <w:rPr>
          <w:i/>
          <w:sz w:val="22"/>
        </w:rPr>
        <w:t xml:space="preserve"> District Local History Group</w:t>
      </w:r>
    </w:p>
    <w:p w:rsidR="0049272D" w:rsidRDefault="0049272D" w:rsidP="0049272D">
      <w:pPr>
        <w:rPr>
          <w:sz w:val="22"/>
        </w:rPr>
      </w:pPr>
    </w:p>
    <w:p w:rsidR="0049272D" w:rsidRDefault="0049272D" w:rsidP="0049272D">
      <w:pPr>
        <w:rPr>
          <w:sz w:val="22"/>
        </w:rPr>
      </w:pPr>
      <w:r>
        <w:rPr>
          <w:sz w:val="22"/>
        </w:rPr>
        <w:t xml:space="preserve">In 2010 members of the </w:t>
      </w:r>
      <w:proofErr w:type="spellStart"/>
      <w:r>
        <w:rPr>
          <w:sz w:val="22"/>
        </w:rPr>
        <w:t>Kineton</w:t>
      </w:r>
      <w:proofErr w:type="spellEnd"/>
      <w:r>
        <w:rPr>
          <w:sz w:val="22"/>
        </w:rPr>
        <w:t xml:space="preserve"> and District Local History Group, led by Gill Ashley-Smith, carried out a survey of St Peter’s churchyard memorials, and at the same time Peter Ashley-Smith</w:t>
      </w:r>
      <w:r w:rsidRPr="00B915F5">
        <w:rPr>
          <w:sz w:val="22"/>
        </w:rPr>
        <w:t xml:space="preserve"> </w:t>
      </w:r>
      <w:r>
        <w:rPr>
          <w:sz w:val="22"/>
        </w:rPr>
        <w:t xml:space="preserve">transcribed much of the </w:t>
      </w:r>
      <w:proofErr w:type="spellStart"/>
      <w:r>
        <w:rPr>
          <w:sz w:val="22"/>
        </w:rPr>
        <w:t>Kineton</w:t>
      </w:r>
      <w:proofErr w:type="spellEnd"/>
      <w:r>
        <w:rPr>
          <w:sz w:val="22"/>
        </w:rPr>
        <w:t xml:space="preserve"> parish Burial Register. In nearby </w:t>
      </w:r>
      <w:proofErr w:type="spellStart"/>
      <w:r>
        <w:rPr>
          <w:sz w:val="22"/>
        </w:rPr>
        <w:t>Warmington</w:t>
      </w:r>
      <w:proofErr w:type="spellEnd"/>
      <w:r>
        <w:rPr>
          <w:sz w:val="22"/>
        </w:rPr>
        <w:t xml:space="preserve"> 35 years ago another churchyard survey, coupled with rigorous local history research, was undertaken on behalf of the </w:t>
      </w:r>
      <w:proofErr w:type="spellStart"/>
      <w:r>
        <w:rPr>
          <w:sz w:val="22"/>
        </w:rPr>
        <w:t>Warmington</w:t>
      </w:r>
      <w:proofErr w:type="spellEnd"/>
      <w:r>
        <w:rPr>
          <w:sz w:val="22"/>
        </w:rPr>
        <w:t xml:space="preserve"> WI by Liz Newman and many villagers. The two records provide material for comparisons and research, particularly of the 17</w:t>
      </w:r>
      <w:r w:rsidRPr="00F430DD">
        <w:rPr>
          <w:sz w:val="22"/>
          <w:vertAlign w:val="superscript"/>
        </w:rPr>
        <w:t>th</w:t>
      </w:r>
      <w:r>
        <w:rPr>
          <w:sz w:val="22"/>
        </w:rPr>
        <w:t xml:space="preserve"> century memorials. This short paper will examine some of the surviving funerary monuments produced by 17</w:t>
      </w:r>
      <w:r w:rsidRPr="00F430DD">
        <w:rPr>
          <w:sz w:val="22"/>
          <w:vertAlign w:val="superscript"/>
        </w:rPr>
        <w:t>th</w:t>
      </w:r>
      <w:r>
        <w:rPr>
          <w:sz w:val="22"/>
        </w:rPr>
        <w:t xml:space="preserve"> century country masons in these cemeteries, and proposes some sources for what was essentially a new art form. Their adoption of appropriate classical models is particularly striking and suggests a sophisticated awareness of their social, </w:t>
      </w:r>
      <w:proofErr w:type="gramStart"/>
      <w:r>
        <w:rPr>
          <w:sz w:val="22"/>
        </w:rPr>
        <w:t>religious  and</w:t>
      </w:r>
      <w:proofErr w:type="gramEnd"/>
      <w:r>
        <w:rPr>
          <w:sz w:val="22"/>
        </w:rPr>
        <w:t xml:space="preserve"> artistic contexts.</w:t>
      </w:r>
    </w:p>
    <w:p w:rsidR="0049272D" w:rsidRDefault="0049272D" w:rsidP="0049272D">
      <w:pPr>
        <w:rPr>
          <w:sz w:val="22"/>
        </w:rPr>
      </w:pPr>
    </w:p>
    <w:p w:rsidR="004C6DB9" w:rsidRPr="00EA07EC" w:rsidRDefault="004C6DB9" w:rsidP="00EA07EC">
      <w:pPr>
        <w:rPr>
          <w:b/>
          <w:sz w:val="28"/>
          <w:szCs w:val="28"/>
        </w:rPr>
      </w:pPr>
      <w:r w:rsidRPr="00EA07EC">
        <w:rPr>
          <w:b/>
          <w:sz w:val="28"/>
          <w:szCs w:val="28"/>
        </w:rPr>
        <w:t xml:space="preserve">‘‘The malice and envy of my parishioners’: </w:t>
      </w:r>
      <w:r w:rsidR="00EA07EC">
        <w:rPr>
          <w:b/>
          <w:sz w:val="28"/>
          <w:szCs w:val="28"/>
        </w:rPr>
        <w:br/>
        <w:t>C</w:t>
      </w:r>
      <w:r w:rsidRPr="00EA07EC">
        <w:rPr>
          <w:b/>
          <w:sz w:val="28"/>
          <w:szCs w:val="28"/>
        </w:rPr>
        <w:t xml:space="preserve">onflicting </w:t>
      </w:r>
      <w:r w:rsidR="003B0ADA">
        <w:rPr>
          <w:b/>
          <w:sz w:val="28"/>
          <w:szCs w:val="28"/>
        </w:rPr>
        <w:t>R</w:t>
      </w:r>
      <w:r w:rsidRPr="00EA07EC">
        <w:rPr>
          <w:b/>
          <w:sz w:val="28"/>
          <w:szCs w:val="28"/>
        </w:rPr>
        <w:t xml:space="preserve">eligious </w:t>
      </w:r>
      <w:r w:rsidR="003B0ADA">
        <w:rPr>
          <w:b/>
          <w:sz w:val="28"/>
          <w:szCs w:val="28"/>
        </w:rPr>
        <w:t>C</w:t>
      </w:r>
      <w:r w:rsidRPr="00EA07EC">
        <w:rPr>
          <w:b/>
          <w:sz w:val="28"/>
          <w:szCs w:val="28"/>
        </w:rPr>
        <w:t xml:space="preserve">ultures in the Warwickshire </w:t>
      </w:r>
      <w:r w:rsidR="003B0ADA">
        <w:rPr>
          <w:b/>
          <w:sz w:val="28"/>
          <w:szCs w:val="28"/>
        </w:rPr>
        <w:t>P</w:t>
      </w:r>
      <w:r w:rsidRPr="00EA07EC">
        <w:rPr>
          <w:b/>
          <w:sz w:val="28"/>
          <w:szCs w:val="28"/>
        </w:rPr>
        <w:t xml:space="preserve">arishes of </w:t>
      </w:r>
      <w:proofErr w:type="spellStart"/>
      <w:r w:rsidRPr="00EA07EC">
        <w:rPr>
          <w:b/>
          <w:sz w:val="28"/>
          <w:szCs w:val="28"/>
        </w:rPr>
        <w:t>Wixford</w:t>
      </w:r>
      <w:proofErr w:type="spellEnd"/>
      <w:r w:rsidRPr="00EA07EC">
        <w:rPr>
          <w:b/>
          <w:sz w:val="28"/>
          <w:szCs w:val="28"/>
        </w:rPr>
        <w:t xml:space="preserve">, </w:t>
      </w:r>
      <w:proofErr w:type="spellStart"/>
      <w:r w:rsidRPr="00EA07EC">
        <w:rPr>
          <w:b/>
          <w:sz w:val="28"/>
          <w:szCs w:val="28"/>
        </w:rPr>
        <w:t>Haseley</w:t>
      </w:r>
      <w:proofErr w:type="spellEnd"/>
      <w:r w:rsidRPr="00EA07EC">
        <w:rPr>
          <w:b/>
          <w:sz w:val="28"/>
          <w:szCs w:val="28"/>
        </w:rPr>
        <w:t xml:space="preserve"> and Burton </w:t>
      </w:r>
      <w:proofErr w:type="spellStart"/>
      <w:r w:rsidRPr="00EA07EC">
        <w:rPr>
          <w:b/>
          <w:sz w:val="28"/>
          <w:szCs w:val="28"/>
        </w:rPr>
        <w:t>Dassett</w:t>
      </w:r>
      <w:proofErr w:type="spellEnd"/>
      <w:r w:rsidRPr="00EA07EC">
        <w:rPr>
          <w:b/>
          <w:sz w:val="28"/>
          <w:szCs w:val="28"/>
        </w:rPr>
        <w:t>, 1655-1720’</w:t>
      </w:r>
    </w:p>
    <w:p w:rsidR="004C6DB9" w:rsidRDefault="004C6DB9" w:rsidP="004C6DB9">
      <w:pPr>
        <w:jc w:val="both"/>
      </w:pPr>
    </w:p>
    <w:p w:rsidR="004C6DB9" w:rsidRPr="004D399A" w:rsidRDefault="004C6DB9" w:rsidP="004C6DB9">
      <w:pPr>
        <w:jc w:val="both"/>
        <w:rPr>
          <w:i/>
        </w:rPr>
      </w:pPr>
      <w:r w:rsidRPr="004D399A">
        <w:rPr>
          <w:i/>
        </w:rPr>
        <w:t>Maureen Harris, Leicester / WLHS</w:t>
      </w:r>
    </w:p>
    <w:p w:rsidR="004C6DB9" w:rsidRDefault="004C6DB9" w:rsidP="004C6DB9">
      <w:pPr>
        <w:jc w:val="both"/>
      </w:pPr>
    </w:p>
    <w:p w:rsidR="004C6DB9" w:rsidRDefault="004C6DB9" w:rsidP="004C6DB9">
      <w:r>
        <w:t xml:space="preserve">Eric Carlson described seventeenth-century churchwardens </w:t>
      </w:r>
      <w:r w:rsidRPr="00D73861">
        <w:t>as trustees of parish society in their localities, and guardians not only of their community’s church ornaments ‘but also of its values and aspirations.’</w:t>
      </w:r>
      <w:r w:rsidRPr="00E17626">
        <w:rPr>
          <w:b/>
        </w:rPr>
        <w:t xml:space="preserve"> </w:t>
      </w:r>
      <w:r w:rsidRPr="009814D9">
        <w:t xml:space="preserve">This paper </w:t>
      </w:r>
      <w:r>
        <w:t>considers</w:t>
      </w:r>
      <w:r w:rsidRPr="009814D9">
        <w:t xml:space="preserve"> </w:t>
      </w:r>
      <w:r>
        <w:t xml:space="preserve">these social values and aspirations in the context of religious belief, as viewed, very differently, by the minister on one hand and by his churchwardens, ‘chief inhabitants’ and other parishioners on the other. It examines conflicts of religious culture in three widely spaced post-Restoration Warwickshire parishes. At </w:t>
      </w:r>
      <w:proofErr w:type="spellStart"/>
      <w:r>
        <w:t>Wixford</w:t>
      </w:r>
      <w:proofErr w:type="spellEnd"/>
      <w:r>
        <w:t xml:space="preserve">, in south-west Warwickshire, the rector was accused of being a captain in Cromwell’s army, but ministered to a parish with one of the highest proportions of Catholics in the county. In </w:t>
      </w:r>
      <w:proofErr w:type="spellStart"/>
      <w:r>
        <w:t>Haseley</w:t>
      </w:r>
      <w:proofErr w:type="spellEnd"/>
      <w:r>
        <w:t>, on the border of the Lichfield and Worcester dioceses, successive clergymen were harassed by a Presbyterian churchwarden, while ‘</w:t>
      </w:r>
      <w:proofErr w:type="spellStart"/>
      <w:r>
        <w:t>high-Church</w:t>
      </w:r>
      <w:proofErr w:type="spellEnd"/>
      <w:r>
        <w:t xml:space="preserve">’ ministers in Burton </w:t>
      </w:r>
      <w:proofErr w:type="spellStart"/>
      <w:r>
        <w:t>Dassett</w:t>
      </w:r>
      <w:proofErr w:type="spellEnd"/>
      <w:r>
        <w:t xml:space="preserve"> and adjacent parishes struggled to maintain their authority in a remote area with a long tradition of ‘godliness’ and anticlericalism. </w:t>
      </w:r>
    </w:p>
    <w:p w:rsidR="004C6DB9" w:rsidRDefault="004C6DB9" w:rsidP="003131A8">
      <w:pPr>
        <w:ind w:firstLine="720"/>
      </w:pPr>
      <w:r>
        <w:t xml:space="preserve">The resulting clerical complaints of parishioners’ malicious accusations suggest we should challenge ideas of a harmonious society operating through negotiated consensus in the post-Restoration parish. We should also re-examine assumptions about a weak laity, powerless against the Anglican hierarchy. Finally, we need to re-position the clerical/lay relationship as central to late seventeenth-century parish society, and to discover in its conflicts a continuing clash of religious cultures stretching from the Reformation to the present day.    </w:t>
      </w:r>
    </w:p>
    <w:p w:rsidR="005C01F2" w:rsidRDefault="005C01F2" w:rsidP="005C01F2"/>
    <w:p w:rsidR="005C01F2" w:rsidRPr="00D353F4" w:rsidRDefault="005C01F2" w:rsidP="005C01F2">
      <w:pPr>
        <w:rPr>
          <w:rFonts w:cs="Times New Roman"/>
          <w:b/>
          <w:sz w:val="28"/>
          <w:szCs w:val="28"/>
        </w:rPr>
      </w:pPr>
      <w:r>
        <w:rPr>
          <w:rFonts w:cs="Times New Roman"/>
          <w:b/>
          <w:sz w:val="28"/>
          <w:szCs w:val="28"/>
        </w:rPr>
        <w:t xml:space="preserve">The ‘Spirit of </w:t>
      </w:r>
      <w:proofErr w:type="spellStart"/>
      <w:r>
        <w:rPr>
          <w:rFonts w:cs="Times New Roman"/>
          <w:b/>
          <w:sz w:val="28"/>
          <w:szCs w:val="28"/>
        </w:rPr>
        <w:t>Berkswell</w:t>
      </w:r>
      <w:proofErr w:type="spellEnd"/>
      <w:r>
        <w:rPr>
          <w:rFonts w:cs="Times New Roman"/>
          <w:b/>
          <w:sz w:val="28"/>
          <w:szCs w:val="28"/>
        </w:rPr>
        <w:t>’ Project</w:t>
      </w:r>
    </w:p>
    <w:p w:rsidR="005C01F2" w:rsidRDefault="005C01F2" w:rsidP="005C01F2"/>
    <w:p w:rsidR="005C01F2" w:rsidRPr="005C01F2" w:rsidRDefault="005C01F2" w:rsidP="005C01F2">
      <w:pPr>
        <w:rPr>
          <w:rFonts w:cs="Times New Roman"/>
          <w:szCs w:val="24"/>
        </w:rPr>
      </w:pPr>
      <w:r w:rsidRPr="005C01F2">
        <w:rPr>
          <w:rStyle w:val="Emphasis"/>
          <w:rFonts w:cs="Times New Roman"/>
          <w:szCs w:val="24"/>
          <w:lang w:val="en-US"/>
        </w:rPr>
        <w:t>Brenda Murray &amp; Jill Tompkins Bailey</w:t>
      </w:r>
      <w:r>
        <w:rPr>
          <w:rStyle w:val="Emphasis"/>
          <w:rFonts w:cs="Times New Roman"/>
          <w:szCs w:val="24"/>
          <w:lang w:val="en-US"/>
        </w:rPr>
        <w:t xml:space="preserve">, </w:t>
      </w:r>
      <w:proofErr w:type="spellStart"/>
      <w:r>
        <w:rPr>
          <w:rStyle w:val="Emphasis"/>
          <w:rFonts w:cs="Times New Roman"/>
          <w:szCs w:val="24"/>
          <w:lang w:val="en-US"/>
        </w:rPr>
        <w:t>Berkswell</w:t>
      </w:r>
      <w:proofErr w:type="spellEnd"/>
    </w:p>
    <w:p w:rsidR="005C01F2" w:rsidRDefault="005C01F2" w:rsidP="005C01F2"/>
    <w:p w:rsidR="005C01F2" w:rsidRDefault="005C01F2" w:rsidP="005C01F2">
      <w:pPr>
        <w:pStyle w:val="xmsonormal"/>
        <w:spacing w:before="0" w:beforeAutospacing="0" w:after="0" w:afterAutospacing="0"/>
        <w:rPr>
          <w:sz w:val="23"/>
          <w:szCs w:val="23"/>
        </w:rPr>
      </w:pPr>
      <w:r>
        <w:rPr>
          <w:sz w:val="23"/>
          <w:szCs w:val="23"/>
          <w:lang w:val="en-US"/>
        </w:rPr>
        <w:t xml:space="preserve">Over the years there have been a number of historical studies made in the </w:t>
      </w:r>
      <w:proofErr w:type="spellStart"/>
      <w:r>
        <w:rPr>
          <w:sz w:val="23"/>
          <w:szCs w:val="23"/>
          <w:lang w:val="en-US"/>
        </w:rPr>
        <w:t>Berkswell</w:t>
      </w:r>
      <w:proofErr w:type="spellEnd"/>
      <w:r>
        <w:rPr>
          <w:sz w:val="23"/>
          <w:szCs w:val="23"/>
          <w:lang w:val="en-US"/>
        </w:rPr>
        <w:t xml:space="preserve"> Parish most of which get lost in the archives. A new website </w:t>
      </w:r>
      <w:hyperlink r:id="rId11" w:tgtFrame="_blank" w:history="1">
        <w:r>
          <w:rPr>
            <w:rStyle w:val="Hyperlink"/>
            <w:sz w:val="23"/>
            <w:szCs w:val="23"/>
            <w:lang w:val="en-US"/>
          </w:rPr>
          <w:t>www.Berkswell.org</w:t>
        </w:r>
      </w:hyperlink>
      <w:r>
        <w:rPr>
          <w:sz w:val="23"/>
          <w:szCs w:val="23"/>
          <w:lang w:val="en-US"/>
        </w:rPr>
        <w:t xml:space="preserve"> has been set up and includes a section which gives access to a synopsis of these studies and informs people where the full study can be found. Recently scholars from Warwick and Birmingham have visited the parish enabling us to re-evaluate established accounts. This is a work in progress, a progress that probably has no end…….</w:t>
      </w:r>
    </w:p>
    <w:p w:rsidR="005C01F2" w:rsidRDefault="005C01F2" w:rsidP="005413C7">
      <w:pPr>
        <w:pStyle w:val="xmsonormal"/>
        <w:spacing w:before="0" w:beforeAutospacing="0" w:after="0" w:afterAutospacing="0"/>
        <w:ind w:firstLine="720"/>
        <w:rPr>
          <w:sz w:val="23"/>
          <w:szCs w:val="23"/>
        </w:rPr>
      </w:pPr>
      <w:r>
        <w:rPr>
          <w:sz w:val="23"/>
          <w:szCs w:val="23"/>
        </w:rPr>
        <w:t xml:space="preserve">Brenda Murray has researched </w:t>
      </w:r>
      <w:proofErr w:type="spellStart"/>
      <w:r>
        <w:rPr>
          <w:sz w:val="23"/>
          <w:szCs w:val="23"/>
        </w:rPr>
        <w:t>Berkswell</w:t>
      </w:r>
      <w:proofErr w:type="spellEnd"/>
      <w:r>
        <w:rPr>
          <w:sz w:val="23"/>
          <w:szCs w:val="23"/>
        </w:rPr>
        <w:t xml:space="preserve"> Hall’s past and </w:t>
      </w:r>
      <w:r w:rsidR="005413C7">
        <w:rPr>
          <w:sz w:val="23"/>
          <w:szCs w:val="23"/>
        </w:rPr>
        <w:t>will give</w:t>
      </w:r>
      <w:r>
        <w:rPr>
          <w:sz w:val="23"/>
          <w:szCs w:val="23"/>
        </w:rPr>
        <w:t xml:space="preserve"> a brief example today of the material w</w:t>
      </w:r>
      <w:r w:rsidR="005413C7">
        <w:rPr>
          <w:sz w:val="23"/>
          <w:szCs w:val="23"/>
        </w:rPr>
        <w:t>e are including on the website.</w:t>
      </w:r>
      <w:bookmarkStart w:id="0" w:name="_GoBack"/>
      <w:bookmarkEnd w:id="0"/>
    </w:p>
    <w:p w:rsidR="004C6DB9" w:rsidRDefault="004C6DB9"/>
    <w:p w:rsidR="00EA07EC" w:rsidRPr="00D353F4" w:rsidRDefault="00EA07EC" w:rsidP="00EA07EC">
      <w:pPr>
        <w:rPr>
          <w:rFonts w:cs="Times New Roman"/>
          <w:b/>
          <w:sz w:val="28"/>
          <w:szCs w:val="28"/>
        </w:rPr>
      </w:pPr>
      <w:r w:rsidRPr="00D353F4">
        <w:rPr>
          <w:rFonts w:cs="Times New Roman"/>
          <w:b/>
          <w:sz w:val="28"/>
          <w:szCs w:val="28"/>
        </w:rPr>
        <w:t xml:space="preserve">Competitive </w:t>
      </w:r>
      <w:r w:rsidR="003B0ADA">
        <w:rPr>
          <w:rFonts w:cs="Times New Roman"/>
          <w:b/>
          <w:sz w:val="28"/>
          <w:szCs w:val="28"/>
        </w:rPr>
        <w:t>P</w:t>
      </w:r>
      <w:r w:rsidRPr="00D353F4">
        <w:rPr>
          <w:rFonts w:cs="Times New Roman"/>
          <w:b/>
          <w:sz w:val="28"/>
          <w:szCs w:val="28"/>
        </w:rPr>
        <w:t xml:space="preserve">hilanthropy: </w:t>
      </w:r>
      <w:r w:rsidR="003B0ADA">
        <w:rPr>
          <w:rFonts w:cs="Times New Roman"/>
          <w:b/>
          <w:sz w:val="28"/>
          <w:szCs w:val="28"/>
        </w:rPr>
        <w:t>P</w:t>
      </w:r>
      <w:r w:rsidRPr="00D353F4">
        <w:rPr>
          <w:rFonts w:cs="Times New Roman"/>
          <w:b/>
          <w:sz w:val="28"/>
          <w:szCs w:val="28"/>
        </w:rPr>
        <w:t xml:space="preserve">arish </w:t>
      </w:r>
      <w:r w:rsidR="003B0ADA">
        <w:rPr>
          <w:rFonts w:cs="Times New Roman"/>
          <w:b/>
          <w:sz w:val="28"/>
          <w:szCs w:val="28"/>
        </w:rPr>
        <w:t>C</w:t>
      </w:r>
      <w:r w:rsidRPr="00D353F4">
        <w:rPr>
          <w:rFonts w:cs="Times New Roman"/>
          <w:b/>
          <w:sz w:val="28"/>
          <w:szCs w:val="28"/>
        </w:rPr>
        <w:t xml:space="preserve">harity in </w:t>
      </w:r>
      <w:r w:rsidR="003B0ADA">
        <w:rPr>
          <w:rFonts w:cs="Times New Roman"/>
          <w:b/>
          <w:sz w:val="28"/>
          <w:szCs w:val="28"/>
        </w:rPr>
        <w:t>E</w:t>
      </w:r>
      <w:r w:rsidRPr="00D353F4">
        <w:rPr>
          <w:rFonts w:cs="Times New Roman"/>
          <w:b/>
          <w:sz w:val="28"/>
          <w:szCs w:val="28"/>
        </w:rPr>
        <w:t xml:space="preserve">arly </w:t>
      </w:r>
      <w:r w:rsidR="003B0ADA">
        <w:rPr>
          <w:rFonts w:cs="Times New Roman"/>
          <w:b/>
          <w:sz w:val="28"/>
          <w:szCs w:val="28"/>
        </w:rPr>
        <w:t>M</w:t>
      </w:r>
      <w:r w:rsidRPr="00D353F4">
        <w:rPr>
          <w:rFonts w:cs="Times New Roman"/>
          <w:b/>
          <w:sz w:val="28"/>
          <w:szCs w:val="28"/>
        </w:rPr>
        <w:t>odern Warwickshire</w:t>
      </w:r>
    </w:p>
    <w:p w:rsidR="00EA07EC" w:rsidRPr="00D353F4" w:rsidRDefault="00EA07EC" w:rsidP="00EA07EC">
      <w:pPr>
        <w:rPr>
          <w:rFonts w:cs="Times New Roman"/>
          <w:i/>
          <w:szCs w:val="24"/>
        </w:rPr>
      </w:pPr>
      <w:r>
        <w:rPr>
          <w:rFonts w:cs="Times New Roman"/>
          <w:i/>
          <w:szCs w:val="24"/>
        </w:rPr>
        <w:br/>
      </w:r>
      <w:r w:rsidRPr="00D353F4">
        <w:rPr>
          <w:rFonts w:cs="Times New Roman"/>
          <w:i/>
          <w:szCs w:val="24"/>
        </w:rPr>
        <w:t>Angela Nicholls, Warwick / WLHS</w:t>
      </w:r>
    </w:p>
    <w:p w:rsidR="00EA07EC" w:rsidRPr="00D353F4" w:rsidRDefault="00EA07EC" w:rsidP="00EA07EC">
      <w:pPr>
        <w:rPr>
          <w:rFonts w:cs="Times New Roman"/>
          <w:b/>
          <w:szCs w:val="24"/>
        </w:rPr>
      </w:pPr>
    </w:p>
    <w:p w:rsidR="00EA07EC" w:rsidRDefault="00EA07EC" w:rsidP="00EA07EC">
      <w:pPr>
        <w:rPr>
          <w:rFonts w:cs="Times New Roman"/>
          <w:szCs w:val="24"/>
        </w:rPr>
      </w:pPr>
      <w:r w:rsidRPr="00D353F4">
        <w:rPr>
          <w:rFonts w:cs="Times New Roman"/>
          <w:szCs w:val="24"/>
        </w:rPr>
        <w:t>Many places in Warwickshire have historic charities providing for the poor and needy of the parish, some of which survive today. The motivation behind any philanthropic gesture is open to a number of interpretations. Altruism and self-interest cannot always be easily disentangled, as the public nature of much philanthropy leant itself to ostentatious displays of virtue or personal memorialisation. Donors were often conservative, using the same forms of charity as their friends and neighbours or their predecessors, resulting in groupings of similar charities in particular locations, not always related to objective levels of social need. There was obviously a degree of emulation in many charitable acts, and for some benefactors it seems that charity even became a means through which donors competed for status and influence. This paper will explore the sometimes complex motivations behind some Warwickshire charities and the extent to which they benefitted the local parish.</w:t>
      </w:r>
    </w:p>
    <w:p w:rsidR="00EA07EC" w:rsidRDefault="00EA07EC" w:rsidP="00EA07EC">
      <w:pPr>
        <w:rPr>
          <w:rFonts w:cs="Times New Roman"/>
          <w:szCs w:val="24"/>
        </w:rPr>
      </w:pPr>
    </w:p>
    <w:p w:rsidR="003B0ADA" w:rsidRDefault="003B0ADA" w:rsidP="003B0ADA">
      <w:pPr>
        <w:rPr>
          <w:b/>
          <w:sz w:val="28"/>
          <w:szCs w:val="28"/>
        </w:rPr>
      </w:pPr>
      <w:r>
        <w:rPr>
          <w:b/>
          <w:sz w:val="28"/>
          <w:szCs w:val="28"/>
        </w:rPr>
        <w:t>Schooling and the Parish</w:t>
      </w:r>
    </w:p>
    <w:p w:rsidR="003B0ADA" w:rsidRDefault="003B0ADA" w:rsidP="003B0ADA">
      <w:pPr>
        <w:rPr>
          <w:b/>
          <w:sz w:val="28"/>
          <w:szCs w:val="28"/>
        </w:rPr>
      </w:pPr>
    </w:p>
    <w:p w:rsidR="003B0ADA" w:rsidRPr="00BB0E6F" w:rsidRDefault="003B0ADA" w:rsidP="003B0ADA">
      <w:pPr>
        <w:rPr>
          <w:i/>
          <w:szCs w:val="24"/>
        </w:rPr>
      </w:pPr>
      <w:r>
        <w:rPr>
          <w:i/>
          <w:szCs w:val="24"/>
        </w:rPr>
        <w:t>David Paterson, Nuneaton</w:t>
      </w:r>
    </w:p>
    <w:p w:rsidR="003B0ADA" w:rsidRPr="00BB0E6F" w:rsidRDefault="003B0ADA" w:rsidP="003B0ADA">
      <w:pPr>
        <w:jc w:val="center"/>
        <w:rPr>
          <w:b/>
        </w:rPr>
      </w:pPr>
    </w:p>
    <w:p w:rsidR="001F5EE6" w:rsidRDefault="003B0ADA" w:rsidP="003B0ADA">
      <w:pPr>
        <w:rPr>
          <w:b/>
          <w:sz w:val="28"/>
          <w:szCs w:val="28"/>
        </w:rPr>
      </w:pPr>
      <w:r w:rsidRPr="00BB0E6F">
        <w:t xml:space="preserve">After studying the history of Nuneaton Grammar School and finding strong links with Nuneaton parish boundaries, my researches have moved on to the history of schooling in the adjacent North Warwickshire parishes of </w:t>
      </w:r>
      <w:proofErr w:type="spellStart"/>
      <w:r w:rsidRPr="00BB0E6F">
        <w:t>Chilvers</w:t>
      </w:r>
      <w:proofErr w:type="spellEnd"/>
      <w:r w:rsidRPr="00BB0E6F">
        <w:t xml:space="preserve"> </w:t>
      </w:r>
      <w:proofErr w:type="spellStart"/>
      <w:r w:rsidRPr="00BB0E6F">
        <w:t>Coton</w:t>
      </w:r>
      <w:proofErr w:type="spellEnd"/>
      <w:r w:rsidRPr="00BB0E6F">
        <w:t xml:space="preserve"> and Astley. Here, in contrasting areas linked by the landed patronage of the </w:t>
      </w:r>
      <w:proofErr w:type="spellStart"/>
      <w:r w:rsidRPr="00BB0E6F">
        <w:t>Newdegates</w:t>
      </w:r>
      <w:proofErr w:type="spellEnd"/>
      <w:r w:rsidRPr="00BB0E6F">
        <w:t xml:space="preserve">, similar though not identical links were found between school and parish; for example the privilege of a free education only for children of parishioners, and institutions whose administrators were only from the parish. In both </w:t>
      </w:r>
      <w:proofErr w:type="spellStart"/>
      <w:r w:rsidRPr="00BB0E6F">
        <w:t>Coton</w:t>
      </w:r>
      <w:proofErr w:type="spellEnd"/>
      <w:r w:rsidRPr="00BB0E6F">
        <w:t xml:space="preserve"> and Astley, schooling had begun informally in houses, in the 17</w:t>
      </w:r>
      <w:r w:rsidRPr="00BB0E6F">
        <w:rPr>
          <w:vertAlign w:val="superscript"/>
        </w:rPr>
        <w:t>th</w:t>
      </w:r>
      <w:r w:rsidRPr="00BB0E6F">
        <w:t xml:space="preserve"> and 18</w:t>
      </w:r>
      <w:r w:rsidRPr="00BB0E6F">
        <w:rPr>
          <w:vertAlign w:val="superscript"/>
        </w:rPr>
        <w:t>th</w:t>
      </w:r>
      <w:r w:rsidRPr="00BB0E6F">
        <w:t xml:space="preserve"> centuries respectively and only later had buildings been constructed. The long association of both parishes with the </w:t>
      </w:r>
      <w:proofErr w:type="spellStart"/>
      <w:r w:rsidRPr="00BB0E6F">
        <w:t>Newdegate</w:t>
      </w:r>
      <w:proofErr w:type="spellEnd"/>
      <w:r w:rsidRPr="00BB0E6F">
        <w:t xml:space="preserve"> family helped to emphasise parochial links until the late 19</w:t>
      </w:r>
      <w:r w:rsidRPr="00BB0E6F">
        <w:rPr>
          <w:vertAlign w:val="superscript"/>
        </w:rPr>
        <w:t>th</w:t>
      </w:r>
      <w:r w:rsidRPr="00BB0E6F">
        <w:t xml:space="preserve"> Century. Then the history of this link diverges, with Astley village school retaining its close parochial connections until its closure in 1972. In more urban areas such as the adjacent Nuneaton and </w:t>
      </w:r>
      <w:proofErr w:type="spellStart"/>
      <w:r w:rsidRPr="00BB0E6F">
        <w:t>Chilvers</w:t>
      </w:r>
      <w:proofErr w:type="spellEnd"/>
      <w:r w:rsidRPr="00BB0E6F">
        <w:t xml:space="preserve"> </w:t>
      </w:r>
      <w:proofErr w:type="spellStart"/>
      <w:r w:rsidRPr="00BB0E6F">
        <w:t>Coton</w:t>
      </w:r>
      <w:proofErr w:type="spellEnd"/>
      <w:r w:rsidRPr="00BB0E6F">
        <w:t>, school-parish links, unsurprisingly, diminished in the 20</w:t>
      </w:r>
      <w:r w:rsidRPr="00BB0E6F">
        <w:rPr>
          <w:vertAlign w:val="superscript"/>
        </w:rPr>
        <w:t>th</w:t>
      </w:r>
      <w:r w:rsidRPr="00BB0E6F">
        <w:t xml:space="preserve"> Century.</w:t>
      </w:r>
    </w:p>
    <w:p w:rsidR="003B0ADA" w:rsidRDefault="003B0ADA" w:rsidP="003B0ADA">
      <w:pPr>
        <w:rPr>
          <w:b/>
          <w:sz w:val="28"/>
          <w:szCs w:val="28"/>
        </w:rPr>
      </w:pPr>
    </w:p>
    <w:p w:rsidR="003131A8" w:rsidRPr="003131A8" w:rsidRDefault="003131A8" w:rsidP="003B0ADA">
      <w:pPr>
        <w:rPr>
          <w:b/>
          <w:sz w:val="28"/>
          <w:szCs w:val="28"/>
        </w:rPr>
      </w:pPr>
      <w:r w:rsidRPr="003131A8">
        <w:rPr>
          <w:b/>
          <w:sz w:val="28"/>
          <w:szCs w:val="28"/>
          <w:lang w:val="en-US"/>
        </w:rPr>
        <w:t xml:space="preserve">Little Local Difficulties: </w:t>
      </w:r>
      <w:r>
        <w:rPr>
          <w:b/>
          <w:sz w:val="28"/>
          <w:szCs w:val="28"/>
          <w:lang w:val="en-US"/>
        </w:rPr>
        <w:br/>
      </w:r>
      <w:r w:rsidRPr="003131A8">
        <w:rPr>
          <w:b/>
          <w:sz w:val="28"/>
          <w:szCs w:val="28"/>
          <w:lang w:val="en-US"/>
        </w:rPr>
        <w:t>Parochial Problems in Pre-Reformation Warwickshire</w:t>
      </w:r>
    </w:p>
    <w:p w:rsidR="003131A8" w:rsidRDefault="003131A8" w:rsidP="003B0ADA">
      <w:pPr>
        <w:rPr>
          <w:b/>
          <w:sz w:val="28"/>
          <w:szCs w:val="28"/>
        </w:rPr>
      </w:pPr>
    </w:p>
    <w:p w:rsidR="003131A8" w:rsidRPr="003131A8" w:rsidRDefault="003131A8" w:rsidP="003B0ADA">
      <w:pPr>
        <w:rPr>
          <w:i/>
          <w:szCs w:val="24"/>
        </w:rPr>
      </w:pPr>
      <w:r w:rsidRPr="003131A8">
        <w:rPr>
          <w:i/>
          <w:szCs w:val="24"/>
        </w:rPr>
        <w:t>Robert Swanson, Birmingham</w:t>
      </w:r>
    </w:p>
    <w:p w:rsidR="003131A8" w:rsidRDefault="003131A8" w:rsidP="003B0ADA">
      <w:pPr>
        <w:rPr>
          <w:szCs w:val="24"/>
        </w:rPr>
      </w:pPr>
    </w:p>
    <w:p w:rsidR="003131A8" w:rsidRPr="003131A8" w:rsidRDefault="003131A8" w:rsidP="003B0ADA">
      <w:pPr>
        <w:rPr>
          <w:b/>
          <w:szCs w:val="24"/>
        </w:rPr>
      </w:pPr>
      <w:r w:rsidRPr="003131A8">
        <w:rPr>
          <w:szCs w:val="24"/>
        </w:rPr>
        <w:t>Reconstructing medieval parishes requires attention to a vast array of sources. Historians tend to go for the easy ones, but much remains to be excavated from unexpected places, as well as the expected ones, to help to recreate missing elements and rebuild the individual microhistories. This paper draws on a selection of episodes which allow the (often imperfect) construction of narratives dealing with a range of 'little local difficulties' in parishes of pre-Reformation Warwickshire, suggesting the potential of the seams which have yet to be properly mined, both for the county, and for the country</w:t>
      </w:r>
      <w:r w:rsidR="00AF5D65">
        <w:rPr>
          <w:szCs w:val="24"/>
        </w:rPr>
        <w:t>.</w:t>
      </w:r>
    </w:p>
    <w:p w:rsidR="003131A8" w:rsidRDefault="003131A8" w:rsidP="003B0ADA">
      <w:pPr>
        <w:rPr>
          <w:b/>
          <w:sz w:val="28"/>
          <w:szCs w:val="28"/>
        </w:rPr>
      </w:pPr>
    </w:p>
    <w:p w:rsidR="005C01F2" w:rsidRDefault="005C01F2" w:rsidP="003B0ADA">
      <w:pPr>
        <w:rPr>
          <w:b/>
          <w:sz w:val="28"/>
          <w:szCs w:val="28"/>
        </w:rPr>
      </w:pPr>
    </w:p>
    <w:p w:rsidR="005C01F2" w:rsidRDefault="005C01F2" w:rsidP="003B0ADA">
      <w:pPr>
        <w:rPr>
          <w:b/>
          <w:sz w:val="28"/>
          <w:szCs w:val="28"/>
        </w:rPr>
      </w:pPr>
    </w:p>
    <w:p w:rsidR="005C01F2" w:rsidRDefault="005C01F2" w:rsidP="003B0ADA">
      <w:pPr>
        <w:rPr>
          <w:b/>
          <w:sz w:val="28"/>
          <w:szCs w:val="28"/>
        </w:rPr>
      </w:pPr>
    </w:p>
    <w:p w:rsidR="00EA07EC" w:rsidRPr="00750011" w:rsidRDefault="00EA07EC" w:rsidP="003B0ADA">
      <w:pPr>
        <w:rPr>
          <w:b/>
          <w:sz w:val="28"/>
          <w:szCs w:val="28"/>
        </w:rPr>
      </w:pPr>
      <w:r w:rsidRPr="00750011">
        <w:rPr>
          <w:b/>
          <w:sz w:val="28"/>
          <w:szCs w:val="28"/>
        </w:rPr>
        <w:t>W</w:t>
      </w:r>
      <w:r>
        <w:rPr>
          <w:b/>
          <w:sz w:val="28"/>
          <w:szCs w:val="28"/>
        </w:rPr>
        <w:t>orcester and Warwick</w:t>
      </w:r>
      <w:r w:rsidRPr="00750011">
        <w:rPr>
          <w:b/>
          <w:sz w:val="28"/>
          <w:szCs w:val="28"/>
        </w:rPr>
        <w:t xml:space="preserve">: </w:t>
      </w:r>
    </w:p>
    <w:p w:rsidR="00EA07EC" w:rsidRPr="00750011" w:rsidRDefault="00EA07EC" w:rsidP="00EA07EC">
      <w:pPr>
        <w:rPr>
          <w:szCs w:val="24"/>
        </w:rPr>
      </w:pPr>
      <w:r>
        <w:rPr>
          <w:b/>
          <w:sz w:val="28"/>
          <w:szCs w:val="28"/>
        </w:rPr>
        <w:t>The Consistory Court and the People</w:t>
      </w:r>
      <w:r w:rsidRPr="00750011">
        <w:rPr>
          <w:szCs w:val="24"/>
        </w:rPr>
        <w:br/>
      </w:r>
      <w:r>
        <w:rPr>
          <w:i/>
          <w:szCs w:val="24"/>
        </w:rPr>
        <w:br/>
      </w:r>
      <w:r w:rsidRPr="00750011">
        <w:rPr>
          <w:i/>
          <w:szCs w:val="24"/>
        </w:rPr>
        <w:t>Andrew Thomson</w:t>
      </w:r>
      <w:r>
        <w:rPr>
          <w:i/>
          <w:szCs w:val="24"/>
        </w:rPr>
        <w:t>, Winchester</w:t>
      </w:r>
      <w:r w:rsidRPr="00750011">
        <w:rPr>
          <w:i/>
          <w:szCs w:val="24"/>
        </w:rPr>
        <w:br/>
      </w:r>
      <w:r w:rsidRPr="00750011">
        <w:rPr>
          <w:szCs w:val="24"/>
        </w:rPr>
        <w:br/>
        <w:t xml:space="preserve">This ‘mini-paper’ is all about church discipline. It attempts to survey the numbers summoned from Warwick to the consistory court at Worcester in the seventeenth century, attendance rates, charges, and verdicts. </w:t>
      </w:r>
      <w:r w:rsidRPr="00750011">
        <w:rPr>
          <w:szCs w:val="24"/>
        </w:rPr>
        <w:br/>
      </w:r>
      <w:r>
        <w:rPr>
          <w:szCs w:val="24"/>
        </w:rPr>
        <w:br/>
      </w:r>
      <w:r w:rsidRPr="00750011">
        <w:rPr>
          <w:szCs w:val="24"/>
        </w:rPr>
        <w:t>Although hardly more than ‘a glimpse’, it reveals, within the time constraints, something of the extent – and limits – of church control over its flock,  and highlights, in particular, the decline  of the court over the century, and some of the reasons for this development.</w:t>
      </w:r>
    </w:p>
    <w:p w:rsidR="00EA07EC" w:rsidRPr="00D353F4" w:rsidRDefault="00EA07EC" w:rsidP="00EA07EC">
      <w:pPr>
        <w:rPr>
          <w:rFonts w:cs="Times New Roman"/>
          <w:szCs w:val="24"/>
        </w:rPr>
      </w:pPr>
    </w:p>
    <w:p w:rsidR="00EA07EC" w:rsidRDefault="00EA07EC"/>
    <w:sectPr w:rsidR="00EA07EC" w:rsidSect="003131A8">
      <w:headerReference w:type="default" r:id="rId12"/>
      <w:footerReference w:type="default" r:id="rId13"/>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895" w:rsidRDefault="00C24895">
      <w:r>
        <w:separator/>
      </w:r>
    </w:p>
  </w:endnote>
  <w:endnote w:type="continuationSeparator" w:id="0">
    <w:p w:rsidR="00C24895" w:rsidRDefault="00C24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C2" w:rsidRDefault="00EA07EC">
    <w:pPr>
      <w:pStyle w:val="Footer"/>
      <w:rPr>
        <w:rFonts w:ascii="Arial" w:hAnsi="Arial"/>
      </w:rPr>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895" w:rsidRDefault="00C24895">
      <w:r>
        <w:separator/>
      </w:r>
    </w:p>
  </w:footnote>
  <w:footnote w:type="continuationSeparator" w:id="0">
    <w:p w:rsidR="00C24895" w:rsidRDefault="00C248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5225367"/>
      <w:docPartObj>
        <w:docPartGallery w:val="Page Numbers (Top of Page)"/>
        <w:docPartUnique/>
      </w:docPartObj>
    </w:sdtPr>
    <w:sdtEndPr>
      <w:rPr>
        <w:noProof/>
      </w:rPr>
    </w:sdtEndPr>
    <w:sdtContent>
      <w:p w:rsidR="008308F8" w:rsidRDefault="008308F8">
        <w:pPr>
          <w:pStyle w:val="Header"/>
          <w:jc w:val="right"/>
        </w:pPr>
        <w:r>
          <w:fldChar w:fldCharType="begin"/>
        </w:r>
        <w:r>
          <w:instrText xml:space="preserve"> PAGE   \* MERGEFORMAT </w:instrText>
        </w:r>
        <w:r>
          <w:fldChar w:fldCharType="separate"/>
        </w:r>
        <w:r w:rsidR="005413C7">
          <w:rPr>
            <w:noProof/>
          </w:rPr>
          <w:t>3</w:t>
        </w:r>
        <w:r>
          <w:rPr>
            <w:noProof/>
          </w:rPr>
          <w:fldChar w:fldCharType="end"/>
        </w:r>
      </w:p>
    </w:sdtContent>
  </w:sdt>
  <w:p w:rsidR="008308F8" w:rsidRDefault="008308F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98C"/>
    <w:rsid w:val="001F5EE6"/>
    <w:rsid w:val="0020119F"/>
    <w:rsid w:val="002B04CF"/>
    <w:rsid w:val="002B5C9A"/>
    <w:rsid w:val="003131A8"/>
    <w:rsid w:val="00345DF0"/>
    <w:rsid w:val="00387F30"/>
    <w:rsid w:val="003B0ADA"/>
    <w:rsid w:val="0044498C"/>
    <w:rsid w:val="0048163C"/>
    <w:rsid w:val="0049272D"/>
    <w:rsid w:val="004C6DB9"/>
    <w:rsid w:val="005413C7"/>
    <w:rsid w:val="005C01F2"/>
    <w:rsid w:val="00625093"/>
    <w:rsid w:val="00642D97"/>
    <w:rsid w:val="006C4883"/>
    <w:rsid w:val="0074528B"/>
    <w:rsid w:val="007C467D"/>
    <w:rsid w:val="008308F8"/>
    <w:rsid w:val="00A345E9"/>
    <w:rsid w:val="00AF5D65"/>
    <w:rsid w:val="00C24895"/>
    <w:rsid w:val="00D86BD9"/>
    <w:rsid w:val="00EA07EC"/>
    <w:rsid w:val="00F44964"/>
    <w:rsid w:val="00FE3A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83"/>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642D97"/>
    <w:pPr>
      <w:tabs>
        <w:tab w:val="center" w:pos="4153"/>
        <w:tab w:val="right" w:pos="8306"/>
      </w:tabs>
    </w:pPr>
    <w:rPr>
      <w:rFonts w:eastAsia="Times New Roman" w:cs="Times New Roman"/>
      <w:sz w:val="20"/>
      <w:szCs w:val="20"/>
    </w:rPr>
  </w:style>
  <w:style w:type="character" w:customStyle="1" w:styleId="FooterChar">
    <w:name w:val="Footer Char"/>
    <w:basedOn w:val="DefaultParagraphFont"/>
    <w:link w:val="Footer"/>
    <w:rsid w:val="00642D97"/>
    <w:rPr>
      <w:rFonts w:ascii="Times New Roman" w:eastAsia="Times New Roman" w:hAnsi="Times New Roman" w:cs="Times New Roman"/>
      <w:sz w:val="20"/>
      <w:szCs w:val="20"/>
    </w:rPr>
  </w:style>
  <w:style w:type="paragraph" w:styleId="NormalWeb">
    <w:name w:val="Normal (Web)"/>
    <w:basedOn w:val="Normal"/>
    <w:uiPriority w:val="99"/>
    <w:unhideWhenUsed/>
    <w:rsid w:val="00642D97"/>
    <w:pPr>
      <w:spacing w:before="100" w:beforeAutospacing="1" w:after="225"/>
    </w:pPr>
    <w:rPr>
      <w:rFonts w:eastAsia="Times New Roman" w:cs="Times New Roman"/>
      <w:szCs w:val="24"/>
      <w:lang w:eastAsia="en-GB"/>
    </w:rPr>
  </w:style>
  <w:style w:type="paragraph" w:styleId="BalloonText">
    <w:name w:val="Balloon Text"/>
    <w:basedOn w:val="Normal"/>
    <w:link w:val="BalloonTextChar"/>
    <w:uiPriority w:val="99"/>
    <w:semiHidden/>
    <w:unhideWhenUsed/>
    <w:rsid w:val="00642D97"/>
    <w:rPr>
      <w:rFonts w:ascii="Tahoma" w:hAnsi="Tahoma" w:cs="Tahoma"/>
      <w:sz w:val="16"/>
      <w:szCs w:val="16"/>
    </w:rPr>
  </w:style>
  <w:style w:type="character" w:customStyle="1" w:styleId="BalloonTextChar">
    <w:name w:val="Balloon Text Char"/>
    <w:basedOn w:val="DefaultParagraphFont"/>
    <w:link w:val="BalloonText"/>
    <w:uiPriority w:val="99"/>
    <w:semiHidden/>
    <w:rsid w:val="00642D97"/>
    <w:rPr>
      <w:rFonts w:ascii="Tahoma" w:hAnsi="Tahoma" w:cs="Tahoma"/>
      <w:sz w:val="16"/>
      <w:szCs w:val="16"/>
    </w:rPr>
  </w:style>
  <w:style w:type="character" w:styleId="Emphasis">
    <w:name w:val="Emphasis"/>
    <w:basedOn w:val="DefaultParagraphFont"/>
    <w:uiPriority w:val="20"/>
    <w:qFormat/>
    <w:rsid w:val="004C6DB9"/>
    <w:rPr>
      <w:i/>
      <w:iCs/>
    </w:rPr>
  </w:style>
  <w:style w:type="paragraph" w:styleId="Header">
    <w:name w:val="header"/>
    <w:basedOn w:val="Normal"/>
    <w:link w:val="HeaderChar"/>
    <w:uiPriority w:val="99"/>
    <w:unhideWhenUsed/>
    <w:rsid w:val="008308F8"/>
    <w:pPr>
      <w:tabs>
        <w:tab w:val="center" w:pos="4513"/>
        <w:tab w:val="right" w:pos="9026"/>
      </w:tabs>
    </w:pPr>
  </w:style>
  <w:style w:type="character" w:customStyle="1" w:styleId="HeaderChar">
    <w:name w:val="Header Char"/>
    <w:basedOn w:val="DefaultParagraphFont"/>
    <w:link w:val="Header"/>
    <w:uiPriority w:val="99"/>
    <w:rsid w:val="008308F8"/>
    <w:rPr>
      <w:rFonts w:ascii="Times New Roman" w:hAnsi="Times New Roman"/>
      <w:sz w:val="24"/>
    </w:rPr>
  </w:style>
  <w:style w:type="character" w:styleId="Hyperlink">
    <w:name w:val="Hyperlink"/>
    <w:basedOn w:val="DefaultParagraphFont"/>
    <w:uiPriority w:val="99"/>
    <w:semiHidden/>
    <w:unhideWhenUsed/>
    <w:rsid w:val="005C01F2"/>
    <w:rPr>
      <w:color w:val="0000FF"/>
      <w:u w:val="single"/>
    </w:rPr>
  </w:style>
  <w:style w:type="paragraph" w:customStyle="1" w:styleId="xmsonormal">
    <w:name w:val="x_msonormal"/>
    <w:basedOn w:val="Normal"/>
    <w:rsid w:val="005C01F2"/>
    <w:pPr>
      <w:spacing w:before="100" w:beforeAutospacing="1" w:after="100" w:afterAutospacing="1"/>
    </w:pPr>
    <w:rPr>
      <w:rFonts w:eastAsia="Times New Roman" w:cs="Times New Roman"/>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83"/>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642D97"/>
    <w:pPr>
      <w:tabs>
        <w:tab w:val="center" w:pos="4153"/>
        <w:tab w:val="right" w:pos="8306"/>
      </w:tabs>
    </w:pPr>
    <w:rPr>
      <w:rFonts w:eastAsia="Times New Roman" w:cs="Times New Roman"/>
      <w:sz w:val="20"/>
      <w:szCs w:val="20"/>
    </w:rPr>
  </w:style>
  <w:style w:type="character" w:customStyle="1" w:styleId="FooterChar">
    <w:name w:val="Footer Char"/>
    <w:basedOn w:val="DefaultParagraphFont"/>
    <w:link w:val="Footer"/>
    <w:rsid w:val="00642D97"/>
    <w:rPr>
      <w:rFonts w:ascii="Times New Roman" w:eastAsia="Times New Roman" w:hAnsi="Times New Roman" w:cs="Times New Roman"/>
      <w:sz w:val="20"/>
      <w:szCs w:val="20"/>
    </w:rPr>
  </w:style>
  <w:style w:type="paragraph" w:styleId="NormalWeb">
    <w:name w:val="Normal (Web)"/>
    <w:basedOn w:val="Normal"/>
    <w:uiPriority w:val="99"/>
    <w:unhideWhenUsed/>
    <w:rsid w:val="00642D97"/>
    <w:pPr>
      <w:spacing w:before="100" w:beforeAutospacing="1" w:after="225"/>
    </w:pPr>
    <w:rPr>
      <w:rFonts w:eastAsia="Times New Roman" w:cs="Times New Roman"/>
      <w:szCs w:val="24"/>
      <w:lang w:eastAsia="en-GB"/>
    </w:rPr>
  </w:style>
  <w:style w:type="paragraph" w:styleId="BalloonText">
    <w:name w:val="Balloon Text"/>
    <w:basedOn w:val="Normal"/>
    <w:link w:val="BalloonTextChar"/>
    <w:uiPriority w:val="99"/>
    <w:semiHidden/>
    <w:unhideWhenUsed/>
    <w:rsid w:val="00642D97"/>
    <w:rPr>
      <w:rFonts w:ascii="Tahoma" w:hAnsi="Tahoma" w:cs="Tahoma"/>
      <w:sz w:val="16"/>
      <w:szCs w:val="16"/>
    </w:rPr>
  </w:style>
  <w:style w:type="character" w:customStyle="1" w:styleId="BalloonTextChar">
    <w:name w:val="Balloon Text Char"/>
    <w:basedOn w:val="DefaultParagraphFont"/>
    <w:link w:val="BalloonText"/>
    <w:uiPriority w:val="99"/>
    <w:semiHidden/>
    <w:rsid w:val="00642D97"/>
    <w:rPr>
      <w:rFonts w:ascii="Tahoma" w:hAnsi="Tahoma" w:cs="Tahoma"/>
      <w:sz w:val="16"/>
      <w:szCs w:val="16"/>
    </w:rPr>
  </w:style>
  <w:style w:type="character" w:styleId="Emphasis">
    <w:name w:val="Emphasis"/>
    <w:basedOn w:val="DefaultParagraphFont"/>
    <w:uiPriority w:val="20"/>
    <w:qFormat/>
    <w:rsid w:val="004C6DB9"/>
    <w:rPr>
      <w:i/>
      <w:iCs/>
    </w:rPr>
  </w:style>
  <w:style w:type="paragraph" w:styleId="Header">
    <w:name w:val="header"/>
    <w:basedOn w:val="Normal"/>
    <w:link w:val="HeaderChar"/>
    <w:uiPriority w:val="99"/>
    <w:unhideWhenUsed/>
    <w:rsid w:val="008308F8"/>
    <w:pPr>
      <w:tabs>
        <w:tab w:val="center" w:pos="4513"/>
        <w:tab w:val="right" w:pos="9026"/>
      </w:tabs>
    </w:pPr>
  </w:style>
  <w:style w:type="character" w:customStyle="1" w:styleId="HeaderChar">
    <w:name w:val="Header Char"/>
    <w:basedOn w:val="DefaultParagraphFont"/>
    <w:link w:val="Header"/>
    <w:uiPriority w:val="99"/>
    <w:rsid w:val="008308F8"/>
    <w:rPr>
      <w:rFonts w:ascii="Times New Roman" w:hAnsi="Times New Roman"/>
      <w:sz w:val="24"/>
    </w:rPr>
  </w:style>
  <w:style w:type="character" w:styleId="Hyperlink">
    <w:name w:val="Hyperlink"/>
    <w:basedOn w:val="DefaultParagraphFont"/>
    <w:uiPriority w:val="99"/>
    <w:semiHidden/>
    <w:unhideWhenUsed/>
    <w:rsid w:val="005C01F2"/>
    <w:rPr>
      <w:color w:val="0000FF"/>
      <w:u w:val="single"/>
    </w:rPr>
  </w:style>
  <w:style w:type="paragraph" w:customStyle="1" w:styleId="xmsonormal">
    <w:name w:val="x_msonormal"/>
    <w:basedOn w:val="Normal"/>
    <w:rsid w:val="005C01F2"/>
    <w:pPr>
      <w:spacing w:before="100" w:beforeAutospacing="1" w:after="100" w:afterAutospacing="1"/>
    </w:pPr>
    <w:rPr>
      <w:rFonts w:eastAsia="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2394878">
      <w:bodyDiv w:val="1"/>
      <w:marLeft w:val="0"/>
      <w:marRight w:val="0"/>
      <w:marTop w:val="0"/>
      <w:marBottom w:val="0"/>
      <w:divBdr>
        <w:top w:val="none" w:sz="0" w:space="0" w:color="auto"/>
        <w:left w:val="none" w:sz="0" w:space="0" w:color="auto"/>
        <w:bottom w:val="none" w:sz="0" w:space="0" w:color="auto"/>
        <w:right w:val="none" w:sz="0" w:space="0" w:color="auto"/>
      </w:divBdr>
      <w:divsChild>
        <w:div w:id="742410988">
          <w:marLeft w:val="0"/>
          <w:marRight w:val="120"/>
          <w:marTop w:val="0"/>
          <w:marBottom w:val="0"/>
          <w:divBdr>
            <w:top w:val="none" w:sz="0" w:space="0" w:color="auto"/>
            <w:left w:val="none" w:sz="0" w:space="0" w:color="auto"/>
            <w:bottom w:val="none" w:sz="0" w:space="0" w:color="auto"/>
            <w:right w:val="none" w:sz="0" w:space="0" w:color="auto"/>
          </w:divBdr>
          <w:divsChild>
            <w:div w:id="2008316107">
              <w:marLeft w:val="0"/>
              <w:marRight w:val="0"/>
              <w:marTop w:val="0"/>
              <w:marBottom w:val="0"/>
              <w:divBdr>
                <w:top w:val="none" w:sz="0" w:space="0" w:color="auto"/>
                <w:left w:val="none" w:sz="0" w:space="0" w:color="auto"/>
                <w:bottom w:val="none" w:sz="0" w:space="0" w:color="auto"/>
                <w:right w:val="none" w:sz="0" w:space="0" w:color="auto"/>
              </w:divBdr>
              <w:divsChild>
                <w:div w:id="2012486067">
                  <w:marLeft w:val="0"/>
                  <w:marRight w:val="0"/>
                  <w:marTop w:val="0"/>
                  <w:marBottom w:val="0"/>
                  <w:divBdr>
                    <w:top w:val="none" w:sz="0" w:space="0" w:color="auto"/>
                    <w:left w:val="none" w:sz="0" w:space="0" w:color="auto"/>
                    <w:bottom w:val="none" w:sz="0" w:space="0" w:color="auto"/>
                    <w:right w:val="none" w:sz="0" w:space="0" w:color="auto"/>
                  </w:divBdr>
                  <w:divsChild>
                    <w:div w:id="1190558682">
                      <w:marLeft w:val="0"/>
                      <w:marRight w:val="0"/>
                      <w:marTop w:val="0"/>
                      <w:marBottom w:val="0"/>
                      <w:divBdr>
                        <w:top w:val="none" w:sz="0" w:space="0" w:color="auto"/>
                        <w:left w:val="none" w:sz="0" w:space="0" w:color="auto"/>
                        <w:bottom w:val="none" w:sz="0" w:space="0" w:color="auto"/>
                        <w:right w:val="none" w:sz="0" w:space="0" w:color="auto"/>
                      </w:divBdr>
                      <w:divsChild>
                        <w:div w:id="1051462438">
                          <w:marLeft w:val="0"/>
                          <w:marRight w:val="0"/>
                          <w:marTop w:val="0"/>
                          <w:marBottom w:val="0"/>
                          <w:divBdr>
                            <w:top w:val="none" w:sz="0" w:space="0" w:color="auto"/>
                            <w:left w:val="none" w:sz="0" w:space="0" w:color="auto"/>
                            <w:bottom w:val="none" w:sz="0" w:space="0" w:color="auto"/>
                            <w:right w:val="none" w:sz="0" w:space="0" w:color="auto"/>
                          </w:divBdr>
                          <w:divsChild>
                            <w:div w:id="1847012300">
                              <w:marLeft w:val="0"/>
                              <w:marRight w:val="0"/>
                              <w:marTop w:val="0"/>
                              <w:marBottom w:val="0"/>
                              <w:divBdr>
                                <w:top w:val="none" w:sz="0" w:space="0" w:color="auto"/>
                                <w:left w:val="none" w:sz="0" w:space="0" w:color="auto"/>
                                <w:bottom w:val="none" w:sz="0" w:space="0" w:color="auto"/>
                                <w:right w:val="none" w:sz="0" w:space="0" w:color="auto"/>
                              </w:divBdr>
                              <w:divsChild>
                                <w:div w:id="702286011">
                                  <w:marLeft w:val="0"/>
                                  <w:marRight w:val="0"/>
                                  <w:marTop w:val="0"/>
                                  <w:marBottom w:val="0"/>
                                  <w:divBdr>
                                    <w:top w:val="none" w:sz="0" w:space="0" w:color="auto"/>
                                    <w:left w:val="none" w:sz="0" w:space="0" w:color="auto"/>
                                    <w:bottom w:val="none" w:sz="0" w:space="0" w:color="auto"/>
                                    <w:right w:val="none" w:sz="0" w:space="0" w:color="auto"/>
                                  </w:divBdr>
                                  <w:divsChild>
                                    <w:div w:id="1344549108">
                                      <w:marLeft w:val="0"/>
                                      <w:marRight w:val="0"/>
                                      <w:marTop w:val="0"/>
                                      <w:marBottom w:val="0"/>
                                      <w:divBdr>
                                        <w:top w:val="none" w:sz="0" w:space="0" w:color="auto"/>
                                        <w:left w:val="none" w:sz="0" w:space="0" w:color="auto"/>
                                        <w:bottom w:val="none" w:sz="0" w:space="0" w:color="auto"/>
                                        <w:right w:val="none" w:sz="0" w:space="0" w:color="auto"/>
                                      </w:divBdr>
                                      <w:divsChild>
                                        <w:div w:id="1057583034">
                                          <w:marLeft w:val="0"/>
                                          <w:marRight w:val="0"/>
                                          <w:marTop w:val="0"/>
                                          <w:marBottom w:val="0"/>
                                          <w:divBdr>
                                            <w:top w:val="none" w:sz="0" w:space="0" w:color="auto"/>
                                            <w:left w:val="none" w:sz="0" w:space="0" w:color="auto"/>
                                            <w:bottom w:val="none" w:sz="0" w:space="0" w:color="auto"/>
                                            <w:right w:val="none" w:sz="0" w:space="0" w:color="auto"/>
                                          </w:divBdr>
                                          <w:divsChild>
                                            <w:div w:id="315767737">
                                              <w:marLeft w:val="0"/>
                                              <w:marRight w:val="0"/>
                                              <w:marTop w:val="0"/>
                                              <w:marBottom w:val="0"/>
                                              <w:divBdr>
                                                <w:top w:val="none" w:sz="0" w:space="0" w:color="auto"/>
                                                <w:left w:val="none" w:sz="0" w:space="0" w:color="auto"/>
                                                <w:bottom w:val="none" w:sz="0" w:space="0" w:color="auto"/>
                                                <w:right w:val="none" w:sz="0" w:space="0" w:color="auto"/>
                                              </w:divBdr>
                                              <w:divsChild>
                                                <w:div w:id="1823422979">
                                                  <w:marLeft w:val="0"/>
                                                  <w:marRight w:val="0"/>
                                                  <w:marTop w:val="0"/>
                                                  <w:marBottom w:val="0"/>
                                                  <w:divBdr>
                                                    <w:top w:val="none" w:sz="0" w:space="0" w:color="auto"/>
                                                    <w:left w:val="none" w:sz="0" w:space="0" w:color="auto"/>
                                                    <w:bottom w:val="none" w:sz="0" w:space="0" w:color="auto"/>
                                                    <w:right w:val="none" w:sz="0" w:space="0" w:color="auto"/>
                                                  </w:divBdr>
                                                  <w:divsChild>
                                                    <w:div w:id="407071494">
                                                      <w:marLeft w:val="0"/>
                                                      <w:marRight w:val="0"/>
                                                      <w:marTop w:val="0"/>
                                                      <w:marBottom w:val="0"/>
                                                      <w:divBdr>
                                                        <w:top w:val="none" w:sz="0" w:space="0" w:color="auto"/>
                                                        <w:left w:val="none" w:sz="0" w:space="0" w:color="auto"/>
                                                        <w:bottom w:val="none" w:sz="0" w:space="0" w:color="auto"/>
                                                        <w:right w:val="none" w:sz="0" w:space="0" w:color="auto"/>
                                                      </w:divBdr>
                                                      <w:divsChild>
                                                        <w:div w:id="1190148664">
                                                          <w:marLeft w:val="480"/>
                                                          <w:marRight w:val="0"/>
                                                          <w:marTop w:val="0"/>
                                                          <w:marBottom w:val="0"/>
                                                          <w:divBdr>
                                                            <w:top w:val="none" w:sz="0" w:space="0" w:color="auto"/>
                                                            <w:left w:val="none" w:sz="0" w:space="0" w:color="auto"/>
                                                            <w:bottom w:val="none" w:sz="0" w:space="0" w:color="auto"/>
                                                            <w:right w:val="none" w:sz="0" w:space="0" w:color="auto"/>
                                                          </w:divBdr>
                                                          <w:divsChild>
                                                            <w:div w:id="527834883">
                                                              <w:marLeft w:val="0"/>
                                                              <w:marRight w:val="0"/>
                                                              <w:marTop w:val="0"/>
                                                              <w:marBottom w:val="0"/>
                                                              <w:divBdr>
                                                                <w:top w:val="none" w:sz="0" w:space="0" w:color="auto"/>
                                                                <w:left w:val="none" w:sz="0" w:space="0" w:color="auto"/>
                                                                <w:bottom w:val="none" w:sz="0" w:space="0" w:color="auto"/>
                                                                <w:right w:val="none" w:sz="0" w:space="0" w:color="auto"/>
                                                              </w:divBdr>
                                                              <w:divsChild>
                                                                <w:div w:id="979071382">
                                                                  <w:marLeft w:val="0"/>
                                                                  <w:marRight w:val="0"/>
                                                                  <w:marTop w:val="0"/>
                                                                  <w:marBottom w:val="0"/>
                                                                  <w:divBdr>
                                                                    <w:top w:val="none" w:sz="0" w:space="0" w:color="auto"/>
                                                                    <w:left w:val="none" w:sz="0" w:space="0" w:color="auto"/>
                                                                    <w:bottom w:val="none" w:sz="0" w:space="0" w:color="auto"/>
                                                                    <w:right w:val="none" w:sz="0" w:space="0" w:color="auto"/>
                                                                  </w:divBdr>
                                                                  <w:divsChild>
                                                                    <w:div w:id="1150829357">
                                                                      <w:marLeft w:val="0"/>
                                                                      <w:marRight w:val="0"/>
                                                                      <w:marTop w:val="240"/>
                                                                      <w:marBottom w:val="0"/>
                                                                      <w:divBdr>
                                                                        <w:top w:val="none" w:sz="0" w:space="0" w:color="auto"/>
                                                                        <w:left w:val="none" w:sz="0" w:space="0" w:color="auto"/>
                                                                        <w:bottom w:val="none" w:sz="0" w:space="0" w:color="auto"/>
                                                                        <w:right w:val="none" w:sz="0" w:space="0" w:color="auto"/>
                                                                      </w:divBdr>
                                                                      <w:divsChild>
                                                                        <w:div w:id="379985634">
                                                                          <w:marLeft w:val="0"/>
                                                                          <w:marRight w:val="0"/>
                                                                          <w:marTop w:val="0"/>
                                                                          <w:marBottom w:val="0"/>
                                                                          <w:divBdr>
                                                                            <w:top w:val="none" w:sz="0" w:space="0" w:color="auto"/>
                                                                            <w:left w:val="none" w:sz="0" w:space="0" w:color="auto"/>
                                                                            <w:bottom w:val="none" w:sz="0" w:space="0" w:color="auto"/>
                                                                            <w:right w:val="none" w:sz="0" w:space="0" w:color="auto"/>
                                                                          </w:divBdr>
                                                                          <w:divsChild>
                                                                            <w:div w:id="1754430870">
                                                                              <w:marLeft w:val="0"/>
                                                                              <w:marRight w:val="0"/>
                                                                              <w:marTop w:val="0"/>
                                                                              <w:marBottom w:val="0"/>
                                                                              <w:divBdr>
                                                                                <w:top w:val="none" w:sz="0" w:space="0" w:color="auto"/>
                                                                                <w:left w:val="none" w:sz="0" w:space="0" w:color="auto"/>
                                                                                <w:bottom w:val="single" w:sz="6" w:space="23" w:color="auto"/>
                                                                                <w:right w:val="none" w:sz="0" w:space="0" w:color="auto"/>
                                                                              </w:divBdr>
                                                                              <w:divsChild>
                                                                                <w:div w:id="452747914">
                                                                                  <w:marLeft w:val="0"/>
                                                                                  <w:marRight w:val="0"/>
                                                                                  <w:marTop w:val="0"/>
                                                                                  <w:marBottom w:val="0"/>
                                                                                  <w:divBdr>
                                                                                    <w:top w:val="none" w:sz="0" w:space="0" w:color="auto"/>
                                                                                    <w:left w:val="none" w:sz="0" w:space="0" w:color="auto"/>
                                                                                    <w:bottom w:val="none" w:sz="0" w:space="0" w:color="auto"/>
                                                                                    <w:right w:val="none" w:sz="0" w:space="0" w:color="auto"/>
                                                                                  </w:divBdr>
                                                                                  <w:divsChild>
                                                                                    <w:div w:id="263805702">
                                                                                      <w:marLeft w:val="0"/>
                                                                                      <w:marRight w:val="0"/>
                                                                                      <w:marTop w:val="0"/>
                                                                                      <w:marBottom w:val="0"/>
                                                                                      <w:divBdr>
                                                                                        <w:top w:val="none" w:sz="0" w:space="0" w:color="auto"/>
                                                                                        <w:left w:val="none" w:sz="0" w:space="0" w:color="auto"/>
                                                                                        <w:bottom w:val="none" w:sz="0" w:space="0" w:color="auto"/>
                                                                                        <w:right w:val="none" w:sz="0" w:space="0" w:color="auto"/>
                                                                                      </w:divBdr>
                                                                                      <w:divsChild>
                                                                                        <w:div w:id="1021206695">
                                                                                          <w:marLeft w:val="0"/>
                                                                                          <w:marRight w:val="0"/>
                                                                                          <w:marTop w:val="0"/>
                                                                                          <w:marBottom w:val="0"/>
                                                                                          <w:divBdr>
                                                                                            <w:top w:val="none" w:sz="0" w:space="0" w:color="auto"/>
                                                                                            <w:left w:val="none" w:sz="0" w:space="0" w:color="auto"/>
                                                                                            <w:bottom w:val="none" w:sz="0" w:space="0" w:color="auto"/>
                                                                                            <w:right w:val="none" w:sz="0" w:space="0" w:color="auto"/>
                                                                                          </w:divBdr>
                                                                                          <w:divsChild>
                                                                                            <w:div w:id="514807806">
                                                                                              <w:marLeft w:val="0"/>
                                                                                              <w:marRight w:val="0"/>
                                                                                              <w:marTop w:val="0"/>
                                                                                              <w:marBottom w:val="0"/>
                                                                                              <w:divBdr>
                                                                                                <w:top w:val="none" w:sz="0" w:space="0" w:color="auto"/>
                                                                                                <w:left w:val="none" w:sz="0" w:space="0" w:color="auto"/>
                                                                                                <w:bottom w:val="none" w:sz="0" w:space="0" w:color="auto"/>
                                                                                                <w:right w:val="none" w:sz="0" w:space="0" w:color="auto"/>
                                                                                              </w:divBdr>
                                                                                              <w:divsChild>
                                                                                                <w:div w:id="2083285003">
                                                                                                  <w:marLeft w:val="0"/>
                                                                                                  <w:marRight w:val="0"/>
                                                                                                  <w:marTop w:val="0"/>
                                                                                                  <w:marBottom w:val="0"/>
                                                                                                  <w:divBdr>
                                                                                                    <w:top w:val="none" w:sz="0" w:space="0" w:color="auto"/>
                                                                                                    <w:left w:val="none" w:sz="0" w:space="0" w:color="auto"/>
                                                                                                    <w:bottom w:val="none" w:sz="0" w:space="0" w:color="auto"/>
                                                                                                    <w:right w:val="none" w:sz="0" w:space="0" w:color="auto"/>
                                                                                                  </w:divBdr>
                                                                                                  <w:divsChild>
                                                                                                    <w:div w:id="201209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www.berkswell.or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warwickshirehistory.org.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5</Pages>
  <Words>1862</Words>
  <Characters>10616</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Warwick History Dept</dc:creator>
  <cp:lastModifiedBy>Warwick History Dept</cp:lastModifiedBy>
  <cp:revision>13</cp:revision>
  <dcterms:created xsi:type="dcterms:W3CDTF">2015-04-21T10:52:00Z</dcterms:created>
  <dcterms:modified xsi:type="dcterms:W3CDTF">2015-05-11T20:19:00Z</dcterms:modified>
</cp:coreProperties>
</file>