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9AC73B0" w14:textId="77777777" w:rsidR="009D1918" w:rsidRDefault="009D1918" w:rsidP="00AB69D4">
      <w:pPr>
        <w:rPr>
          <w:sz w:val="28"/>
          <w:szCs w:val="28"/>
        </w:rPr>
      </w:pPr>
    </w:p>
    <w:p w14:paraId="026DA5C5" w14:textId="533B998A" w:rsidR="00754C9D" w:rsidRPr="00AB69D4" w:rsidRDefault="00754C9D" w:rsidP="00AB69D4">
      <w:pPr>
        <w:rPr>
          <w:sz w:val="28"/>
          <w:szCs w:val="28"/>
        </w:rPr>
      </w:pPr>
      <w:r w:rsidRPr="00AB69D4">
        <w:rPr>
          <w:noProof/>
          <w:sz w:val="28"/>
          <w:szCs w:val="28"/>
          <w:lang w:val="en-GB" w:eastAsia="en-GB"/>
        </w:rPr>
        <mc:AlternateContent>
          <mc:Choice Requires="wps">
            <w:drawing>
              <wp:anchor distT="152400" distB="152400" distL="152400" distR="152400" simplePos="0" relativeHeight="251663360" behindDoc="0" locked="0" layoutInCell="1" allowOverlap="1" wp14:anchorId="5B93980B" wp14:editId="581E1A95">
                <wp:simplePos x="0" y="0"/>
                <wp:positionH relativeFrom="page">
                  <wp:posOffset>342900</wp:posOffset>
                </wp:positionH>
                <wp:positionV relativeFrom="page">
                  <wp:posOffset>8915400</wp:posOffset>
                </wp:positionV>
                <wp:extent cx="3372485" cy="457200"/>
                <wp:effectExtent l="0" t="0" r="5715" b="0"/>
                <wp:wrapNone/>
                <wp:docPr id="1073741829" name="officeArt object"/>
                <wp:cNvGraphicFramePr/>
                <a:graphic xmlns:a="http://schemas.openxmlformats.org/drawingml/2006/main">
                  <a:graphicData uri="http://schemas.microsoft.com/office/word/2010/wordprocessingShape">
                    <wps:wsp>
                      <wps:cNvSpPr/>
                      <wps:spPr>
                        <a:xfrm>
                          <a:off x="0" y="0"/>
                          <a:ext cx="3372485" cy="457200"/>
                        </a:xfrm>
                        <a:prstGeom prst="rect">
                          <a:avLst/>
                        </a:prstGeom>
                        <a:noFill/>
                        <a:ln w="12700" cap="flat">
                          <a:noFill/>
                          <a:miter lim="400000"/>
                        </a:ln>
                        <a:effectLst/>
                      </wps:spPr>
                      <wps:txbx>
                        <w:txbxContent>
                          <w:p w14:paraId="1F8DA7BC" w14:textId="48410A99" w:rsidR="005E2D9A" w:rsidRPr="001923E4" w:rsidRDefault="001923E4">
                            <w:pPr>
                              <w:pStyle w:val="Subtitle2"/>
                              <w:jc w:val="center"/>
                              <w:rPr>
                                <w:lang w:val="en-GB"/>
                              </w:rPr>
                            </w:pPr>
                            <w:r>
                              <w:rPr>
                                <w:lang w:val="en-GB"/>
                              </w:rPr>
                              <w:t xml:space="preserve"> </w:t>
                            </w:r>
                          </w:p>
                        </w:txbxContent>
                      </wps:txbx>
                      <wps:bodyPr wrap="square" lIns="50800" tIns="50800" rIns="50800" bIns="50800" numCol="1" anchor="t">
                        <a:noAutofit/>
                      </wps:bodyPr>
                    </wps:wsp>
                  </a:graphicData>
                </a:graphic>
                <wp14:sizeRelV relativeFrom="margin">
                  <wp14:pctHeight>0</wp14:pctHeight>
                </wp14:sizeRelV>
              </wp:anchor>
            </w:drawing>
          </mc:Choice>
          <mc:Fallback>
            <w:pict>
              <v:rect id="officeArt object" o:spid="_x0000_s1026" style="position:absolute;margin-left:27pt;margin-top:702pt;width:265.55pt;height:36pt;z-index:251663360;visibility:visible;mso-wrap-style:square;mso-height-percent:0;mso-wrap-distance-left:12pt;mso-wrap-distance-top:12pt;mso-wrap-distance-right:12pt;mso-wrap-distance-bottom:12pt;mso-position-horizontal:absolute;mso-position-horizontal-relative:page;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" filled="f" stroked="f" strokeweight="1pt">
                <v:stroke miterlimit="4"/>
                <v:textbox inset="4pt,4pt,4pt,4pt">
                  <w:txbxContent>
                    <w:p w14:paraId="1F8DA7BC" w14:textId="48410A99" w:rsidR="005E2D9A" w:rsidRPr="001923E4" w:rsidRDefault="001923E4">
                      <w:pPr>
                        <w:pStyle w:val="Subtitle2"/>
                        <w:jc w:val="center"/>
                        <w:rPr>
                          <w:lang w:val="en-GB"/>
                        </w:rPr>
                      </w:pPr>
                      <w:r>
                        <w:rPr>
                          <w:lang w:val="en-GB"/>
                        </w:rPr>
                        <w:t xml:space="preserve"> </w:t>
                      </w:r>
                    </w:p>
                  </w:txbxContent>
                </v:textbox>
                <w10:wrap anchorx="page" anchory="page"/>
              </v:rect>
            </w:pict>
          </mc:Fallback>
        </mc:AlternateContent>
      </w:r>
      <w:r w:rsidR="007B0DE7" w:rsidRPr="00AB69D4">
        <w:rPr>
          <w:noProof/>
          <w:sz w:val="28"/>
          <w:szCs w:val="28"/>
          <w:lang w:val="en-GB" w:eastAsia="en-GB"/>
        </w:rPr>
        <w:drawing>
          <wp:anchor distT="152400" distB="152400" distL="152400" distR="152400" simplePos="0" relativeHeight="251659263" behindDoc="0" locked="0" layoutInCell="1" allowOverlap="1" wp14:anchorId="5C0539DE" wp14:editId="256522F5">
            <wp:simplePos x="0" y="0"/>
            <wp:positionH relativeFrom="page">
              <wp:posOffset>0</wp:posOffset>
            </wp:positionH>
            <wp:positionV relativeFrom="page">
              <wp:posOffset>9535085</wp:posOffset>
            </wp:positionV>
            <wp:extent cx="7556500" cy="961167"/>
            <wp:effectExtent l="0" t="0" r="0" b="0"/>
            <wp:wrapTopAndBottom distT="152400" distB="152400"/>
            <wp:docPr id="1073741832" name="officeArt object"/>
            <wp:cNvGraphicFramePr/>
            <a:graphic xmlns:a="http://schemas.openxmlformats.org/drawingml/2006/main">
              <a:graphicData uri="http://schemas.openxmlformats.org/drawingml/2006/picture">
                <pic:pic xmlns:pic="http://schemas.openxmlformats.org/drawingml/2006/picture">
                  <pic:nvPicPr>
                    <pic:cNvPr id="1073741832" name="keyline_humanities_research_centre_black_outlined (2).jpg"/>
                    <pic:cNvPicPr/>
                  </pic:nvPicPr>
                  <pic:blipFill>
                    <a:blip r:embed="rId7">
                      <a:extLst/>
                    </a:blip>
                    <a:srcRect/>
                    <a:stretch>
                      <a:fillRect/>
                    </a:stretch>
                  </pic:blipFill>
                  <pic:spPr>
                    <a:xfrm>
                      <a:off x="0" y="0"/>
                      <a:ext cx="7556500" cy="961167"/>
                    </a:xfrm>
                    <a:prstGeom prst="rect">
                      <a:avLst/>
                    </a:prstGeom>
                    <a:ln w="12700" cap="flat">
                      <a:noFill/>
                      <a:miter lim="400000"/>
                    </a:ln>
                    <a:effectLst/>
                  </pic:spPr>
                </pic:pic>
              </a:graphicData>
            </a:graphic>
          </wp:anchor>
        </w:drawing>
      </w:r>
    </w:p>
    <w:p w14:paraId="437D2F10" w14:textId="77777777" w:rsidR="00754C9D" w:rsidRDefault="00754C9D" w:rsidP="00AB69D4">
      <w:pPr>
        <w:rPr>
          <w:sz w:val="28"/>
          <w:szCs w:val="28"/>
        </w:rPr>
      </w:pPr>
    </w:p>
    <w:p w14:paraId="2D47FFC7" w14:textId="77777777" w:rsidR="00CB6562" w:rsidRPr="00AB69D4" w:rsidRDefault="00CB6562" w:rsidP="00AB69D4">
      <w:pPr>
        <w:rPr>
          <w:sz w:val="28"/>
          <w:szCs w:val="28"/>
        </w:rPr>
      </w:pPr>
    </w:p>
    <w:p w14:paraId="3E0BF4F8" w14:textId="64D08E04" w:rsidR="00AB69D4" w:rsidRPr="00AB69D4" w:rsidRDefault="00AB69D4" w:rsidP="00AB69D4">
      <w:pPr>
        <w:pBdr>
          <w:top w:val="single" w:sz="4" w:space="1" w:color="auto"/>
          <w:left w:val="single" w:sz="4" w:space="4" w:color="auto"/>
          <w:bottom w:val="single" w:sz="4" w:space="1" w:color="auto"/>
          <w:right w:val="single" w:sz="4" w:space="4" w:color="auto"/>
        </w:pBdr>
        <w:jc w:val="center"/>
        <w:rPr>
          <w:rFonts w:ascii="Calibri" w:hAnsi="Calibri"/>
          <w:sz w:val="28"/>
          <w:szCs w:val="28"/>
        </w:rPr>
      </w:pPr>
      <w:r w:rsidRPr="00AB69D4">
        <w:rPr>
          <w:rFonts w:ascii="Calibri" w:hAnsi="Calibri"/>
          <w:sz w:val="28"/>
          <w:szCs w:val="28"/>
        </w:rPr>
        <w:t>FOURTEENTH WARWICK SYMPOSIUM ON PARISH RESEARCH</w:t>
      </w:r>
    </w:p>
    <w:p w14:paraId="6BC1B5DE" w14:textId="24B41268" w:rsidR="00AB69D4" w:rsidRPr="00AB69D4" w:rsidRDefault="00AB69D4" w:rsidP="00AB69D4">
      <w:pPr>
        <w:pBdr>
          <w:top w:val="single" w:sz="4" w:space="1" w:color="auto"/>
          <w:left w:val="single" w:sz="4" w:space="4" w:color="auto"/>
          <w:bottom w:val="single" w:sz="4" w:space="1" w:color="auto"/>
          <w:right w:val="single" w:sz="4" w:space="4" w:color="auto"/>
        </w:pBdr>
        <w:jc w:val="center"/>
        <w:rPr>
          <w:rFonts w:ascii="Calibri" w:hAnsi="Calibri"/>
          <w:b/>
          <w:sz w:val="28"/>
          <w:szCs w:val="28"/>
          <w:u w:val="single"/>
        </w:rPr>
      </w:pPr>
      <w:r w:rsidRPr="00AB69D4">
        <w:rPr>
          <w:rFonts w:ascii="Calibri" w:hAnsi="Calibri"/>
          <w:b/>
          <w:sz w:val="28"/>
          <w:szCs w:val="28"/>
          <w:u w:val="single"/>
        </w:rPr>
        <w:br/>
        <w:t>REFLECTING THE PARISH</w:t>
      </w:r>
    </w:p>
    <w:p w14:paraId="2FE52DDC" w14:textId="77777777" w:rsidR="00AB69D4" w:rsidRPr="00AB69D4" w:rsidRDefault="00AB69D4" w:rsidP="00AB69D4">
      <w:pPr>
        <w:pBdr>
          <w:top w:val="single" w:sz="4" w:space="1" w:color="auto"/>
          <w:left w:val="single" w:sz="4" w:space="4" w:color="auto"/>
          <w:bottom w:val="single" w:sz="4" w:space="1" w:color="auto"/>
          <w:right w:val="single" w:sz="4" w:space="4" w:color="auto"/>
        </w:pBdr>
        <w:jc w:val="center"/>
        <w:rPr>
          <w:rFonts w:ascii="Calibri" w:hAnsi="Calibri"/>
          <w:b/>
          <w:sz w:val="28"/>
          <w:szCs w:val="28"/>
          <w:u w:val="single"/>
        </w:rPr>
      </w:pPr>
    </w:p>
    <w:p w14:paraId="016AF572" w14:textId="77777777" w:rsidR="00AB69D4" w:rsidRPr="00AB69D4" w:rsidRDefault="00AB69D4" w:rsidP="00AB69D4">
      <w:pPr>
        <w:pBdr>
          <w:top w:val="single" w:sz="4" w:space="1" w:color="auto"/>
          <w:left w:val="single" w:sz="4" w:space="4" w:color="auto"/>
          <w:bottom w:val="single" w:sz="4" w:space="1" w:color="auto"/>
          <w:right w:val="single" w:sz="4" w:space="4" w:color="auto"/>
        </w:pBdr>
        <w:jc w:val="center"/>
        <w:rPr>
          <w:rFonts w:ascii="Calibri" w:hAnsi="Calibri"/>
          <w:sz w:val="28"/>
          <w:szCs w:val="28"/>
        </w:rPr>
      </w:pPr>
      <w:r w:rsidRPr="00AB69D4">
        <w:rPr>
          <w:rFonts w:ascii="Calibri" w:hAnsi="Calibri"/>
          <w:sz w:val="28"/>
          <w:szCs w:val="28"/>
        </w:rPr>
        <w:t>Saturday 7 May 2016 at the University of Warwick</w:t>
      </w:r>
    </w:p>
    <w:p w14:paraId="17DF0640" w14:textId="77777777" w:rsidR="009D1918" w:rsidRPr="00AB69D4" w:rsidRDefault="009D1918" w:rsidP="00AB69D4">
      <w:pPr>
        <w:jc w:val="center"/>
        <w:rPr>
          <w:rFonts w:ascii="Calibri" w:hAnsi="Calibri"/>
          <w:sz w:val="28"/>
          <w:szCs w:val="28"/>
        </w:rPr>
      </w:pPr>
    </w:p>
    <w:p w14:paraId="7F56CA30" w14:textId="77777777" w:rsidR="00AB69D4" w:rsidRPr="00AB69D4" w:rsidRDefault="00AB69D4" w:rsidP="00AB69D4">
      <w:pPr>
        <w:jc w:val="center"/>
        <w:rPr>
          <w:rFonts w:ascii="Calibri" w:hAnsi="Calibri"/>
          <w:i/>
          <w:sz w:val="28"/>
          <w:szCs w:val="28"/>
        </w:rPr>
      </w:pPr>
      <w:r w:rsidRPr="00AB69D4">
        <w:rPr>
          <w:rFonts w:ascii="Calibri" w:hAnsi="Calibri"/>
          <w:i/>
          <w:sz w:val="28"/>
          <w:szCs w:val="28"/>
        </w:rPr>
        <w:t>Report by Ruth Barbour</w:t>
      </w:r>
    </w:p>
    <w:p w14:paraId="2B32E504" w14:textId="77777777" w:rsidR="00AB69D4" w:rsidRPr="00AB69D4" w:rsidRDefault="00AB69D4" w:rsidP="00AB69D4">
      <w:pPr>
        <w:jc w:val="center"/>
        <w:rPr>
          <w:rFonts w:ascii="Calibri" w:hAnsi="Calibri"/>
          <w:sz w:val="28"/>
          <w:szCs w:val="28"/>
        </w:rPr>
      </w:pPr>
    </w:p>
    <w:p w14:paraId="61FF7A86" w14:textId="77777777" w:rsidR="009D1918" w:rsidRDefault="009D1918" w:rsidP="00AB69D4">
      <w:pPr>
        <w:rPr>
          <w:rFonts w:ascii="Calibri" w:hAnsi="Calibri"/>
          <w:sz w:val="28"/>
          <w:szCs w:val="28"/>
        </w:rPr>
      </w:pPr>
    </w:p>
    <w:p w14:paraId="3F9780FC" w14:textId="3FBE30F5" w:rsidR="00AB69D4" w:rsidRPr="00AB69D4" w:rsidRDefault="00AB69D4" w:rsidP="00AB69D4">
      <w:pPr>
        <w:rPr>
          <w:rFonts w:ascii="Calibri" w:hAnsi="Calibri"/>
          <w:sz w:val="28"/>
          <w:szCs w:val="28"/>
        </w:rPr>
      </w:pPr>
      <w:r>
        <w:rPr>
          <w:rFonts w:ascii="Calibri" w:hAnsi="Calibri"/>
          <w:sz w:val="28"/>
          <w:szCs w:val="28"/>
        </w:rPr>
        <w:t>Last year’s symposium focus</w:t>
      </w:r>
      <w:r w:rsidRPr="00AB69D4">
        <w:rPr>
          <w:rFonts w:ascii="Calibri" w:hAnsi="Calibri"/>
          <w:sz w:val="28"/>
          <w:szCs w:val="28"/>
        </w:rPr>
        <w:t>ed on a very local subject – the parish in Warwickshire; in contrast this year’s was truly international in dimension. We welcomed speakers from Germany, the United States</w:t>
      </w:r>
      <w:r>
        <w:rPr>
          <w:rFonts w:ascii="Calibri" w:hAnsi="Calibri"/>
          <w:sz w:val="28"/>
          <w:szCs w:val="28"/>
        </w:rPr>
        <w:t xml:space="preserve"> and the UK, representing</w:t>
      </w:r>
      <w:r w:rsidRPr="00AB69D4">
        <w:rPr>
          <w:rFonts w:ascii="Calibri" w:hAnsi="Calibri"/>
          <w:sz w:val="28"/>
          <w:szCs w:val="28"/>
        </w:rPr>
        <w:t xml:space="preserve"> a range of academic disciplines including histo</w:t>
      </w:r>
      <w:r>
        <w:rPr>
          <w:rFonts w:ascii="Calibri" w:hAnsi="Calibri"/>
          <w:sz w:val="28"/>
          <w:szCs w:val="28"/>
        </w:rPr>
        <w:t xml:space="preserve">ry, archaeology, </w:t>
      </w:r>
      <w:proofErr w:type="gramStart"/>
      <w:r>
        <w:rPr>
          <w:rFonts w:ascii="Calibri" w:hAnsi="Calibri"/>
          <w:sz w:val="28"/>
          <w:szCs w:val="28"/>
        </w:rPr>
        <w:t>history</w:t>
      </w:r>
      <w:proofErr w:type="gramEnd"/>
      <w:r>
        <w:rPr>
          <w:rFonts w:ascii="Calibri" w:hAnsi="Calibri"/>
          <w:sz w:val="28"/>
          <w:szCs w:val="28"/>
        </w:rPr>
        <w:t xml:space="preserve"> of art</w:t>
      </w:r>
      <w:r w:rsidRPr="00AB69D4">
        <w:rPr>
          <w:rFonts w:ascii="Calibri" w:hAnsi="Calibri"/>
          <w:sz w:val="28"/>
          <w:szCs w:val="28"/>
        </w:rPr>
        <w:t xml:space="preserve"> and literature studies. Twenty six people attended the day, many of whom were ‘repeat visitors’ renewing old contacts; many had links to university departments but it was pleasing to see independent scholars present as well.</w:t>
      </w:r>
    </w:p>
    <w:p w14:paraId="50EC3E77" w14:textId="77777777" w:rsidR="00AB69D4" w:rsidRPr="00AB69D4" w:rsidRDefault="00AB69D4" w:rsidP="00AB69D4">
      <w:pPr>
        <w:rPr>
          <w:rFonts w:ascii="Calibri" w:hAnsi="Calibri"/>
          <w:sz w:val="28"/>
          <w:szCs w:val="28"/>
        </w:rPr>
      </w:pPr>
    </w:p>
    <w:p w14:paraId="323C17FE" w14:textId="30EA7D27" w:rsidR="00AB69D4" w:rsidRDefault="00BC78C5" w:rsidP="00AB69D4">
      <w:pPr>
        <w:rPr>
          <w:rFonts w:ascii="Calibri" w:hAnsi="Calibri"/>
          <w:sz w:val="28"/>
          <w:szCs w:val="28"/>
        </w:rPr>
      </w:pPr>
      <w:r>
        <w:rPr>
          <w:rFonts w:ascii="Calibri" w:hAnsi="Calibri"/>
          <w:sz w:val="28"/>
          <w:szCs w:val="28"/>
        </w:rPr>
        <w:t>I</w:t>
      </w:r>
      <w:r w:rsidRPr="00AB69D4">
        <w:rPr>
          <w:rFonts w:ascii="Calibri" w:hAnsi="Calibri"/>
          <w:sz w:val="28"/>
          <w:szCs w:val="28"/>
        </w:rPr>
        <w:t>n his introductory remarks</w:t>
      </w:r>
      <w:r>
        <w:rPr>
          <w:rFonts w:ascii="Calibri" w:hAnsi="Calibri"/>
          <w:sz w:val="28"/>
          <w:szCs w:val="28"/>
        </w:rPr>
        <w:t>,</w:t>
      </w:r>
      <w:r w:rsidRPr="00AB69D4">
        <w:rPr>
          <w:rFonts w:ascii="Calibri" w:hAnsi="Calibri"/>
          <w:sz w:val="28"/>
          <w:szCs w:val="28"/>
        </w:rPr>
        <w:t xml:space="preserve"> </w:t>
      </w:r>
      <w:r w:rsidR="00AB69D4" w:rsidRPr="00AB69D4">
        <w:rPr>
          <w:rFonts w:ascii="Calibri" w:hAnsi="Calibri"/>
          <w:b/>
          <w:sz w:val="28"/>
          <w:szCs w:val="28"/>
        </w:rPr>
        <w:t xml:space="preserve">Beat </w:t>
      </w:r>
      <w:proofErr w:type="spellStart"/>
      <w:r w:rsidR="00AB69D4" w:rsidRPr="00AB69D4">
        <w:rPr>
          <w:rFonts w:ascii="Calibri" w:hAnsi="Calibri"/>
          <w:b/>
          <w:sz w:val="28"/>
          <w:szCs w:val="28"/>
        </w:rPr>
        <w:t>Kümin</w:t>
      </w:r>
      <w:proofErr w:type="spellEnd"/>
      <w:r w:rsidR="00AB69D4" w:rsidRPr="00AB69D4">
        <w:rPr>
          <w:rFonts w:ascii="Calibri" w:hAnsi="Calibri"/>
          <w:b/>
          <w:sz w:val="28"/>
          <w:szCs w:val="28"/>
        </w:rPr>
        <w:t xml:space="preserve"> </w:t>
      </w:r>
      <w:r w:rsidR="00AB69D4" w:rsidRPr="00AB69D4">
        <w:rPr>
          <w:rFonts w:ascii="Calibri" w:hAnsi="Calibri"/>
          <w:sz w:val="28"/>
          <w:szCs w:val="28"/>
        </w:rPr>
        <w:t>(University of Warwick)</w:t>
      </w:r>
      <w:r w:rsidR="00AB69D4">
        <w:rPr>
          <w:rFonts w:ascii="Calibri" w:hAnsi="Calibri"/>
          <w:sz w:val="28"/>
          <w:szCs w:val="28"/>
        </w:rPr>
        <w:t xml:space="preserve"> </w:t>
      </w:r>
      <w:r>
        <w:rPr>
          <w:rFonts w:ascii="Calibri" w:hAnsi="Calibri"/>
          <w:sz w:val="28"/>
          <w:szCs w:val="28"/>
        </w:rPr>
        <w:t>outlined the purpose of the</w:t>
      </w:r>
      <w:r w:rsidR="00AB69D4" w:rsidRPr="00AB69D4">
        <w:rPr>
          <w:rFonts w:ascii="Calibri" w:hAnsi="Calibri"/>
          <w:sz w:val="28"/>
          <w:szCs w:val="28"/>
        </w:rPr>
        <w:t xml:space="preserve"> meeting</w:t>
      </w:r>
      <w:r>
        <w:rPr>
          <w:rFonts w:ascii="Calibri" w:hAnsi="Calibri"/>
          <w:sz w:val="28"/>
          <w:szCs w:val="28"/>
        </w:rPr>
        <w:t>. Following a series of symposia dedicated to specific records or themes, this</w:t>
      </w:r>
      <w:r w:rsidR="00AB69D4" w:rsidRPr="00AB69D4">
        <w:rPr>
          <w:rFonts w:ascii="Calibri" w:hAnsi="Calibri"/>
          <w:sz w:val="28"/>
          <w:szCs w:val="28"/>
        </w:rPr>
        <w:t xml:space="preserve"> was an attempt to stand back and </w:t>
      </w:r>
      <w:r>
        <w:rPr>
          <w:rFonts w:ascii="Calibri" w:hAnsi="Calibri"/>
          <w:sz w:val="28"/>
          <w:szCs w:val="28"/>
        </w:rPr>
        <w:t>reflect on the role and significance of</w:t>
      </w:r>
      <w:r w:rsidR="00AB69D4" w:rsidRPr="00AB69D4">
        <w:rPr>
          <w:rFonts w:ascii="Calibri" w:hAnsi="Calibri"/>
          <w:sz w:val="28"/>
          <w:szCs w:val="28"/>
        </w:rPr>
        <w:t xml:space="preserve"> parishes </w:t>
      </w:r>
      <w:r>
        <w:rPr>
          <w:rFonts w:ascii="Calibri" w:hAnsi="Calibri"/>
          <w:sz w:val="28"/>
          <w:szCs w:val="28"/>
        </w:rPr>
        <w:t>more</w:t>
      </w:r>
      <w:r w:rsidR="00AB69D4" w:rsidRPr="00AB69D4">
        <w:rPr>
          <w:rFonts w:ascii="Calibri" w:hAnsi="Calibri"/>
          <w:sz w:val="28"/>
          <w:szCs w:val="28"/>
        </w:rPr>
        <w:t xml:space="preserve"> general</w:t>
      </w:r>
      <w:r>
        <w:rPr>
          <w:rFonts w:ascii="Calibri" w:hAnsi="Calibri"/>
          <w:sz w:val="28"/>
          <w:szCs w:val="28"/>
        </w:rPr>
        <w:t>ly</w:t>
      </w:r>
      <w:r w:rsidR="00AB69D4" w:rsidRPr="00AB69D4">
        <w:rPr>
          <w:rFonts w:ascii="Calibri" w:hAnsi="Calibri"/>
          <w:sz w:val="28"/>
          <w:szCs w:val="28"/>
        </w:rPr>
        <w:t xml:space="preserve">. He also took the opportunity to highlight </w:t>
      </w:r>
      <w:r w:rsidR="00AB69D4">
        <w:rPr>
          <w:rFonts w:ascii="Calibri" w:hAnsi="Calibri"/>
          <w:sz w:val="28"/>
          <w:szCs w:val="28"/>
        </w:rPr>
        <w:t>new features of</w:t>
      </w:r>
      <w:r w:rsidR="00AB69D4" w:rsidRPr="00AB69D4">
        <w:rPr>
          <w:rFonts w:ascii="Calibri" w:hAnsi="Calibri"/>
          <w:sz w:val="28"/>
          <w:szCs w:val="28"/>
        </w:rPr>
        <w:t xml:space="preserve"> the My Parish Website </w:t>
      </w:r>
      <w:hyperlink r:id="rId8" w:history="1">
        <w:r w:rsidR="00AB69D4" w:rsidRPr="00391BAB">
          <w:rPr>
            <w:rStyle w:val="Hyperlink"/>
            <w:rFonts w:ascii="Calibri" w:hAnsi="Calibri"/>
            <w:sz w:val="28"/>
            <w:szCs w:val="28"/>
          </w:rPr>
          <w:t>http://my-parish.org</w:t>
        </w:r>
      </w:hyperlink>
      <w:r>
        <w:rPr>
          <w:rFonts w:ascii="Calibri" w:hAnsi="Calibri"/>
          <w:sz w:val="28"/>
          <w:szCs w:val="28"/>
        </w:rPr>
        <w:t>, encouraging</w:t>
      </w:r>
      <w:r w:rsidR="00AB69D4" w:rsidRPr="00AB69D4">
        <w:rPr>
          <w:rFonts w:ascii="Calibri" w:hAnsi="Calibri"/>
          <w:sz w:val="28"/>
          <w:szCs w:val="28"/>
        </w:rPr>
        <w:t xml:space="preserve"> </w:t>
      </w:r>
      <w:r>
        <w:rPr>
          <w:rFonts w:ascii="Calibri" w:hAnsi="Calibri"/>
          <w:sz w:val="28"/>
          <w:szCs w:val="28"/>
        </w:rPr>
        <w:t xml:space="preserve">all </w:t>
      </w:r>
      <w:r w:rsidR="00AB69D4" w:rsidRPr="00AB69D4">
        <w:rPr>
          <w:rFonts w:ascii="Calibri" w:hAnsi="Calibri"/>
          <w:sz w:val="28"/>
          <w:szCs w:val="28"/>
        </w:rPr>
        <w:t xml:space="preserve">those </w:t>
      </w:r>
      <w:r>
        <w:rPr>
          <w:rFonts w:ascii="Calibri" w:hAnsi="Calibri"/>
          <w:sz w:val="28"/>
          <w:szCs w:val="28"/>
        </w:rPr>
        <w:t xml:space="preserve">with related interests to become members (simply by sending the desired username and password to </w:t>
      </w:r>
      <w:hyperlink r:id="rId9" w:history="1">
        <w:r w:rsidRPr="00391BAB">
          <w:rPr>
            <w:rStyle w:val="Hyperlink"/>
            <w:rFonts w:ascii="Calibri" w:hAnsi="Calibri"/>
            <w:sz w:val="28"/>
            <w:szCs w:val="28"/>
          </w:rPr>
          <w:t>admin@my-parish.org</w:t>
        </w:r>
      </w:hyperlink>
      <w:r>
        <w:rPr>
          <w:rFonts w:ascii="Calibri" w:hAnsi="Calibri"/>
          <w:sz w:val="28"/>
          <w:szCs w:val="28"/>
        </w:rPr>
        <w:t>) and to post information on sources, research findings or upcoming events</w:t>
      </w:r>
      <w:r w:rsidR="00AB69D4" w:rsidRPr="00AB69D4">
        <w:rPr>
          <w:rFonts w:ascii="Calibri" w:hAnsi="Calibri"/>
          <w:sz w:val="28"/>
          <w:szCs w:val="28"/>
        </w:rPr>
        <w:t xml:space="preserve">. </w:t>
      </w:r>
    </w:p>
    <w:p w14:paraId="0B508283" w14:textId="77777777" w:rsidR="00AB69D4" w:rsidRPr="00AB69D4" w:rsidRDefault="00AB69D4" w:rsidP="00AB69D4">
      <w:pPr>
        <w:rPr>
          <w:rFonts w:ascii="Calibri" w:hAnsi="Calibri"/>
          <w:sz w:val="28"/>
          <w:szCs w:val="28"/>
        </w:rPr>
      </w:pPr>
    </w:p>
    <w:p w14:paraId="43AE2AFE" w14:textId="77777777" w:rsidR="00CB6562" w:rsidRDefault="004E3DBD" w:rsidP="00AB69D4">
      <w:pPr>
        <w:rPr>
          <w:rFonts w:ascii="Calibri" w:hAnsi="Calibri"/>
          <w:sz w:val="28"/>
          <w:szCs w:val="28"/>
        </w:rPr>
      </w:pPr>
      <w:r w:rsidRPr="004E3DBD">
        <w:rPr>
          <w:rFonts w:ascii="Calibri" w:hAnsi="Calibri"/>
          <w:sz w:val="28"/>
          <w:szCs w:val="28"/>
        </w:rPr>
        <w:t xml:space="preserve">Symposium co-organizer </w:t>
      </w:r>
      <w:r w:rsidRPr="004E3DBD">
        <w:rPr>
          <w:rFonts w:ascii="Calibri" w:hAnsi="Calibri"/>
          <w:b/>
          <w:sz w:val="28"/>
          <w:szCs w:val="28"/>
        </w:rPr>
        <w:t xml:space="preserve">Ellen K. </w:t>
      </w:r>
      <w:proofErr w:type="spellStart"/>
      <w:r w:rsidRPr="004E3DBD">
        <w:rPr>
          <w:rFonts w:ascii="Calibri" w:hAnsi="Calibri"/>
          <w:b/>
          <w:sz w:val="28"/>
          <w:szCs w:val="28"/>
        </w:rPr>
        <w:t>Rentz</w:t>
      </w:r>
      <w:proofErr w:type="spellEnd"/>
      <w:r w:rsidRPr="004E3DBD">
        <w:rPr>
          <w:rFonts w:ascii="Calibri" w:hAnsi="Calibri"/>
          <w:sz w:val="28"/>
          <w:szCs w:val="28"/>
        </w:rPr>
        <w:t xml:space="preserve"> (Department of literature, Claremont McKenna College, USA), author of Imagining the Parish in Late Medieval England (2015), then delivered the keynote address on ‘In the Nave with Chaucer’. Her subject was Chaucer’s </w:t>
      </w:r>
      <w:r w:rsidRPr="004E3DBD">
        <w:rPr>
          <w:rFonts w:ascii="Calibri" w:hAnsi="Calibri"/>
          <w:i/>
          <w:iCs/>
          <w:sz w:val="28"/>
          <w:szCs w:val="28"/>
        </w:rPr>
        <w:t>Canterbury Tales</w:t>
      </w:r>
      <w:r w:rsidRPr="004E3DBD">
        <w:rPr>
          <w:rFonts w:ascii="Calibri" w:hAnsi="Calibri"/>
          <w:sz w:val="28"/>
          <w:szCs w:val="28"/>
        </w:rPr>
        <w:t xml:space="preserve">: more particularly the light that four of its constituents, </w:t>
      </w:r>
      <w:r w:rsidRPr="004E3DBD">
        <w:rPr>
          <w:rFonts w:ascii="Calibri" w:hAnsi="Calibri"/>
          <w:i/>
          <w:iCs/>
          <w:sz w:val="28"/>
          <w:szCs w:val="28"/>
        </w:rPr>
        <w:t>The Squire’s Tale</w:t>
      </w:r>
      <w:r w:rsidRPr="004E3DBD">
        <w:rPr>
          <w:rFonts w:ascii="Calibri" w:hAnsi="Calibri"/>
          <w:sz w:val="28"/>
          <w:szCs w:val="28"/>
        </w:rPr>
        <w:t xml:space="preserve">, </w:t>
      </w:r>
      <w:r w:rsidRPr="004E3DBD">
        <w:rPr>
          <w:rFonts w:ascii="Calibri" w:hAnsi="Calibri"/>
          <w:i/>
          <w:iCs/>
          <w:sz w:val="28"/>
          <w:szCs w:val="28"/>
        </w:rPr>
        <w:t>The Wife of Bath’s</w:t>
      </w:r>
      <w:r w:rsidRPr="004E3DBD">
        <w:rPr>
          <w:rFonts w:ascii="Calibri" w:hAnsi="Calibri"/>
          <w:sz w:val="28"/>
          <w:szCs w:val="28"/>
        </w:rPr>
        <w:t xml:space="preserve">, the </w:t>
      </w:r>
      <w:r w:rsidRPr="004E3DBD">
        <w:rPr>
          <w:rFonts w:ascii="Calibri" w:hAnsi="Calibri"/>
          <w:i/>
          <w:iCs/>
          <w:sz w:val="28"/>
          <w:szCs w:val="28"/>
        </w:rPr>
        <w:t xml:space="preserve">Parson’s </w:t>
      </w:r>
      <w:r w:rsidRPr="004E3DBD">
        <w:rPr>
          <w:rFonts w:ascii="Calibri" w:hAnsi="Calibri"/>
          <w:sz w:val="28"/>
          <w:szCs w:val="28"/>
        </w:rPr>
        <w:t xml:space="preserve">and the </w:t>
      </w:r>
      <w:r w:rsidRPr="004E3DBD">
        <w:rPr>
          <w:rFonts w:ascii="Calibri" w:hAnsi="Calibri"/>
          <w:i/>
          <w:iCs/>
          <w:sz w:val="28"/>
          <w:szCs w:val="28"/>
        </w:rPr>
        <w:t>Miller’s Tales</w:t>
      </w:r>
      <w:r w:rsidRPr="004E3DBD">
        <w:rPr>
          <w:rFonts w:ascii="Calibri" w:hAnsi="Calibri"/>
          <w:sz w:val="28"/>
          <w:szCs w:val="28"/>
        </w:rPr>
        <w:t xml:space="preserve"> shed not just on fourteenth-century parish life and the interface between the temporal and the spiritual, but on poetic form. In particular, she considered how Chaucer uses parish references in order to raise questions about genre, form, and</w:t>
      </w:r>
      <w:r w:rsidR="00CB6562">
        <w:rPr>
          <w:rFonts w:ascii="Calibri" w:hAnsi="Calibri"/>
          <w:sz w:val="28"/>
          <w:szCs w:val="28"/>
        </w:rPr>
        <w:br/>
      </w:r>
    </w:p>
    <w:p w14:paraId="17B1815E" w14:textId="77777777" w:rsidR="00CB6562" w:rsidRDefault="00CB6562" w:rsidP="00AB69D4">
      <w:pPr>
        <w:rPr>
          <w:rFonts w:ascii="Calibri" w:hAnsi="Calibri"/>
          <w:sz w:val="28"/>
          <w:szCs w:val="28"/>
        </w:rPr>
      </w:pPr>
    </w:p>
    <w:p w14:paraId="467139F3" w14:textId="0FBCBB9B" w:rsidR="00AB69D4" w:rsidRPr="004E3DBD" w:rsidRDefault="004E3DBD" w:rsidP="00AB69D4">
      <w:pPr>
        <w:rPr>
          <w:rFonts w:ascii="Calibri" w:hAnsi="Calibri"/>
          <w:sz w:val="28"/>
          <w:szCs w:val="28"/>
        </w:rPr>
      </w:pPr>
      <w:proofErr w:type="gramStart"/>
      <w:r w:rsidRPr="004E3DBD">
        <w:rPr>
          <w:rFonts w:ascii="Calibri" w:hAnsi="Calibri"/>
          <w:sz w:val="28"/>
          <w:szCs w:val="28"/>
        </w:rPr>
        <w:t>reading</w:t>
      </w:r>
      <w:proofErr w:type="gramEnd"/>
      <w:r w:rsidRPr="004E3DBD">
        <w:rPr>
          <w:rFonts w:ascii="Calibri" w:hAnsi="Calibri"/>
          <w:sz w:val="28"/>
          <w:szCs w:val="28"/>
        </w:rPr>
        <w:t xml:space="preserve"> practices. In the </w:t>
      </w:r>
      <w:r w:rsidRPr="004E3DBD">
        <w:rPr>
          <w:rFonts w:ascii="Calibri" w:hAnsi="Calibri"/>
          <w:i/>
          <w:iCs/>
          <w:sz w:val="28"/>
          <w:szCs w:val="28"/>
        </w:rPr>
        <w:t>Squire’s Tale</w:t>
      </w:r>
      <w:r w:rsidRPr="004E3DBD">
        <w:rPr>
          <w:rFonts w:ascii="Calibri" w:hAnsi="Calibri"/>
          <w:sz w:val="28"/>
          <w:szCs w:val="28"/>
        </w:rPr>
        <w:t xml:space="preserve">, for example (whose main plot links to Genghis Khan’s daughter meeting with a grieving falcon), Chaucer makes a surprising reference to a cadaver tomb, a moment that ultimately raises questions about poetic form as much as it does about the physical structure of the church. Throughout the talk, </w:t>
      </w:r>
      <w:proofErr w:type="spellStart"/>
      <w:r w:rsidRPr="004E3DBD">
        <w:rPr>
          <w:rFonts w:ascii="Calibri" w:hAnsi="Calibri"/>
          <w:sz w:val="28"/>
          <w:szCs w:val="28"/>
        </w:rPr>
        <w:t>Rentz</w:t>
      </w:r>
      <w:proofErr w:type="spellEnd"/>
      <w:r w:rsidRPr="004E3DBD">
        <w:rPr>
          <w:rFonts w:ascii="Calibri" w:hAnsi="Calibri"/>
          <w:sz w:val="28"/>
          <w:szCs w:val="28"/>
        </w:rPr>
        <w:t xml:space="preserve"> argued that, although Chaucer’s references to the parish have the potential to illuminate aspects of late medieval religious culture, they must also be read in their broader literary context. “If we read references to the parish in isolation from the rest of the poem,” she suggested, “then we’re not really reading the poem.” </w:t>
      </w:r>
      <w:r w:rsidRPr="004E3DBD">
        <w:rPr>
          <w:rFonts w:ascii="Calibri" w:hAnsi="Calibri"/>
          <w:sz w:val="28"/>
          <w:szCs w:val="28"/>
        </w:rPr>
        <w:br/>
        <w:t xml:space="preserve">But from these four tales the five-times married Wife of Bath emerges as the most feisty (and perhaps most likable) character as she is portrayed elbowing her way up the nave (no pews in the way then) to be closest to the altar – not perhaps initially apparent as </w:t>
      </w:r>
      <w:proofErr w:type="spellStart"/>
      <w:r w:rsidRPr="004E3DBD">
        <w:rPr>
          <w:rFonts w:ascii="Calibri" w:hAnsi="Calibri"/>
          <w:sz w:val="28"/>
          <w:szCs w:val="28"/>
        </w:rPr>
        <w:t>behaviour</w:t>
      </w:r>
      <w:proofErr w:type="spellEnd"/>
      <w:r w:rsidRPr="004E3DBD">
        <w:rPr>
          <w:rFonts w:ascii="Calibri" w:hAnsi="Calibri"/>
          <w:sz w:val="28"/>
          <w:szCs w:val="28"/>
        </w:rPr>
        <w:t xml:space="preserve"> to be expected of a pilgrim. But her sociability is in contrast to that of the Parson whose tale was circulated separately and anonymously. This tale takes place outside the nave as the Parson travels – on the road around the parish or away from the parish on pilgrimage. In the ensuing discussion a parallel was drawn with eighteenth-century clergy attempting to serve huge northern parishes and failing to know their parishioners. In contrast to the imperfections in lay worship the Parson ‘lives by the book’ – perhaps unusual for parish priests of the time – but requires more charity. Is fellowship (as </w:t>
      </w:r>
      <w:proofErr w:type="spellStart"/>
      <w:r w:rsidRPr="004E3DBD">
        <w:rPr>
          <w:rFonts w:ascii="Calibri" w:hAnsi="Calibri"/>
          <w:sz w:val="28"/>
          <w:szCs w:val="28"/>
        </w:rPr>
        <w:t>practised</w:t>
      </w:r>
      <w:proofErr w:type="spellEnd"/>
      <w:r w:rsidRPr="004E3DBD">
        <w:rPr>
          <w:rFonts w:ascii="Calibri" w:hAnsi="Calibri"/>
          <w:sz w:val="28"/>
          <w:szCs w:val="28"/>
        </w:rPr>
        <w:t xml:space="preserve"> by the Wife of Bath) more important than charity and of greater use to the community? Discussion was extensive and the paper showed how a critical reading of literature (including more sustained attention to poetic form) allows parish scholars to gain new insights into the physical and spiritual structure of the late medieval church.</w:t>
      </w:r>
    </w:p>
    <w:p w14:paraId="38C40D96" w14:textId="77777777" w:rsidR="00A4241A" w:rsidRDefault="00A4241A" w:rsidP="00AB69D4">
      <w:pPr>
        <w:rPr>
          <w:rFonts w:ascii="Calibri" w:hAnsi="Calibri"/>
          <w:sz w:val="28"/>
          <w:szCs w:val="28"/>
        </w:rPr>
      </w:pPr>
    </w:p>
    <w:p w14:paraId="4A70F61E" w14:textId="77777777" w:rsidR="009D1918" w:rsidRDefault="00AB69D4" w:rsidP="00AB69D4">
      <w:pPr>
        <w:rPr>
          <w:rFonts w:ascii="Calibri" w:hAnsi="Calibri"/>
          <w:sz w:val="28"/>
          <w:szCs w:val="28"/>
        </w:rPr>
      </w:pPr>
      <w:r w:rsidRPr="00AB69D4">
        <w:rPr>
          <w:rFonts w:ascii="Calibri" w:hAnsi="Calibri"/>
          <w:sz w:val="28"/>
          <w:szCs w:val="28"/>
        </w:rPr>
        <w:t xml:space="preserve">The </w:t>
      </w:r>
      <w:r w:rsidR="00A4241A">
        <w:rPr>
          <w:rFonts w:ascii="Calibri" w:hAnsi="Calibri"/>
          <w:sz w:val="28"/>
          <w:szCs w:val="28"/>
        </w:rPr>
        <w:t>first thematic</w:t>
      </w:r>
      <w:r w:rsidRPr="00AB69D4">
        <w:rPr>
          <w:rFonts w:ascii="Calibri" w:hAnsi="Calibri"/>
          <w:sz w:val="28"/>
          <w:szCs w:val="28"/>
        </w:rPr>
        <w:t xml:space="preserve"> session, chaired by </w:t>
      </w:r>
      <w:r w:rsidRPr="00B93FBB">
        <w:rPr>
          <w:rFonts w:ascii="Calibri" w:hAnsi="Calibri"/>
          <w:b/>
          <w:sz w:val="28"/>
          <w:szCs w:val="28"/>
        </w:rPr>
        <w:t>Maureen Harris</w:t>
      </w:r>
      <w:r w:rsidRPr="00AB69D4">
        <w:rPr>
          <w:rFonts w:ascii="Calibri" w:hAnsi="Calibri"/>
          <w:sz w:val="28"/>
          <w:szCs w:val="28"/>
        </w:rPr>
        <w:t xml:space="preserve"> (University of Leicester) comprised three presentations on the theme of ‘Parish and Family’. </w:t>
      </w:r>
      <w:r w:rsidRPr="00B93FBB">
        <w:rPr>
          <w:rFonts w:ascii="Calibri" w:hAnsi="Calibri"/>
          <w:b/>
          <w:sz w:val="28"/>
          <w:szCs w:val="28"/>
        </w:rPr>
        <w:t>Chris Langley</w:t>
      </w:r>
      <w:r w:rsidRPr="00AB69D4">
        <w:rPr>
          <w:rFonts w:ascii="Calibri" w:hAnsi="Calibri"/>
          <w:sz w:val="28"/>
          <w:szCs w:val="28"/>
        </w:rPr>
        <w:t xml:space="preserve"> (Newman University, Birmingham) spoke on ‘</w:t>
      </w:r>
      <w:r w:rsidR="00B93FBB">
        <w:rPr>
          <w:rFonts w:ascii="Calibri" w:hAnsi="Calibri"/>
          <w:sz w:val="28"/>
          <w:szCs w:val="28"/>
        </w:rPr>
        <w:t>”</w:t>
      </w:r>
      <w:r w:rsidRPr="00AB69D4">
        <w:rPr>
          <w:rFonts w:ascii="Calibri" w:hAnsi="Calibri"/>
          <w:sz w:val="28"/>
          <w:szCs w:val="28"/>
        </w:rPr>
        <w:t xml:space="preserve">Out of a Christian </w:t>
      </w:r>
      <w:proofErr w:type="spellStart"/>
      <w:r w:rsidRPr="00AB69D4">
        <w:rPr>
          <w:rFonts w:ascii="Calibri" w:hAnsi="Calibri"/>
          <w:sz w:val="28"/>
          <w:szCs w:val="28"/>
        </w:rPr>
        <w:t>dewtie</w:t>
      </w:r>
      <w:proofErr w:type="spellEnd"/>
      <w:r w:rsidR="00B93FBB">
        <w:rPr>
          <w:rFonts w:ascii="Calibri" w:hAnsi="Calibri"/>
          <w:sz w:val="28"/>
          <w:szCs w:val="28"/>
        </w:rPr>
        <w:t>”</w:t>
      </w:r>
      <w:r w:rsidRPr="00AB69D4">
        <w:rPr>
          <w:rFonts w:ascii="Calibri" w:hAnsi="Calibri"/>
          <w:sz w:val="28"/>
          <w:szCs w:val="28"/>
        </w:rPr>
        <w:t xml:space="preserve">: Child care and parish networks in seventeenth-century Scotland’. He discussed types of pastoral </w:t>
      </w:r>
      <w:proofErr w:type="spellStart"/>
      <w:r w:rsidRPr="00AB69D4">
        <w:rPr>
          <w:rFonts w:ascii="Calibri" w:hAnsi="Calibri"/>
          <w:sz w:val="28"/>
          <w:szCs w:val="28"/>
        </w:rPr>
        <w:t>behaviour</w:t>
      </w:r>
      <w:proofErr w:type="spellEnd"/>
      <w:r w:rsidRPr="00AB69D4">
        <w:rPr>
          <w:rFonts w:ascii="Calibri" w:hAnsi="Calibri"/>
          <w:sz w:val="28"/>
          <w:szCs w:val="28"/>
        </w:rPr>
        <w:t xml:space="preserve"> based on session and presbytery records.  In particular he was interested in the under-studied part played by the laity. He drew on a number of cases in which the parish became involved in disputes about the maintenance of illegitimate children and especially the provision of wet-nurses for these children. His initial illustration demonstrated how lay pressure could alter the decision of the parish – in this case taking over the provision of a wet nurse for a child ‘left’ with a woman member of the congregation. Citing other examples he demonstrated how parish authorities tried not to be too heavy handed but rather encouraged the parents to </w:t>
      </w:r>
      <w:r w:rsidR="009D1918">
        <w:rPr>
          <w:rFonts w:ascii="Calibri" w:hAnsi="Calibri"/>
          <w:sz w:val="28"/>
          <w:szCs w:val="28"/>
        </w:rPr>
        <w:br/>
      </w:r>
    </w:p>
    <w:p w14:paraId="64F22C8C" w14:textId="77777777" w:rsidR="009D1918" w:rsidRDefault="009D1918" w:rsidP="00AB69D4">
      <w:pPr>
        <w:rPr>
          <w:rFonts w:ascii="Calibri" w:hAnsi="Calibri"/>
          <w:sz w:val="28"/>
          <w:szCs w:val="28"/>
        </w:rPr>
      </w:pPr>
    </w:p>
    <w:p w14:paraId="39A3E2E8" w14:textId="378A3408" w:rsidR="009D1918" w:rsidRDefault="004E3DBD" w:rsidP="00AB69D4">
      <w:pPr>
        <w:rPr>
          <w:rFonts w:ascii="Calibri" w:hAnsi="Calibri"/>
          <w:sz w:val="28"/>
          <w:szCs w:val="28"/>
        </w:rPr>
      </w:pPr>
      <w:r w:rsidRPr="00AB69D4">
        <w:rPr>
          <w:noProof/>
          <w:sz w:val="28"/>
          <w:szCs w:val="28"/>
          <w:lang w:val="en-GB" w:eastAsia="en-GB"/>
        </w:rPr>
        <w:lastRenderedPageBreak/>
        <w:drawing>
          <wp:anchor distT="152400" distB="152400" distL="152400" distR="152400" simplePos="0" relativeHeight="251665408" behindDoc="0" locked="0" layoutInCell="1" allowOverlap="1" wp14:anchorId="4BFADFA9" wp14:editId="065E5923">
            <wp:simplePos x="0" y="0"/>
            <wp:positionH relativeFrom="page">
              <wp:posOffset>152400</wp:posOffset>
            </wp:positionH>
            <wp:positionV relativeFrom="page">
              <wp:posOffset>9690100</wp:posOffset>
            </wp:positionV>
            <wp:extent cx="7538284" cy="863600"/>
            <wp:effectExtent l="0" t="0" r="5715" b="0"/>
            <wp:wrapTopAndBottom distT="152400" distB="152400"/>
            <wp:docPr id="1" name="officeArt object"/>
            <wp:cNvGraphicFramePr/>
            <a:graphic xmlns:a="http://schemas.openxmlformats.org/drawingml/2006/main">
              <a:graphicData uri="http://schemas.openxmlformats.org/drawingml/2006/picture">
                <pic:pic xmlns:pic="http://schemas.openxmlformats.org/drawingml/2006/picture">
                  <pic:nvPicPr>
                    <pic:cNvPr id="1073741832" name="keyline_humanities_research_centre_black_outlined (2).jpg"/>
                    <pic:cNvPicPr/>
                  </pic:nvPicPr>
                  <pic:blipFill>
                    <a:blip r:embed="rId7">
                      <a:extLst/>
                    </a:blip>
                    <a:srcRect/>
                    <a:stretch>
                      <a:fillRect/>
                    </a:stretch>
                  </pic:blipFill>
                  <pic:spPr>
                    <a:xfrm>
                      <a:off x="0" y="0"/>
                      <a:ext cx="7556500" cy="865687"/>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p>
    <w:p w14:paraId="00C8EE7B" w14:textId="6A9EB0D1" w:rsidR="00AB69D4" w:rsidRPr="00AB69D4" w:rsidRDefault="00AB69D4" w:rsidP="00AB69D4">
      <w:pPr>
        <w:rPr>
          <w:rFonts w:ascii="Calibri" w:hAnsi="Calibri"/>
          <w:sz w:val="28"/>
          <w:szCs w:val="28"/>
        </w:rPr>
      </w:pPr>
      <w:proofErr w:type="gramStart"/>
      <w:r w:rsidRPr="00AB69D4">
        <w:rPr>
          <w:rFonts w:ascii="Calibri" w:hAnsi="Calibri"/>
          <w:sz w:val="28"/>
          <w:szCs w:val="28"/>
        </w:rPr>
        <w:t>remain</w:t>
      </w:r>
      <w:proofErr w:type="gramEnd"/>
      <w:r w:rsidRPr="00AB69D4">
        <w:rPr>
          <w:rFonts w:ascii="Calibri" w:hAnsi="Calibri"/>
          <w:sz w:val="28"/>
          <w:szCs w:val="28"/>
        </w:rPr>
        <w:t xml:space="preserve"> on speaking terms and avoid disputes. The parishioners, he argued, could force changes in official policy.</w:t>
      </w:r>
    </w:p>
    <w:p w14:paraId="377197EF" w14:textId="684C418F" w:rsidR="00AB69D4" w:rsidRPr="00AB69D4" w:rsidRDefault="00A5248A" w:rsidP="00A5248A">
      <w:pPr>
        <w:ind w:firstLine="720"/>
        <w:rPr>
          <w:rFonts w:ascii="Calibri" w:hAnsi="Calibri"/>
          <w:sz w:val="28"/>
          <w:szCs w:val="28"/>
        </w:rPr>
      </w:pPr>
      <w:r>
        <w:rPr>
          <w:rFonts w:ascii="Calibri" w:hAnsi="Calibri"/>
          <w:sz w:val="28"/>
          <w:szCs w:val="28"/>
        </w:rPr>
        <w:t>I</w:t>
      </w:r>
      <w:r w:rsidRPr="00AB69D4">
        <w:rPr>
          <w:rFonts w:ascii="Calibri" w:hAnsi="Calibri"/>
          <w:sz w:val="28"/>
          <w:szCs w:val="28"/>
        </w:rPr>
        <w:t xml:space="preserve">n her paper on ‘The Manor and the Parish: Local </w:t>
      </w:r>
      <w:proofErr w:type="spellStart"/>
      <w:r w:rsidRPr="00AB69D4">
        <w:rPr>
          <w:rFonts w:ascii="Calibri" w:hAnsi="Calibri"/>
          <w:sz w:val="28"/>
          <w:szCs w:val="28"/>
        </w:rPr>
        <w:t>Organisation</w:t>
      </w:r>
      <w:proofErr w:type="spellEnd"/>
      <w:r w:rsidRPr="00AB69D4">
        <w:rPr>
          <w:rFonts w:ascii="Calibri" w:hAnsi="Calibri"/>
          <w:sz w:val="28"/>
          <w:szCs w:val="28"/>
        </w:rPr>
        <w:t xml:space="preserve"> in the Sixteenth Century through the Example of the Blount Family’</w:t>
      </w:r>
      <w:r>
        <w:rPr>
          <w:rFonts w:ascii="Calibri" w:hAnsi="Calibri"/>
          <w:sz w:val="28"/>
          <w:szCs w:val="28"/>
        </w:rPr>
        <w:t>,</w:t>
      </w:r>
      <w:r w:rsidRPr="00AB69D4">
        <w:rPr>
          <w:rFonts w:ascii="Calibri" w:hAnsi="Calibri"/>
          <w:sz w:val="28"/>
          <w:szCs w:val="28"/>
        </w:rPr>
        <w:t xml:space="preserve"> </w:t>
      </w:r>
      <w:r w:rsidR="00AB69D4" w:rsidRPr="00A5248A">
        <w:rPr>
          <w:rFonts w:ascii="Calibri" w:hAnsi="Calibri"/>
          <w:b/>
          <w:sz w:val="28"/>
          <w:szCs w:val="28"/>
        </w:rPr>
        <w:t>Elizabeth Norton</w:t>
      </w:r>
      <w:r w:rsidR="00AB69D4" w:rsidRPr="00AB69D4">
        <w:rPr>
          <w:rFonts w:ascii="Calibri" w:hAnsi="Calibri"/>
          <w:sz w:val="28"/>
          <w:szCs w:val="28"/>
        </w:rPr>
        <w:t xml:space="preserve"> (King’s College, London) discussed the changing relationship of parish / village and manor in local life. The focus of her research was the Blount family, various branches of which settled in </w:t>
      </w:r>
      <w:proofErr w:type="spellStart"/>
      <w:r w:rsidR="00AB69D4" w:rsidRPr="00AB69D4">
        <w:rPr>
          <w:rFonts w:ascii="Calibri" w:hAnsi="Calibri"/>
          <w:sz w:val="28"/>
          <w:szCs w:val="28"/>
        </w:rPr>
        <w:t>Shropshire</w:t>
      </w:r>
      <w:proofErr w:type="spellEnd"/>
      <w:r w:rsidR="00AB69D4" w:rsidRPr="00AB69D4">
        <w:rPr>
          <w:rFonts w:ascii="Calibri" w:hAnsi="Calibri"/>
          <w:sz w:val="28"/>
          <w:szCs w:val="28"/>
        </w:rPr>
        <w:t xml:space="preserve">, Staffordshire, Derbyshire and </w:t>
      </w:r>
      <w:proofErr w:type="spellStart"/>
      <w:r w:rsidR="00AB69D4" w:rsidRPr="00AB69D4">
        <w:rPr>
          <w:rFonts w:ascii="Calibri" w:hAnsi="Calibri"/>
          <w:sz w:val="28"/>
          <w:szCs w:val="28"/>
        </w:rPr>
        <w:t>Oxfordshire</w:t>
      </w:r>
      <w:proofErr w:type="spellEnd"/>
      <w:r w:rsidR="00AB69D4" w:rsidRPr="00AB69D4">
        <w:rPr>
          <w:rFonts w:ascii="Calibri" w:hAnsi="Calibri"/>
          <w:sz w:val="28"/>
          <w:szCs w:val="28"/>
        </w:rPr>
        <w:t xml:space="preserve">. Referring to manorial records she argued against the </w:t>
      </w:r>
      <w:proofErr w:type="spellStart"/>
      <w:r w:rsidR="00AB69D4" w:rsidRPr="00AB69D4">
        <w:rPr>
          <w:rFonts w:ascii="Calibri" w:hAnsi="Calibri"/>
          <w:sz w:val="28"/>
          <w:szCs w:val="28"/>
        </w:rPr>
        <w:t>generalisation</w:t>
      </w:r>
      <w:proofErr w:type="spellEnd"/>
      <w:r w:rsidR="00AB69D4" w:rsidRPr="00AB69D4">
        <w:rPr>
          <w:rFonts w:ascii="Calibri" w:hAnsi="Calibri"/>
          <w:sz w:val="28"/>
          <w:szCs w:val="28"/>
        </w:rPr>
        <w:t xml:space="preserve"> that at this time the parish was becoming more important than the manor as feudalism declined. She demonstrated the complex </w:t>
      </w:r>
      <w:r>
        <w:rPr>
          <w:rFonts w:ascii="Calibri" w:hAnsi="Calibri"/>
          <w:sz w:val="28"/>
          <w:szCs w:val="28"/>
        </w:rPr>
        <w:t>ways</w:t>
      </w:r>
      <w:r w:rsidR="00AB69D4" w:rsidRPr="00AB69D4">
        <w:rPr>
          <w:rFonts w:ascii="Calibri" w:hAnsi="Calibri"/>
          <w:sz w:val="28"/>
          <w:szCs w:val="28"/>
        </w:rPr>
        <w:t xml:space="preserve"> in which parish and manor boundaries overlapped and how those members of the intermediate levels of society might cross borders too and be involved with more than one parish or manor. The manorial court, she argued, was the foundation for the </w:t>
      </w:r>
      <w:proofErr w:type="spellStart"/>
      <w:r w:rsidR="00AB69D4" w:rsidRPr="00AB69D4">
        <w:rPr>
          <w:rFonts w:ascii="Calibri" w:hAnsi="Calibri"/>
          <w:sz w:val="28"/>
          <w:szCs w:val="28"/>
        </w:rPr>
        <w:t>centralisation</w:t>
      </w:r>
      <w:proofErr w:type="spellEnd"/>
      <w:r w:rsidR="00AB69D4" w:rsidRPr="00AB69D4">
        <w:rPr>
          <w:rFonts w:ascii="Calibri" w:hAnsi="Calibri"/>
          <w:sz w:val="28"/>
          <w:szCs w:val="28"/>
        </w:rPr>
        <w:t xml:space="preserve"> of justice. The persistent </w:t>
      </w:r>
      <w:proofErr w:type="spellStart"/>
      <w:r w:rsidR="00AB69D4" w:rsidRPr="00AB69D4">
        <w:rPr>
          <w:rFonts w:ascii="Calibri" w:hAnsi="Calibri"/>
          <w:sz w:val="28"/>
          <w:szCs w:val="28"/>
        </w:rPr>
        <w:t>recusancy</w:t>
      </w:r>
      <w:proofErr w:type="spellEnd"/>
      <w:r w:rsidR="00AB69D4" w:rsidRPr="00AB69D4">
        <w:rPr>
          <w:rFonts w:ascii="Calibri" w:hAnsi="Calibri"/>
          <w:sz w:val="28"/>
          <w:szCs w:val="28"/>
        </w:rPr>
        <w:t xml:space="preserve"> of the </w:t>
      </w:r>
      <w:proofErr w:type="spellStart"/>
      <w:r w:rsidR="00AB69D4" w:rsidRPr="00AB69D4">
        <w:rPr>
          <w:rFonts w:ascii="Calibri" w:hAnsi="Calibri"/>
          <w:sz w:val="28"/>
          <w:szCs w:val="28"/>
        </w:rPr>
        <w:t>Blounts</w:t>
      </w:r>
      <w:proofErr w:type="spellEnd"/>
      <w:r w:rsidR="00AB69D4" w:rsidRPr="00AB69D4">
        <w:rPr>
          <w:rFonts w:ascii="Calibri" w:hAnsi="Calibri"/>
          <w:sz w:val="28"/>
          <w:szCs w:val="28"/>
        </w:rPr>
        <w:t xml:space="preserve"> provided an interesting backdrop as most of the family avoided presentation for their religious views – one even when Governor of the Tower of London was, during a plague epidemic, allowed to take Catholic prisoners to his own </w:t>
      </w:r>
      <w:proofErr w:type="spellStart"/>
      <w:r w:rsidR="00AB69D4" w:rsidRPr="00AB69D4">
        <w:rPr>
          <w:rFonts w:ascii="Calibri" w:hAnsi="Calibri"/>
          <w:sz w:val="28"/>
          <w:szCs w:val="28"/>
        </w:rPr>
        <w:t>Oxfordshire</w:t>
      </w:r>
      <w:proofErr w:type="spellEnd"/>
      <w:r w:rsidR="00AB69D4" w:rsidRPr="00AB69D4">
        <w:rPr>
          <w:rFonts w:ascii="Calibri" w:hAnsi="Calibri"/>
          <w:sz w:val="28"/>
          <w:szCs w:val="28"/>
        </w:rPr>
        <w:t xml:space="preserve"> estate, where Catholic priests were in residence.</w:t>
      </w:r>
    </w:p>
    <w:p w14:paraId="1BDE8EF5" w14:textId="408E09CB" w:rsidR="00AB69D4" w:rsidRPr="00AB69D4" w:rsidRDefault="00AB69D4" w:rsidP="00A5248A">
      <w:pPr>
        <w:ind w:firstLine="720"/>
        <w:rPr>
          <w:rFonts w:ascii="Calibri" w:hAnsi="Calibri"/>
          <w:sz w:val="28"/>
          <w:szCs w:val="28"/>
        </w:rPr>
      </w:pPr>
      <w:r w:rsidRPr="00A5248A">
        <w:rPr>
          <w:rFonts w:ascii="Calibri" w:hAnsi="Calibri"/>
          <w:b/>
          <w:sz w:val="28"/>
          <w:szCs w:val="28"/>
        </w:rPr>
        <w:t>Anne Thompson</w:t>
      </w:r>
      <w:r w:rsidRPr="00AB69D4">
        <w:rPr>
          <w:rFonts w:ascii="Calibri" w:hAnsi="Calibri"/>
          <w:sz w:val="28"/>
          <w:szCs w:val="28"/>
        </w:rPr>
        <w:t xml:space="preserve"> (University of Warwick) then </w:t>
      </w:r>
      <w:r w:rsidR="00A5248A">
        <w:rPr>
          <w:rFonts w:ascii="Calibri" w:hAnsi="Calibri"/>
          <w:sz w:val="28"/>
          <w:szCs w:val="28"/>
        </w:rPr>
        <w:t>examined the new phenomenon of</w:t>
      </w:r>
      <w:r w:rsidRPr="00AB69D4">
        <w:rPr>
          <w:rFonts w:ascii="Calibri" w:hAnsi="Calibri"/>
          <w:sz w:val="28"/>
          <w:szCs w:val="28"/>
        </w:rPr>
        <w:t xml:space="preserve"> clergy wives in </w:t>
      </w:r>
      <w:r w:rsidR="00A5248A">
        <w:rPr>
          <w:rFonts w:ascii="Calibri" w:hAnsi="Calibri"/>
          <w:sz w:val="28"/>
          <w:szCs w:val="28"/>
        </w:rPr>
        <w:t>sixteenth-</w:t>
      </w:r>
      <w:r w:rsidR="00A5248A" w:rsidRPr="00AB69D4">
        <w:rPr>
          <w:rFonts w:ascii="Calibri" w:hAnsi="Calibri"/>
          <w:sz w:val="28"/>
          <w:szCs w:val="28"/>
        </w:rPr>
        <w:t xml:space="preserve">century </w:t>
      </w:r>
      <w:r w:rsidR="00A5248A">
        <w:rPr>
          <w:rFonts w:ascii="Calibri" w:hAnsi="Calibri"/>
          <w:sz w:val="28"/>
          <w:szCs w:val="28"/>
        </w:rPr>
        <w:t>England</w:t>
      </w:r>
      <w:r w:rsidRPr="00AB69D4">
        <w:rPr>
          <w:rFonts w:ascii="Calibri" w:hAnsi="Calibri"/>
          <w:sz w:val="28"/>
          <w:szCs w:val="28"/>
        </w:rPr>
        <w:t xml:space="preserve">. For them there was no handbook setting out duties and their emergence has not been well-studied. The First Epistle to Timothy provided </w:t>
      </w:r>
      <w:r w:rsidR="00A5248A">
        <w:rPr>
          <w:rFonts w:ascii="Calibri" w:hAnsi="Calibri"/>
          <w:sz w:val="28"/>
          <w:szCs w:val="28"/>
        </w:rPr>
        <w:t>a model</w:t>
      </w:r>
      <w:r w:rsidRPr="00AB69D4">
        <w:rPr>
          <w:rFonts w:ascii="Calibri" w:hAnsi="Calibri"/>
          <w:sz w:val="28"/>
          <w:szCs w:val="28"/>
        </w:rPr>
        <w:t xml:space="preserve"> for these women to emulate in supporting their husbands in their work and to provide an example in the parish. Illustrations of contemporary memorials extolling the virtues of some of these pioneer women demonstrated the respect in they were held. An injunction in 1559 separated clerical marriage from ordinary marriage. Two Justices of the Peace had to provide a certificate testifying to the woman’s suitability as a clergy wife and that she demonstrated good </w:t>
      </w:r>
      <w:proofErr w:type="spellStart"/>
      <w:r w:rsidRPr="00AB69D4">
        <w:rPr>
          <w:rFonts w:ascii="Calibri" w:hAnsi="Calibri"/>
          <w:sz w:val="28"/>
          <w:szCs w:val="28"/>
        </w:rPr>
        <w:t>behaviour</w:t>
      </w:r>
      <w:proofErr w:type="spellEnd"/>
      <w:r w:rsidRPr="00AB69D4">
        <w:rPr>
          <w:rFonts w:ascii="Calibri" w:hAnsi="Calibri"/>
          <w:sz w:val="28"/>
          <w:szCs w:val="28"/>
        </w:rPr>
        <w:t xml:space="preserve"> and godliness. Some of these women were given responsibilities by their husbands to distribute charities after the clergyman’s death. </w:t>
      </w:r>
    </w:p>
    <w:p w14:paraId="241A8FD5" w14:textId="77777777" w:rsidR="00A5248A" w:rsidRDefault="00A5248A" w:rsidP="00AB69D4">
      <w:pPr>
        <w:rPr>
          <w:rFonts w:ascii="Calibri" w:hAnsi="Calibri"/>
          <w:sz w:val="28"/>
          <w:szCs w:val="28"/>
        </w:rPr>
      </w:pPr>
    </w:p>
    <w:p w14:paraId="405EEDB3" w14:textId="3DD230AA" w:rsidR="004E3DBD" w:rsidRDefault="00AB69D4" w:rsidP="00AB69D4">
      <w:pPr>
        <w:rPr>
          <w:rFonts w:ascii="Calibri" w:hAnsi="Calibri"/>
          <w:sz w:val="28"/>
          <w:szCs w:val="28"/>
        </w:rPr>
      </w:pPr>
      <w:r w:rsidRPr="00AB69D4">
        <w:rPr>
          <w:rFonts w:ascii="Calibri" w:hAnsi="Calibri"/>
          <w:sz w:val="28"/>
          <w:szCs w:val="28"/>
        </w:rPr>
        <w:t xml:space="preserve">After the break for lunch and networking, the afternoon session, chaired by </w:t>
      </w:r>
      <w:r w:rsidRPr="00A5248A">
        <w:rPr>
          <w:rFonts w:ascii="Calibri" w:hAnsi="Calibri"/>
          <w:b/>
          <w:sz w:val="28"/>
          <w:szCs w:val="28"/>
        </w:rPr>
        <w:t>Elizabeth Tingle</w:t>
      </w:r>
      <w:r w:rsidRPr="00AB69D4">
        <w:rPr>
          <w:rFonts w:ascii="Calibri" w:hAnsi="Calibri"/>
          <w:sz w:val="28"/>
          <w:szCs w:val="28"/>
        </w:rPr>
        <w:t xml:space="preserve"> (De Montfort University, Leicester) </w:t>
      </w:r>
      <w:r w:rsidR="00A5248A">
        <w:rPr>
          <w:rFonts w:ascii="Calibri" w:hAnsi="Calibri"/>
          <w:sz w:val="28"/>
          <w:szCs w:val="28"/>
        </w:rPr>
        <w:t>focus</w:t>
      </w:r>
      <w:r w:rsidRPr="00AB69D4">
        <w:rPr>
          <w:rFonts w:ascii="Calibri" w:hAnsi="Calibri"/>
          <w:sz w:val="28"/>
          <w:szCs w:val="28"/>
        </w:rPr>
        <w:t xml:space="preserve">ed on ‘Parish, Place and Identity’. Once again a multi-disciplinary approach was apparent. The first speaker was a literature researcher, </w:t>
      </w:r>
      <w:proofErr w:type="spellStart"/>
      <w:r w:rsidRPr="00A5248A">
        <w:rPr>
          <w:rFonts w:ascii="Calibri" w:hAnsi="Calibri"/>
          <w:b/>
          <w:sz w:val="28"/>
          <w:szCs w:val="28"/>
        </w:rPr>
        <w:t>Sunyoung</w:t>
      </w:r>
      <w:proofErr w:type="spellEnd"/>
      <w:r w:rsidRPr="00A5248A">
        <w:rPr>
          <w:rFonts w:ascii="Calibri" w:hAnsi="Calibri"/>
          <w:b/>
          <w:sz w:val="28"/>
          <w:szCs w:val="28"/>
        </w:rPr>
        <w:t xml:space="preserve"> Lee</w:t>
      </w:r>
      <w:r w:rsidRPr="00AB69D4">
        <w:rPr>
          <w:rFonts w:ascii="Calibri" w:hAnsi="Calibri"/>
          <w:sz w:val="28"/>
          <w:szCs w:val="28"/>
        </w:rPr>
        <w:t xml:space="preserve"> (Arizona State University, USA) who took as her title, </w:t>
      </w:r>
      <w:r w:rsidR="00A5248A">
        <w:rPr>
          <w:rFonts w:ascii="Calibri" w:hAnsi="Calibri"/>
          <w:sz w:val="28"/>
          <w:szCs w:val="28"/>
        </w:rPr>
        <w:t>‘</w:t>
      </w:r>
      <w:r w:rsidRPr="00AB69D4">
        <w:rPr>
          <w:rFonts w:ascii="Calibri" w:hAnsi="Calibri" w:cs="Calibri"/>
          <w:sz w:val="28"/>
          <w:szCs w:val="28"/>
        </w:rPr>
        <w:t>“</w:t>
      </w:r>
      <w:proofErr w:type="spellStart"/>
      <w:r w:rsidRPr="00AB69D4">
        <w:rPr>
          <w:rFonts w:ascii="Calibri" w:hAnsi="Calibri"/>
          <w:sz w:val="28"/>
          <w:szCs w:val="28"/>
        </w:rPr>
        <w:t>noþing</w:t>
      </w:r>
      <w:proofErr w:type="spellEnd"/>
      <w:r w:rsidRPr="00AB69D4">
        <w:rPr>
          <w:rFonts w:ascii="Calibri" w:hAnsi="Calibri"/>
          <w:sz w:val="28"/>
          <w:szCs w:val="28"/>
        </w:rPr>
        <w:t xml:space="preserve"> ells but </w:t>
      </w:r>
      <w:proofErr w:type="spellStart"/>
      <w:r w:rsidRPr="00AB69D4">
        <w:rPr>
          <w:rFonts w:ascii="Calibri" w:hAnsi="Calibri"/>
          <w:sz w:val="28"/>
          <w:szCs w:val="28"/>
        </w:rPr>
        <w:t>kepe</w:t>
      </w:r>
      <w:proofErr w:type="spellEnd"/>
      <w:r w:rsidRPr="00AB69D4">
        <w:rPr>
          <w:rFonts w:ascii="Calibri" w:hAnsi="Calibri"/>
          <w:sz w:val="28"/>
          <w:szCs w:val="28"/>
        </w:rPr>
        <w:t xml:space="preserve"> </w:t>
      </w:r>
      <w:proofErr w:type="spellStart"/>
      <w:r w:rsidRPr="00AB69D4">
        <w:rPr>
          <w:rFonts w:ascii="Calibri" w:hAnsi="Calibri"/>
          <w:sz w:val="28"/>
          <w:szCs w:val="28"/>
        </w:rPr>
        <w:t>riȝt</w:t>
      </w:r>
      <w:proofErr w:type="spellEnd"/>
      <w:r w:rsidRPr="00AB69D4">
        <w:rPr>
          <w:rFonts w:ascii="Calibri" w:hAnsi="Calibri"/>
          <w:sz w:val="28"/>
          <w:szCs w:val="28"/>
        </w:rPr>
        <w:t xml:space="preserve"> </w:t>
      </w:r>
      <w:proofErr w:type="spellStart"/>
      <w:r w:rsidRPr="00AB69D4">
        <w:rPr>
          <w:rFonts w:ascii="Calibri" w:hAnsi="Calibri"/>
          <w:sz w:val="28"/>
          <w:szCs w:val="28"/>
        </w:rPr>
        <w:t>mesure</w:t>
      </w:r>
      <w:proofErr w:type="spellEnd"/>
      <w:r w:rsidRPr="00AB69D4">
        <w:rPr>
          <w:rFonts w:ascii="Calibri" w:hAnsi="Calibri"/>
          <w:sz w:val="28"/>
          <w:szCs w:val="28"/>
        </w:rPr>
        <w:t xml:space="preserve">”: Cultivating Moderation in Eating and Drinking for the Community in the Book of Vices and Virtues ‘. In this session she investigated </w:t>
      </w:r>
      <w:r w:rsidR="00A5248A">
        <w:rPr>
          <w:rFonts w:ascii="Calibri" w:hAnsi="Calibri"/>
          <w:sz w:val="28"/>
          <w:szCs w:val="28"/>
        </w:rPr>
        <w:t>the fourteenth-</w:t>
      </w:r>
      <w:r w:rsidRPr="00AB69D4">
        <w:rPr>
          <w:rFonts w:ascii="Calibri" w:hAnsi="Calibri"/>
          <w:sz w:val="28"/>
          <w:szCs w:val="28"/>
        </w:rPr>
        <w:t xml:space="preserve">century </w:t>
      </w:r>
      <w:r w:rsidRPr="00AB69D4">
        <w:rPr>
          <w:rFonts w:ascii="Calibri" w:hAnsi="Calibri"/>
          <w:i/>
          <w:sz w:val="28"/>
          <w:szCs w:val="28"/>
        </w:rPr>
        <w:t>Book of Vices and Virtues</w:t>
      </w:r>
      <w:r w:rsidR="00A5248A">
        <w:rPr>
          <w:rFonts w:ascii="Calibri" w:hAnsi="Calibri"/>
          <w:i/>
          <w:sz w:val="28"/>
          <w:szCs w:val="28"/>
        </w:rPr>
        <w:t xml:space="preserve"> </w:t>
      </w:r>
      <w:r w:rsidRPr="00AB69D4">
        <w:rPr>
          <w:rFonts w:ascii="Calibri" w:hAnsi="Calibri"/>
          <w:sz w:val="28"/>
          <w:szCs w:val="28"/>
        </w:rPr>
        <w:t xml:space="preserve">– a translation of the </w:t>
      </w:r>
      <w:r w:rsidR="009D1918">
        <w:rPr>
          <w:rFonts w:ascii="Calibri" w:hAnsi="Calibri"/>
          <w:sz w:val="28"/>
          <w:szCs w:val="28"/>
        </w:rPr>
        <w:br/>
      </w:r>
      <w:r w:rsidRPr="00AB69D4">
        <w:rPr>
          <w:rFonts w:ascii="Calibri" w:hAnsi="Calibri"/>
          <w:sz w:val="28"/>
          <w:szCs w:val="28"/>
        </w:rPr>
        <w:t xml:space="preserve">French work, </w:t>
      </w:r>
      <w:r w:rsidRPr="00AB69D4">
        <w:rPr>
          <w:rFonts w:ascii="Calibri" w:hAnsi="Calibri"/>
          <w:i/>
          <w:sz w:val="28"/>
          <w:szCs w:val="28"/>
        </w:rPr>
        <w:t xml:space="preserve">Somme le </w:t>
      </w:r>
      <w:proofErr w:type="spellStart"/>
      <w:r w:rsidRPr="00AB69D4">
        <w:rPr>
          <w:rFonts w:ascii="Calibri" w:hAnsi="Calibri"/>
          <w:i/>
          <w:sz w:val="28"/>
          <w:szCs w:val="28"/>
        </w:rPr>
        <w:t>Roi</w:t>
      </w:r>
      <w:proofErr w:type="spellEnd"/>
      <w:r w:rsidRPr="00AB69D4">
        <w:rPr>
          <w:rFonts w:ascii="Calibri" w:hAnsi="Calibri"/>
          <w:sz w:val="28"/>
          <w:szCs w:val="28"/>
        </w:rPr>
        <w:t xml:space="preserve">. She considered in particular the section on gluttony. We </w:t>
      </w:r>
      <w:r w:rsidR="009D1918">
        <w:rPr>
          <w:rFonts w:ascii="Calibri" w:hAnsi="Calibri"/>
          <w:sz w:val="28"/>
          <w:szCs w:val="28"/>
        </w:rPr>
        <w:br/>
      </w:r>
    </w:p>
    <w:p w14:paraId="43A1AC5F" w14:textId="77777777" w:rsidR="004E3DBD" w:rsidRDefault="004E3DBD" w:rsidP="00AB69D4">
      <w:pPr>
        <w:rPr>
          <w:rFonts w:ascii="Calibri" w:hAnsi="Calibri"/>
          <w:sz w:val="28"/>
          <w:szCs w:val="28"/>
        </w:rPr>
      </w:pPr>
    </w:p>
    <w:p w14:paraId="441F17DB" w14:textId="14D1BDB4" w:rsidR="00AB69D4" w:rsidRPr="00AB69D4" w:rsidRDefault="00AB69D4" w:rsidP="00AB69D4">
      <w:pPr>
        <w:rPr>
          <w:rFonts w:ascii="Calibri" w:hAnsi="Calibri"/>
          <w:sz w:val="28"/>
          <w:szCs w:val="28"/>
        </w:rPr>
      </w:pPr>
      <w:bookmarkStart w:id="0" w:name="_GoBack"/>
      <w:bookmarkEnd w:id="0"/>
      <w:proofErr w:type="gramStart"/>
      <w:r w:rsidRPr="00AB69D4">
        <w:rPr>
          <w:rFonts w:ascii="Calibri" w:hAnsi="Calibri"/>
          <w:sz w:val="28"/>
          <w:szCs w:val="28"/>
        </w:rPr>
        <w:t>were</w:t>
      </w:r>
      <w:proofErr w:type="gramEnd"/>
      <w:r w:rsidRPr="00AB69D4">
        <w:rPr>
          <w:rFonts w:ascii="Calibri" w:hAnsi="Calibri"/>
          <w:sz w:val="28"/>
          <w:szCs w:val="28"/>
        </w:rPr>
        <w:t xml:space="preserve"> surprised to hear that excessive time spent preparing food and drink could be one of the five manifestations of gluttony as it stopped people using the time for more appropriate spiritual matters. </w:t>
      </w:r>
      <w:r w:rsidR="00A5248A">
        <w:rPr>
          <w:rFonts w:ascii="Calibri" w:hAnsi="Calibri"/>
          <w:sz w:val="28"/>
          <w:szCs w:val="28"/>
        </w:rPr>
        <w:t>More generally, however,</w:t>
      </w:r>
      <w:r w:rsidRPr="00AB69D4">
        <w:rPr>
          <w:rFonts w:ascii="Calibri" w:hAnsi="Calibri"/>
          <w:sz w:val="28"/>
          <w:szCs w:val="28"/>
        </w:rPr>
        <w:t xml:space="preserve"> </w:t>
      </w:r>
      <w:r w:rsidR="00A5248A">
        <w:rPr>
          <w:rFonts w:ascii="Calibri" w:hAnsi="Calibri"/>
          <w:sz w:val="28"/>
          <w:szCs w:val="28"/>
        </w:rPr>
        <w:t>she argued that the division</w:t>
      </w:r>
      <w:r w:rsidRPr="00AB69D4">
        <w:rPr>
          <w:rFonts w:ascii="Calibri" w:hAnsi="Calibri"/>
          <w:sz w:val="28"/>
          <w:szCs w:val="28"/>
        </w:rPr>
        <w:t xml:space="preserve"> between moderation and gluttony was not absolute and</w:t>
      </w:r>
      <w:r w:rsidR="00A5248A">
        <w:rPr>
          <w:rFonts w:ascii="Calibri" w:hAnsi="Calibri"/>
          <w:sz w:val="28"/>
          <w:szCs w:val="28"/>
        </w:rPr>
        <w:t xml:space="preserve"> that</w:t>
      </w:r>
      <w:r w:rsidRPr="00AB69D4">
        <w:rPr>
          <w:rFonts w:ascii="Calibri" w:hAnsi="Calibri"/>
          <w:sz w:val="28"/>
          <w:szCs w:val="28"/>
        </w:rPr>
        <w:t xml:space="preserve"> the </w:t>
      </w:r>
      <w:r w:rsidR="00A5248A">
        <w:rPr>
          <w:rFonts w:ascii="Calibri" w:hAnsi="Calibri"/>
          <w:sz w:val="28"/>
          <w:szCs w:val="28"/>
        </w:rPr>
        <w:t>text</w:t>
      </w:r>
      <w:r w:rsidRPr="00AB69D4">
        <w:rPr>
          <w:rFonts w:ascii="Calibri" w:hAnsi="Calibri"/>
          <w:sz w:val="28"/>
          <w:szCs w:val="28"/>
        </w:rPr>
        <w:t xml:space="preserve"> promoted a sense of community rather than condemning people.</w:t>
      </w:r>
    </w:p>
    <w:p w14:paraId="77E31801" w14:textId="5A120D7D" w:rsidR="00AB69D4" w:rsidRPr="00AB69D4" w:rsidRDefault="00AB69D4" w:rsidP="00A5248A">
      <w:pPr>
        <w:ind w:firstLine="720"/>
        <w:rPr>
          <w:rFonts w:ascii="Calibri" w:hAnsi="Calibri"/>
          <w:sz w:val="28"/>
          <w:szCs w:val="28"/>
        </w:rPr>
      </w:pPr>
      <w:r w:rsidRPr="00A5248A">
        <w:rPr>
          <w:rFonts w:ascii="Calibri" w:hAnsi="Calibri"/>
          <w:b/>
          <w:sz w:val="28"/>
          <w:szCs w:val="28"/>
        </w:rPr>
        <w:t xml:space="preserve">Eva Marie </w:t>
      </w:r>
      <w:proofErr w:type="spellStart"/>
      <w:r w:rsidRPr="00A5248A">
        <w:rPr>
          <w:rFonts w:ascii="Calibri" w:hAnsi="Calibri"/>
          <w:b/>
          <w:sz w:val="28"/>
          <w:szCs w:val="28"/>
        </w:rPr>
        <w:t>Lehner</w:t>
      </w:r>
      <w:proofErr w:type="spellEnd"/>
      <w:r w:rsidRPr="00AB69D4">
        <w:rPr>
          <w:rFonts w:ascii="Calibri" w:hAnsi="Calibri"/>
          <w:sz w:val="28"/>
          <w:szCs w:val="28"/>
        </w:rPr>
        <w:t xml:space="preserve"> (</w:t>
      </w:r>
      <w:proofErr w:type="spellStart"/>
      <w:r w:rsidRPr="00AB69D4">
        <w:rPr>
          <w:rFonts w:ascii="Calibri" w:hAnsi="Calibri"/>
          <w:sz w:val="28"/>
          <w:szCs w:val="28"/>
        </w:rPr>
        <w:t>Universität</w:t>
      </w:r>
      <w:proofErr w:type="spellEnd"/>
      <w:r w:rsidRPr="00AB69D4">
        <w:rPr>
          <w:rFonts w:ascii="Calibri" w:hAnsi="Calibri"/>
          <w:sz w:val="28"/>
          <w:szCs w:val="28"/>
        </w:rPr>
        <w:t xml:space="preserve"> Duisburg-Essen, Germany) </w:t>
      </w:r>
      <w:r w:rsidR="00A5248A">
        <w:rPr>
          <w:rFonts w:ascii="Calibri" w:hAnsi="Calibri"/>
          <w:sz w:val="28"/>
          <w:szCs w:val="28"/>
        </w:rPr>
        <w:t>spoke on</w:t>
      </w:r>
      <w:r w:rsidRPr="00AB69D4">
        <w:rPr>
          <w:rFonts w:ascii="Calibri" w:hAnsi="Calibri"/>
          <w:sz w:val="28"/>
          <w:szCs w:val="28"/>
        </w:rPr>
        <w:t xml:space="preserve"> ‘Parish registers and religious communities in south Germany’. Such registers, listing baptisms, marriages and burials were introduced</w:t>
      </w:r>
      <w:r w:rsidR="00BD04A1">
        <w:rPr>
          <w:rFonts w:ascii="Calibri" w:hAnsi="Calibri"/>
          <w:sz w:val="28"/>
          <w:szCs w:val="28"/>
        </w:rPr>
        <w:t xml:space="preserve"> in the Age of the</w:t>
      </w:r>
      <w:r w:rsidRPr="00AB69D4">
        <w:rPr>
          <w:rFonts w:ascii="Calibri" w:hAnsi="Calibri"/>
          <w:sz w:val="28"/>
          <w:szCs w:val="28"/>
        </w:rPr>
        <w:t xml:space="preserve"> Reformation and have been </w:t>
      </w:r>
      <w:r w:rsidR="00BD04A1">
        <w:rPr>
          <w:rFonts w:ascii="Calibri" w:hAnsi="Calibri"/>
          <w:sz w:val="28"/>
          <w:szCs w:val="28"/>
        </w:rPr>
        <w:t>mainly used</w:t>
      </w:r>
      <w:r w:rsidRPr="00AB69D4">
        <w:rPr>
          <w:rFonts w:ascii="Calibri" w:hAnsi="Calibri"/>
          <w:sz w:val="28"/>
          <w:szCs w:val="28"/>
        </w:rPr>
        <w:t xml:space="preserve"> for demographic studies. </w:t>
      </w:r>
      <w:proofErr w:type="spellStart"/>
      <w:r w:rsidRPr="00AB69D4">
        <w:rPr>
          <w:rFonts w:ascii="Calibri" w:hAnsi="Calibri"/>
          <w:sz w:val="28"/>
          <w:szCs w:val="28"/>
        </w:rPr>
        <w:t>Lehner</w:t>
      </w:r>
      <w:proofErr w:type="spellEnd"/>
      <w:r w:rsidR="00BD04A1">
        <w:rPr>
          <w:rFonts w:ascii="Calibri" w:hAnsi="Calibri"/>
          <w:sz w:val="28"/>
          <w:szCs w:val="28"/>
        </w:rPr>
        <w:t>, in contrast,</w:t>
      </w:r>
      <w:r w:rsidRPr="00AB69D4">
        <w:rPr>
          <w:rFonts w:ascii="Calibri" w:hAnsi="Calibri"/>
          <w:sz w:val="28"/>
          <w:szCs w:val="28"/>
        </w:rPr>
        <w:t xml:space="preserve"> </w:t>
      </w:r>
      <w:r w:rsidR="00BD04A1">
        <w:rPr>
          <w:rFonts w:ascii="Calibri" w:hAnsi="Calibri"/>
          <w:sz w:val="28"/>
          <w:szCs w:val="28"/>
        </w:rPr>
        <w:t>concentrated on</w:t>
      </w:r>
      <w:r w:rsidRPr="00AB69D4">
        <w:rPr>
          <w:rFonts w:ascii="Calibri" w:hAnsi="Calibri"/>
          <w:sz w:val="28"/>
          <w:szCs w:val="28"/>
        </w:rPr>
        <w:t xml:space="preserve"> the narrative contained in the registers of two south German Protestant parishes – Nuremberg </w:t>
      </w:r>
      <w:proofErr w:type="gramStart"/>
      <w:r w:rsidRPr="00AB69D4">
        <w:rPr>
          <w:rFonts w:ascii="Calibri" w:hAnsi="Calibri"/>
          <w:sz w:val="28"/>
          <w:szCs w:val="28"/>
        </w:rPr>
        <w:t xml:space="preserve">and  </w:t>
      </w:r>
      <w:proofErr w:type="spellStart"/>
      <w:r w:rsidRPr="00AB69D4">
        <w:rPr>
          <w:rFonts w:ascii="Calibri" w:hAnsi="Calibri"/>
          <w:sz w:val="28"/>
          <w:szCs w:val="28"/>
        </w:rPr>
        <w:t>Sulzbach</w:t>
      </w:r>
      <w:proofErr w:type="spellEnd"/>
      <w:proofErr w:type="gramEnd"/>
      <w:r w:rsidR="00BD04A1">
        <w:rPr>
          <w:rFonts w:ascii="Calibri" w:hAnsi="Calibri"/>
          <w:sz w:val="28"/>
          <w:szCs w:val="28"/>
        </w:rPr>
        <w:t xml:space="preserve"> </w:t>
      </w:r>
      <w:r w:rsidRPr="00AB69D4">
        <w:rPr>
          <w:rFonts w:ascii="Calibri" w:hAnsi="Calibri"/>
          <w:sz w:val="28"/>
          <w:szCs w:val="28"/>
        </w:rPr>
        <w:t xml:space="preserve">- and the light these entries shone on the relationships of the parish with religious outsiders. The obvious example of this was the relationship with Catholics, which she illustrated with the account of the problems caused by the illness and death of a travelling Catholic woman in one of the parishes. It was unclear if the woman had indeed converted to Protestantism but the register entry noted, ‘we hope for her salvation and allow her funeral to be in our own churchyard.’ This attitude was in line with the spirit of compromise within parishes which earlier speakers had already highlighted. She also showed how Protestants were </w:t>
      </w:r>
      <w:r w:rsidR="00BD04A1">
        <w:rPr>
          <w:rFonts w:ascii="Calibri" w:hAnsi="Calibri"/>
          <w:sz w:val="28"/>
          <w:szCs w:val="28"/>
        </w:rPr>
        <w:t xml:space="preserve">still </w:t>
      </w:r>
      <w:r w:rsidRPr="00AB69D4">
        <w:rPr>
          <w:rFonts w:ascii="Calibri" w:hAnsi="Calibri"/>
          <w:sz w:val="28"/>
          <w:szCs w:val="28"/>
        </w:rPr>
        <w:t xml:space="preserve">troubled by what would happen to the souls of infants who died before baptism in the church – was their salvation in danger? </w:t>
      </w:r>
      <w:r w:rsidR="00BD04A1">
        <w:rPr>
          <w:rFonts w:ascii="Calibri" w:hAnsi="Calibri"/>
          <w:sz w:val="28"/>
          <w:szCs w:val="28"/>
        </w:rPr>
        <w:t xml:space="preserve">Some clearly underwent emergency baptism </w:t>
      </w:r>
      <w:r w:rsidRPr="00AB69D4">
        <w:rPr>
          <w:rFonts w:ascii="Calibri" w:hAnsi="Calibri"/>
          <w:sz w:val="28"/>
          <w:szCs w:val="28"/>
        </w:rPr>
        <w:t>by midwives. Study of the registers also revealed the use of symbols to record information such as death by hanging or other forms of executi</w:t>
      </w:r>
      <w:r w:rsidR="00BD04A1">
        <w:rPr>
          <w:rFonts w:ascii="Calibri" w:hAnsi="Calibri"/>
          <w:sz w:val="28"/>
          <w:szCs w:val="28"/>
        </w:rPr>
        <w:t>on. Discussion afterwards focus</w:t>
      </w:r>
      <w:r w:rsidRPr="00AB69D4">
        <w:rPr>
          <w:rFonts w:ascii="Calibri" w:hAnsi="Calibri"/>
          <w:sz w:val="28"/>
          <w:szCs w:val="28"/>
        </w:rPr>
        <w:t>ed on how representative these two parishes were</w:t>
      </w:r>
      <w:r w:rsidR="00BD04A1">
        <w:rPr>
          <w:rFonts w:ascii="Calibri" w:hAnsi="Calibri"/>
          <w:sz w:val="28"/>
          <w:szCs w:val="28"/>
        </w:rPr>
        <w:t xml:space="preserve"> and how </w:t>
      </w:r>
      <w:r w:rsidRPr="00AB69D4">
        <w:rPr>
          <w:rFonts w:ascii="Calibri" w:hAnsi="Calibri"/>
          <w:sz w:val="28"/>
          <w:szCs w:val="28"/>
        </w:rPr>
        <w:t xml:space="preserve">the </w:t>
      </w:r>
      <w:r w:rsidR="00BD04A1">
        <w:rPr>
          <w:rFonts w:ascii="Calibri" w:hAnsi="Calibri"/>
          <w:sz w:val="28"/>
          <w:szCs w:val="28"/>
        </w:rPr>
        <w:t xml:space="preserve">extent of </w:t>
      </w:r>
      <w:r w:rsidRPr="00AB69D4">
        <w:rPr>
          <w:rFonts w:ascii="Calibri" w:hAnsi="Calibri"/>
          <w:sz w:val="28"/>
          <w:szCs w:val="28"/>
        </w:rPr>
        <w:t xml:space="preserve">detail varied with the writer. </w:t>
      </w:r>
    </w:p>
    <w:p w14:paraId="466A2298" w14:textId="77777777" w:rsidR="009D1918" w:rsidRDefault="00AB69D4" w:rsidP="009D1918">
      <w:pPr>
        <w:ind w:firstLine="720"/>
        <w:rPr>
          <w:rFonts w:ascii="Calibri" w:hAnsi="Calibri"/>
          <w:sz w:val="28"/>
          <w:szCs w:val="28"/>
        </w:rPr>
      </w:pPr>
      <w:r w:rsidRPr="00AB69D4">
        <w:rPr>
          <w:rFonts w:ascii="Calibri" w:hAnsi="Calibri"/>
          <w:sz w:val="28"/>
          <w:szCs w:val="28"/>
        </w:rPr>
        <w:t xml:space="preserve">The final research paper of the day was presented by </w:t>
      </w:r>
      <w:proofErr w:type="spellStart"/>
      <w:r w:rsidRPr="00BD04A1">
        <w:rPr>
          <w:rFonts w:ascii="Calibri" w:hAnsi="Calibri"/>
          <w:b/>
          <w:sz w:val="28"/>
          <w:szCs w:val="28"/>
        </w:rPr>
        <w:t>Jörg</w:t>
      </w:r>
      <w:proofErr w:type="spellEnd"/>
      <w:r w:rsidRPr="00BD04A1">
        <w:rPr>
          <w:rFonts w:ascii="Calibri" w:hAnsi="Calibri"/>
          <w:b/>
          <w:sz w:val="28"/>
          <w:szCs w:val="28"/>
        </w:rPr>
        <w:t xml:space="preserve"> </w:t>
      </w:r>
      <w:proofErr w:type="spellStart"/>
      <w:r w:rsidRPr="00BD04A1">
        <w:rPr>
          <w:rFonts w:ascii="Calibri" w:hAnsi="Calibri"/>
          <w:b/>
          <w:sz w:val="28"/>
          <w:szCs w:val="28"/>
        </w:rPr>
        <w:t>Widmaier</w:t>
      </w:r>
      <w:proofErr w:type="spellEnd"/>
      <w:r w:rsidRPr="00AB69D4">
        <w:rPr>
          <w:rFonts w:ascii="Calibri" w:hAnsi="Calibri"/>
          <w:sz w:val="28"/>
          <w:szCs w:val="28"/>
        </w:rPr>
        <w:t xml:space="preserve"> (Eberhard-</w:t>
      </w:r>
      <w:proofErr w:type="spellStart"/>
      <w:r w:rsidRPr="00AB69D4">
        <w:rPr>
          <w:rFonts w:ascii="Calibri" w:hAnsi="Calibri"/>
          <w:sz w:val="28"/>
          <w:szCs w:val="28"/>
        </w:rPr>
        <w:t>Karls</w:t>
      </w:r>
      <w:proofErr w:type="spellEnd"/>
      <w:r w:rsidRPr="00AB69D4">
        <w:rPr>
          <w:rFonts w:ascii="Calibri" w:hAnsi="Calibri"/>
          <w:sz w:val="28"/>
          <w:szCs w:val="28"/>
        </w:rPr>
        <w:t xml:space="preserve">- </w:t>
      </w:r>
      <w:proofErr w:type="spellStart"/>
      <w:r w:rsidRPr="00AB69D4">
        <w:rPr>
          <w:rFonts w:ascii="Calibri" w:hAnsi="Calibri"/>
          <w:sz w:val="28"/>
          <w:szCs w:val="28"/>
        </w:rPr>
        <w:t>Universität</w:t>
      </w:r>
      <w:proofErr w:type="spellEnd"/>
      <w:r w:rsidRPr="00AB69D4">
        <w:rPr>
          <w:rFonts w:ascii="Calibri" w:hAnsi="Calibri"/>
          <w:sz w:val="28"/>
          <w:szCs w:val="28"/>
        </w:rPr>
        <w:t xml:space="preserve"> </w:t>
      </w:r>
      <w:proofErr w:type="spellStart"/>
      <w:r w:rsidRPr="00AB69D4">
        <w:rPr>
          <w:rFonts w:ascii="Calibri" w:hAnsi="Calibri"/>
          <w:sz w:val="28"/>
          <w:szCs w:val="28"/>
        </w:rPr>
        <w:t>Tübingen</w:t>
      </w:r>
      <w:proofErr w:type="spellEnd"/>
      <w:r w:rsidRPr="00AB69D4">
        <w:rPr>
          <w:rFonts w:ascii="Calibri" w:hAnsi="Calibri"/>
          <w:sz w:val="28"/>
          <w:szCs w:val="28"/>
        </w:rPr>
        <w:t xml:space="preserve">, Sweden) on ‘The </w:t>
      </w:r>
      <w:proofErr w:type="spellStart"/>
      <w:r w:rsidRPr="00AB69D4">
        <w:rPr>
          <w:rFonts w:ascii="Calibri" w:hAnsi="Calibri"/>
          <w:sz w:val="28"/>
          <w:szCs w:val="28"/>
        </w:rPr>
        <w:t>Gotlandic</w:t>
      </w:r>
      <w:proofErr w:type="spellEnd"/>
      <w:r w:rsidRPr="00AB69D4">
        <w:rPr>
          <w:rFonts w:ascii="Calibri" w:hAnsi="Calibri"/>
          <w:sz w:val="28"/>
          <w:szCs w:val="28"/>
        </w:rPr>
        <w:t xml:space="preserve"> Parish. </w:t>
      </w:r>
      <w:proofErr w:type="gramStart"/>
      <w:r w:rsidRPr="00AB69D4">
        <w:rPr>
          <w:rFonts w:ascii="Calibri" w:hAnsi="Calibri"/>
          <w:sz w:val="28"/>
          <w:szCs w:val="28"/>
        </w:rPr>
        <w:t>Concepts of identity and social differentiation’.</w:t>
      </w:r>
      <w:proofErr w:type="gramEnd"/>
      <w:r w:rsidRPr="00AB69D4">
        <w:rPr>
          <w:rFonts w:ascii="Calibri" w:hAnsi="Calibri"/>
          <w:sz w:val="28"/>
          <w:szCs w:val="28"/>
        </w:rPr>
        <w:t xml:space="preserve"> Gotland is the largest Swedish island in the Baltic Sea and </w:t>
      </w:r>
      <w:r w:rsidR="00BD04A1">
        <w:rPr>
          <w:rFonts w:ascii="Calibri" w:hAnsi="Calibri"/>
          <w:sz w:val="28"/>
          <w:szCs w:val="28"/>
        </w:rPr>
        <w:t>served as</w:t>
      </w:r>
      <w:r w:rsidRPr="00AB69D4">
        <w:rPr>
          <w:rFonts w:ascii="Calibri" w:hAnsi="Calibri"/>
          <w:sz w:val="28"/>
          <w:szCs w:val="28"/>
        </w:rPr>
        <w:t xml:space="preserve"> an important trading post </w:t>
      </w:r>
      <w:r w:rsidR="00BD04A1">
        <w:rPr>
          <w:rFonts w:ascii="Calibri" w:hAnsi="Calibri"/>
          <w:sz w:val="28"/>
          <w:szCs w:val="28"/>
        </w:rPr>
        <w:t xml:space="preserve">in the premodern period. Its </w:t>
      </w:r>
      <w:r w:rsidRPr="00AB69D4">
        <w:rPr>
          <w:rFonts w:ascii="Calibri" w:hAnsi="Calibri"/>
          <w:sz w:val="28"/>
          <w:szCs w:val="28"/>
        </w:rPr>
        <w:t xml:space="preserve">great wealth was reflected in the </w:t>
      </w:r>
      <w:r w:rsidR="00104BDF">
        <w:rPr>
          <w:rFonts w:ascii="Calibri" w:hAnsi="Calibri"/>
          <w:sz w:val="28"/>
          <w:szCs w:val="28"/>
        </w:rPr>
        <w:t xml:space="preserve">sizeable </w:t>
      </w:r>
      <w:r w:rsidRPr="00AB69D4">
        <w:rPr>
          <w:rFonts w:ascii="Calibri" w:hAnsi="Calibri"/>
          <w:sz w:val="28"/>
          <w:szCs w:val="28"/>
        </w:rPr>
        <w:t xml:space="preserve">churches built </w:t>
      </w:r>
      <w:r w:rsidR="00BD04A1">
        <w:rPr>
          <w:rFonts w:ascii="Calibri" w:hAnsi="Calibri"/>
          <w:sz w:val="28"/>
          <w:szCs w:val="28"/>
        </w:rPr>
        <w:t>by</w:t>
      </w:r>
      <w:r w:rsidRPr="00AB69D4">
        <w:rPr>
          <w:rFonts w:ascii="Calibri" w:hAnsi="Calibri"/>
          <w:sz w:val="28"/>
          <w:szCs w:val="28"/>
        </w:rPr>
        <w:t xml:space="preserve"> the 95 rural parishes. </w:t>
      </w:r>
      <w:r w:rsidR="00104BDF">
        <w:rPr>
          <w:rFonts w:ascii="Calibri" w:hAnsi="Calibri"/>
          <w:sz w:val="28"/>
          <w:szCs w:val="28"/>
        </w:rPr>
        <w:t xml:space="preserve">As an archaeologist, </w:t>
      </w:r>
      <w:proofErr w:type="spellStart"/>
      <w:r w:rsidRPr="00AB69D4">
        <w:rPr>
          <w:rFonts w:ascii="Calibri" w:hAnsi="Calibri"/>
          <w:sz w:val="28"/>
          <w:szCs w:val="28"/>
        </w:rPr>
        <w:t>Widmaier</w:t>
      </w:r>
      <w:proofErr w:type="spellEnd"/>
      <w:r w:rsidRPr="00AB69D4">
        <w:rPr>
          <w:rFonts w:ascii="Calibri" w:hAnsi="Calibri"/>
          <w:sz w:val="28"/>
          <w:szCs w:val="28"/>
        </w:rPr>
        <w:t xml:space="preserve"> </w:t>
      </w:r>
      <w:r w:rsidR="00104BDF">
        <w:rPr>
          <w:rFonts w:ascii="Calibri" w:hAnsi="Calibri"/>
          <w:sz w:val="28"/>
          <w:szCs w:val="28"/>
        </w:rPr>
        <w:t>combined the use of</w:t>
      </w:r>
      <w:r w:rsidRPr="00AB69D4">
        <w:rPr>
          <w:rFonts w:ascii="Calibri" w:hAnsi="Calibri"/>
          <w:sz w:val="28"/>
          <w:szCs w:val="28"/>
        </w:rPr>
        <w:t xml:space="preserve"> written sources </w:t>
      </w:r>
      <w:r w:rsidR="00104BDF">
        <w:rPr>
          <w:rFonts w:ascii="Calibri" w:hAnsi="Calibri"/>
          <w:sz w:val="28"/>
          <w:szCs w:val="28"/>
        </w:rPr>
        <w:t>with</w:t>
      </w:r>
      <w:r w:rsidRPr="00AB69D4">
        <w:rPr>
          <w:rFonts w:ascii="Calibri" w:hAnsi="Calibri"/>
          <w:sz w:val="28"/>
          <w:szCs w:val="28"/>
        </w:rPr>
        <w:t xml:space="preserve"> an analysis of material remains order to study concepts of identity and social differentiation. Of note was the </w:t>
      </w:r>
      <w:r w:rsidR="00104BDF">
        <w:rPr>
          <w:rFonts w:ascii="Calibri" w:hAnsi="Calibri"/>
          <w:sz w:val="28"/>
          <w:szCs w:val="28"/>
        </w:rPr>
        <w:t>comparatively large</w:t>
      </w:r>
      <w:r w:rsidRPr="00AB69D4">
        <w:rPr>
          <w:rFonts w:ascii="Calibri" w:hAnsi="Calibri"/>
          <w:sz w:val="28"/>
          <w:szCs w:val="28"/>
        </w:rPr>
        <w:t xml:space="preserve"> size of the </w:t>
      </w:r>
      <w:r w:rsidR="00104BDF">
        <w:rPr>
          <w:rFonts w:ascii="Calibri" w:hAnsi="Calibri"/>
          <w:sz w:val="28"/>
          <w:szCs w:val="28"/>
        </w:rPr>
        <w:t>chancel</w:t>
      </w:r>
      <w:r w:rsidRPr="00AB69D4">
        <w:rPr>
          <w:rFonts w:ascii="Calibri" w:hAnsi="Calibri"/>
          <w:sz w:val="28"/>
          <w:szCs w:val="28"/>
        </w:rPr>
        <w:t xml:space="preserve"> in contrast to the </w:t>
      </w:r>
      <w:r w:rsidR="00104BDF">
        <w:rPr>
          <w:rFonts w:ascii="Calibri" w:hAnsi="Calibri"/>
          <w:sz w:val="28"/>
          <w:szCs w:val="28"/>
        </w:rPr>
        <w:t>nave as well as</w:t>
      </w:r>
      <w:r w:rsidRPr="00AB69D4">
        <w:rPr>
          <w:rFonts w:ascii="Calibri" w:hAnsi="Calibri"/>
          <w:sz w:val="28"/>
          <w:szCs w:val="28"/>
        </w:rPr>
        <w:t xml:space="preserve"> evidence of the merchant elite (there were no </w:t>
      </w:r>
      <w:r w:rsidR="00104BDF">
        <w:rPr>
          <w:rFonts w:ascii="Calibri" w:hAnsi="Calibri"/>
          <w:sz w:val="28"/>
          <w:szCs w:val="28"/>
        </w:rPr>
        <w:t>nobles</w:t>
      </w:r>
      <w:r w:rsidRPr="00AB69D4">
        <w:rPr>
          <w:rFonts w:ascii="Calibri" w:hAnsi="Calibri"/>
          <w:sz w:val="28"/>
          <w:szCs w:val="28"/>
        </w:rPr>
        <w:t xml:space="preserve">) </w:t>
      </w:r>
      <w:r w:rsidR="00104BDF">
        <w:rPr>
          <w:rFonts w:ascii="Calibri" w:hAnsi="Calibri"/>
          <w:sz w:val="28"/>
          <w:szCs w:val="28"/>
        </w:rPr>
        <w:t>having their own chancel door</w:t>
      </w:r>
      <w:r w:rsidRPr="00AB69D4">
        <w:rPr>
          <w:rFonts w:ascii="Calibri" w:hAnsi="Calibri"/>
          <w:sz w:val="28"/>
          <w:szCs w:val="28"/>
        </w:rPr>
        <w:t xml:space="preserve">. One </w:t>
      </w:r>
      <w:r w:rsidR="00104BDF">
        <w:rPr>
          <w:rFonts w:ascii="Calibri" w:hAnsi="Calibri"/>
          <w:sz w:val="28"/>
          <w:szCs w:val="28"/>
        </w:rPr>
        <w:t>plan</w:t>
      </w:r>
      <w:r w:rsidRPr="00AB69D4">
        <w:rPr>
          <w:rFonts w:ascii="Calibri" w:hAnsi="Calibri"/>
          <w:sz w:val="28"/>
          <w:szCs w:val="28"/>
        </w:rPr>
        <w:t xml:space="preserve"> showed a number of entrances to a chancel together with </w:t>
      </w:r>
      <w:r w:rsidR="00104BDF">
        <w:rPr>
          <w:rFonts w:ascii="Calibri" w:hAnsi="Calibri"/>
          <w:sz w:val="28"/>
          <w:szCs w:val="28"/>
        </w:rPr>
        <w:t>galleries</w:t>
      </w:r>
      <w:r w:rsidRPr="00AB69D4">
        <w:rPr>
          <w:rFonts w:ascii="Calibri" w:hAnsi="Calibri"/>
          <w:sz w:val="28"/>
          <w:szCs w:val="28"/>
        </w:rPr>
        <w:t xml:space="preserve"> only accessible by steps which suggested a different relationship between the clergy and laity to that </w:t>
      </w:r>
      <w:r w:rsidR="00104BDF">
        <w:rPr>
          <w:rFonts w:ascii="Calibri" w:hAnsi="Calibri"/>
          <w:sz w:val="28"/>
          <w:szCs w:val="28"/>
        </w:rPr>
        <w:t>seen in parishes elsewhere</w:t>
      </w:r>
      <w:r w:rsidRPr="00AB69D4">
        <w:rPr>
          <w:rFonts w:ascii="Calibri" w:hAnsi="Calibri"/>
          <w:sz w:val="28"/>
          <w:szCs w:val="28"/>
        </w:rPr>
        <w:t xml:space="preserve">. This gave rise to much discussion. Because of </w:t>
      </w:r>
      <w:r w:rsidR="009D1918">
        <w:rPr>
          <w:rFonts w:ascii="Calibri" w:hAnsi="Calibri"/>
          <w:sz w:val="28"/>
          <w:szCs w:val="28"/>
        </w:rPr>
        <w:br/>
      </w:r>
      <w:r w:rsidR="009D1918">
        <w:rPr>
          <w:rFonts w:ascii="Calibri" w:hAnsi="Calibri"/>
          <w:sz w:val="28"/>
          <w:szCs w:val="28"/>
        </w:rPr>
        <w:br/>
      </w:r>
    </w:p>
    <w:p w14:paraId="5E1CCA55" w14:textId="70BE0C97" w:rsidR="00AB69D4" w:rsidRPr="00AB69D4" w:rsidRDefault="00AB69D4" w:rsidP="009D1918">
      <w:pPr>
        <w:rPr>
          <w:rFonts w:ascii="Calibri" w:hAnsi="Calibri"/>
          <w:sz w:val="28"/>
          <w:szCs w:val="28"/>
        </w:rPr>
      </w:pPr>
      <w:proofErr w:type="gramStart"/>
      <w:r w:rsidRPr="00AB69D4">
        <w:rPr>
          <w:rFonts w:ascii="Calibri" w:hAnsi="Calibri"/>
          <w:sz w:val="28"/>
          <w:szCs w:val="28"/>
        </w:rPr>
        <w:lastRenderedPageBreak/>
        <w:t>the</w:t>
      </w:r>
      <w:proofErr w:type="gramEnd"/>
      <w:r w:rsidRPr="00AB69D4">
        <w:rPr>
          <w:rFonts w:ascii="Calibri" w:hAnsi="Calibri"/>
          <w:sz w:val="28"/>
          <w:szCs w:val="28"/>
        </w:rPr>
        <w:t xml:space="preserve"> </w:t>
      </w:r>
      <w:r w:rsidR="00104BDF">
        <w:rPr>
          <w:rFonts w:ascii="Calibri" w:hAnsi="Calibri"/>
          <w:sz w:val="28"/>
          <w:szCs w:val="28"/>
        </w:rPr>
        <w:t>extensive trading links</w:t>
      </w:r>
      <w:r w:rsidRPr="00AB69D4">
        <w:rPr>
          <w:rFonts w:ascii="Calibri" w:hAnsi="Calibri"/>
          <w:sz w:val="28"/>
          <w:szCs w:val="28"/>
        </w:rPr>
        <w:t>, the churches display influence</w:t>
      </w:r>
      <w:r w:rsidR="00104BDF">
        <w:rPr>
          <w:rFonts w:ascii="Calibri" w:hAnsi="Calibri"/>
          <w:sz w:val="28"/>
          <w:szCs w:val="28"/>
        </w:rPr>
        <w:t>s</w:t>
      </w:r>
      <w:r w:rsidRPr="00AB69D4">
        <w:rPr>
          <w:rFonts w:ascii="Calibri" w:hAnsi="Calibri"/>
          <w:sz w:val="28"/>
          <w:szCs w:val="28"/>
        </w:rPr>
        <w:t xml:space="preserve"> of both Western </w:t>
      </w:r>
      <w:r w:rsidR="00104BDF">
        <w:rPr>
          <w:rFonts w:ascii="Calibri" w:hAnsi="Calibri"/>
          <w:sz w:val="28"/>
          <w:szCs w:val="28"/>
        </w:rPr>
        <w:t>/</w:t>
      </w:r>
      <w:r w:rsidRPr="00AB69D4">
        <w:rPr>
          <w:rFonts w:ascii="Calibri" w:hAnsi="Calibri"/>
          <w:sz w:val="28"/>
          <w:szCs w:val="28"/>
        </w:rPr>
        <w:t xml:space="preserve"> Eastern Christianity </w:t>
      </w:r>
      <w:r w:rsidR="00104BDF">
        <w:rPr>
          <w:rFonts w:ascii="Calibri" w:hAnsi="Calibri"/>
          <w:sz w:val="28"/>
          <w:szCs w:val="28"/>
        </w:rPr>
        <w:t>as well as Islam</w:t>
      </w:r>
      <w:r w:rsidRPr="00AB69D4">
        <w:rPr>
          <w:rFonts w:ascii="Calibri" w:hAnsi="Calibri"/>
          <w:sz w:val="28"/>
          <w:szCs w:val="28"/>
        </w:rPr>
        <w:t xml:space="preserve">. Even after the Reformation </w:t>
      </w:r>
      <w:r w:rsidR="00104BDF">
        <w:rPr>
          <w:rFonts w:ascii="Calibri" w:hAnsi="Calibri"/>
          <w:sz w:val="28"/>
          <w:szCs w:val="28"/>
        </w:rPr>
        <w:t>they</w:t>
      </w:r>
      <w:r w:rsidRPr="00AB69D4">
        <w:rPr>
          <w:rFonts w:ascii="Calibri" w:hAnsi="Calibri"/>
          <w:sz w:val="28"/>
          <w:szCs w:val="28"/>
        </w:rPr>
        <w:t xml:space="preserve"> remained very Catholic in appearance</w:t>
      </w:r>
      <w:r w:rsidR="00104BDF">
        <w:rPr>
          <w:rFonts w:ascii="Calibri" w:hAnsi="Calibri"/>
          <w:sz w:val="28"/>
          <w:szCs w:val="28"/>
        </w:rPr>
        <w:t xml:space="preserve">, with </w:t>
      </w:r>
      <w:r w:rsidRPr="00AB69D4">
        <w:rPr>
          <w:rFonts w:ascii="Calibri" w:hAnsi="Calibri"/>
          <w:sz w:val="28"/>
          <w:szCs w:val="28"/>
        </w:rPr>
        <w:t xml:space="preserve">side altars and sculptures </w:t>
      </w:r>
      <w:r w:rsidR="00104BDF">
        <w:rPr>
          <w:rFonts w:ascii="Calibri" w:hAnsi="Calibri"/>
          <w:sz w:val="28"/>
          <w:szCs w:val="28"/>
        </w:rPr>
        <w:t>remaining in place</w:t>
      </w:r>
      <w:r w:rsidRPr="00AB69D4">
        <w:rPr>
          <w:rFonts w:ascii="Calibri" w:hAnsi="Calibri"/>
          <w:sz w:val="28"/>
          <w:szCs w:val="28"/>
        </w:rPr>
        <w:t xml:space="preserve">. The </w:t>
      </w:r>
      <w:proofErr w:type="spellStart"/>
      <w:r w:rsidRPr="00104BDF">
        <w:rPr>
          <w:rFonts w:ascii="Calibri" w:hAnsi="Calibri"/>
          <w:i/>
          <w:sz w:val="28"/>
          <w:szCs w:val="28"/>
        </w:rPr>
        <w:t>Guta</w:t>
      </w:r>
      <w:proofErr w:type="spellEnd"/>
      <w:r w:rsidR="00104BDF" w:rsidRPr="00104BDF">
        <w:rPr>
          <w:rFonts w:ascii="Calibri" w:hAnsi="Calibri"/>
          <w:i/>
          <w:sz w:val="28"/>
          <w:szCs w:val="28"/>
        </w:rPr>
        <w:t xml:space="preserve"> </w:t>
      </w:r>
      <w:r w:rsidRPr="00104BDF">
        <w:rPr>
          <w:rFonts w:ascii="Calibri" w:hAnsi="Calibri"/>
          <w:i/>
          <w:sz w:val="28"/>
          <w:szCs w:val="28"/>
        </w:rPr>
        <w:t>Lag</w:t>
      </w:r>
      <w:r w:rsidR="00104BDF">
        <w:rPr>
          <w:rFonts w:ascii="Calibri" w:hAnsi="Calibri"/>
          <w:sz w:val="28"/>
          <w:szCs w:val="28"/>
        </w:rPr>
        <w:t>, the thirteenth-century l</w:t>
      </w:r>
      <w:r w:rsidRPr="00AB69D4">
        <w:rPr>
          <w:rFonts w:ascii="Calibri" w:hAnsi="Calibri"/>
          <w:sz w:val="28"/>
          <w:szCs w:val="28"/>
        </w:rPr>
        <w:t xml:space="preserve">aw of the </w:t>
      </w:r>
      <w:proofErr w:type="spellStart"/>
      <w:r w:rsidRPr="00AB69D4">
        <w:rPr>
          <w:rFonts w:ascii="Calibri" w:hAnsi="Calibri"/>
          <w:sz w:val="28"/>
          <w:szCs w:val="28"/>
        </w:rPr>
        <w:t>Gotlanders</w:t>
      </w:r>
      <w:proofErr w:type="spellEnd"/>
      <w:r w:rsidRPr="00AB69D4">
        <w:rPr>
          <w:rFonts w:ascii="Calibri" w:hAnsi="Calibri"/>
          <w:sz w:val="28"/>
          <w:szCs w:val="28"/>
        </w:rPr>
        <w:t xml:space="preserve">, laid down requirements on the parishioners so, for example, if the tithes were not paid, the church would be closed. Thus in this economically very successful region, it appears that the parish was the focus of the community. </w:t>
      </w:r>
    </w:p>
    <w:p w14:paraId="4058B9E7" w14:textId="77777777" w:rsidR="00104BDF" w:rsidRDefault="00104BDF" w:rsidP="00AB69D4">
      <w:pPr>
        <w:rPr>
          <w:rFonts w:ascii="Calibri" w:hAnsi="Calibri"/>
          <w:sz w:val="28"/>
          <w:szCs w:val="28"/>
        </w:rPr>
      </w:pPr>
    </w:p>
    <w:p w14:paraId="118B1558" w14:textId="3E07C252" w:rsidR="00AB69D4" w:rsidRPr="00AB69D4" w:rsidRDefault="00AB69D4" w:rsidP="00AB69D4">
      <w:pPr>
        <w:rPr>
          <w:rFonts w:ascii="Calibri" w:hAnsi="Calibri"/>
          <w:sz w:val="28"/>
          <w:szCs w:val="28"/>
        </w:rPr>
      </w:pPr>
      <w:r w:rsidRPr="00104BDF">
        <w:rPr>
          <w:rFonts w:ascii="Calibri" w:hAnsi="Calibri"/>
          <w:b/>
          <w:sz w:val="28"/>
          <w:szCs w:val="28"/>
        </w:rPr>
        <w:t>Andrew Foster</w:t>
      </w:r>
      <w:r w:rsidRPr="00AB69D4">
        <w:rPr>
          <w:rFonts w:ascii="Calibri" w:hAnsi="Calibri"/>
          <w:sz w:val="28"/>
          <w:szCs w:val="28"/>
        </w:rPr>
        <w:t xml:space="preserve"> (University of Kent) </w:t>
      </w:r>
      <w:r w:rsidR="00104BDF">
        <w:rPr>
          <w:rFonts w:ascii="Calibri" w:hAnsi="Calibri"/>
          <w:sz w:val="28"/>
          <w:szCs w:val="28"/>
        </w:rPr>
        <w:t>closed the</w:t>
      </w:r>
      <w:r w:rsidRPr="00AB69D4">
        <w:rPr>
          <w:rFonts w:ascii="Calibri" w:hAnsi="Calibri"/>
          <w:sz w:val="28"/>
          <w:szCs w:val="28"/>
        </w:rPr>
        <w:t xml:space="preserve"> formal </w:t>
      </w:r>
      <w:r w:rsidR="00104BDF">
        <w:rPr>
          <w:rFonts w:ascii="Calibri" w:hAnsi="Calibri"/>
          <w:sz w:val="28"/>
          <w:szCs w:val="28"/>
        </w:rPr>
        <w:t>proceedings with a</w:t>
      </w:r>
      <w:r w:rsidRPr="00AB69D4">
        <w:rPr>
          <w:rFonts w:ascii="Calibri" w:hAnsi="Calibri"/>
          <w:sz w:val="28"/>
          <w:szCs w:val="28"/>
        </w:rPr>
        <w:t xml:space="preserve"> project </w:t>
      </w:r>
      <w:r w:rsidR="00104BDF">
        <w:rPr>
          <w:rFonts w:ascii="Calibri" w:hAnsi="Calibri"/>
          <w:sz w:val="28"/>
          <w:szCs w:val="28"/>
        </w:rPr>
        <w:t xml:space="preserve">presentation entitled </w:t>
      </w:r>
      <w:r w:rsidRPr="00AB69D4">
        <w:rPr>
          <w:rFonts w:ascii="Calibri" w:hAnsi="Calibri"/>
          <w:sz w:val="28"/>
          <w:szCs w:val="28"/>
        </w:rPr>
        <w:t>‘Parish</w:t>
      </w:r>
      <w:r w:rsidR="00BC78C5">
        <w:rPr>
          <w:rFonts w:ascii="Calibri" w:hAnsi="Calibri"/>
          <w:sz w:val="28"/>
          <w:szCs w:val="28"/>
        </w:rPr>
        <w:t xml:space="preserve"> registers in the Interregnum’, a period which brought much disruption to local ecclesiastical life and its records</w:t>
      </w:r>
      <w:r w:rsidRPr="00AB69D4">
        <w:rPr>
          <w:rFonts w:ascii="Calibri" w:hAnsi="Calibri"/>
          <w:sz w:val="28"/>
          <w:szCs w:val="28"/>
        </w:rPr>
        <w:t xml:space="preserve">. Amongst the questions arising are: are there patterns of survivals between dioceses; do other documents (e.g. glebe terriers) survive from this period; how smooth and fast was the recovery of record keeping post 1660 when most dioceses had new bishops and archdeacons; what was the effect of the new Congregational / Presbyterian associations? </w:t>
      </w:r>
      <w:r w:rsidR="00BC78C5">
        <w:rPr>
          <w:rFonts w:ascii="Calibri" w:hAnsi="Calibri"/>
          <w:sz w:val="28"/>
          <w:szCs w:val="28"/>
        </w:rPr>
        <w:t>One possibly</w:t>
      </w:r>
      <w:r w:rsidRPr="00AB69D4">
        <w:rPr>
          <w:rFonts w:ascii="Calibri" w:hAnsi="Calibri"/>
          <w:sz w:val="28"/>
          <w:szCs w:val="28"/>
        </w:rPr>
        <w:t xml:space="preserve"> incorrect conclusion </w:t>
      </w:r>
      <w:r w:rsidR="00BC78C5">
        <w:rPr>
          <w:rFonts w:ascii="Calibri" w:hAnsi="Calibri"/>
          <w:sz w:val="28"/>
          <w:szCs w:val="28"/>
        </w:rPr>
        <w:t>derived from deficient</w:t>
      </w:r>
      <w:r w:rsidRPr="00AB69D4">
        <w:rPr>
          <w:rFonts w:ascii="Calibri" w:hAnsi="Calibri"/>
          <w:sz w:val="28"/>
          <w:szCs w:val="28"/>
        </w:rPr>
        <w:t xml:space="preserve"> records is that the population of Sussex dropped by twenty per cent over the </w:t>
      </w:r>
      <w:r w:rsidR="00BC78C5">
        <w:rPr>
          <w:rFonts w:ascii="Calibri" w:hAnsi="Calibri"/>
          <w:sz w:val="28"/>
          <w:szCs w:val="28"/>
        </w:rPr>
        <w:t>course</w:t>
      </w:r>
      <w:r w:rsidRPr="00AB69D4">
        <w:rPr>
          <w:rFonts w:ascii="Calibri" w:hAnsi="Calibri"/>
          <w:sz w:val="28"/>
          <w:szCs w:val="28"/>
        </w:rPr>
        <w:t xml:space="preserve"> of the interregnum. The proposal is to </w:t>
      </w:r>
      <w:r w:rsidR="00BC78C5">
        <w:rPr>
          <w:rFonts w:ascii="Calibri" w:hAnsi="Calibri"/>
          <w:sz w:val="28"/>
          <w:szCs w:val="28"/>
        </w:rPr>
        <w:t>survey</w:t>
      </w:r>
      <w:r w:rsidRPr="00AB69D4">
        <w:rPr>
          <w:rFonts w:ascii="Calibri" w:hAnsi="Calibri"/>
          <w:sz w:val="28"/>
          <w:szCs w:val="28"/>
        </w:rPr>
        <w:t xml:space="preserve"> the church records surviving from this period which may consist of a range of documents to be found in a variety of archives.</w:t>
      </w:r>
    </w:p>
    <w:p w14:paraId="4AB69F6D" w14:textId="77777777" w:rsidR="00BC78C5" w:rsidRDefault="00BC78C5" w:rsidP="00AB69D4">
      <w:pPr>
        <w:rPr>
          <w:rFonts w:ascii="Calibri" w:hAnsi="Calibri"/>
          <w:sz w:val="28"/>
          <w:szCs w:val="28"/>
        </w:rPr>
      </w:pPr>
    </w:p>
    <w:p w14:paraId="1FBE8B1E" w14:textId="72C6CAEB" w:rsidR="00AB69D4" w:rsidRPr="00AB69D4" w:rsidRDefault="001C635E" w:rsidP="00AB69D4">
      <w:pPr>
        <w:rPr>
          <w:rFonts w:ascii="Calibri" w:hAnsi="Calibri"/>
          <w:sz w:val="28"/>
          <w:szCs w:val="28"/>
        </w:rPr>
      </w:pPr>
      <w:r>
        <w:rPr>
          <w:rFonts w:ascii="Calibri" w:hAnsi="Calibri"/>
          <w:sz w:val="28"/>
          <w:szCs w:val="28"/>
        </w:rPr>
        <w:t xml:space="preserve">Following a general discussion on the origins, transformations and the long-term trajectories of European parishes, </w:t>
      </w:r>
      <w:r w:rsidR="00AB69D4" w:rsidRPr="00AB69D4">
        <w:rPr>
          <w:rFonts w:ascii="Calibri" w:hAnsi="Calibri"/>
          <w:sz w:val="28"/>
          <w:szCs w:val="28"/>
        </w:rPr>
        <w:t xml:space="preserve">Beat </w:t>
      </w:r>
      <w:proofErr w:type="spellStart"/>
      <w:r w:rsidR="00AB69D4" w:rsidRPr="00AB69D4">
        <w:rPr>
          <w:rFonts w:ascii="Calibri" w:hAnsi="Calibri"/>
          <w:sz w:val="28"/>
          <w:szCs w:val="28"/>
        </w:rPr>
        <w:t>Kümin</w:t>
      </w:r>
      <w:proofErr w:type="spellEnd"/>
      <w:r w:rsidR="00AB69D4" w:rsidRPr="00AB69D4">
        <w:rPr>
          <w:rFonts w:ascii="Calibri" w:hAnsi="Calibri"/>
          <w:sz w:val="28"/>
          <w:szCs w:val="28"/>
        </w:rPr>
        <w:t xml:space="preserve"> concluded the meeting by </w:t>
      </w:r>
      <w:r>
        <w:rPr>
          <w:rFonts w:ascii="Calibri" w:hAnsi="Calibri"/>
          <w:sz w:val="28"/>
          <w:szCs w:val="28"/>
        </w:rPr>
        <w:t>thanking all participants and</w:t>
      </w:r>
      <w:r w:rsidR="00AB69D4" w:rsidRPr="00AB69D4">
        <w:rPr>
          <w:rFonts w:ascii="Calibri" w:hAnsi="Calibri"/>
          <w:sz w:val="28"/>
          <w:szCs w:val="28"/>
        </w:rPr>
        <w:t xml:space="preserve"> </w:t>
      </w:r>
      <w:r>
        <w:rPr>
          <w:rFonts w:ascii="Calibri" w:hAnsi="Calibri"/>
          <w:sz w:val="28"/>
          <w:szCs w:val="28"/>
        </w:rPr>
        <w:t>Warwick’s Humanities Research Centre for its continued support of the Symposium. Next year’s theme is likely to be ‘Parishes and Migration’</w:t>
      </w:r>
      <w:r w:rsidR="00AB69D4" w:rsidRPr="00AB69D4">
        <w:rPr>
          <w:rFonts w:ascii="Calibri" w:hAnsi="Calibri"/>
          <w:sz w:val="28"/>
          <w:szCs w:val="28"/>
        </w:rPr>
        <w:t xml:space="preserve">. </w:t>
      </w:r>
    </w:p>
    <w:p w14:paraId="6BEBAF93" w14:textId="77777777" w:rsidR="00AB69D4" w:rsidRPr="00AB69D4" w:rsidRDefault="00AB69D4" w:rsidP="00AB69D4">
      <w:pPr>
        <w:rPr>
          <w:rFonts w:ascii="Calibri" w:hAnsi="Calibri"/>
          <w:sz w:val="28"/>
          <w:szCs w:val="28"/>
        </w:rPr>
      </w:pPr>
    </w:p>
    <w:p w14:paraId="4BBB84A6" w14:textId="77777777" w:rsidR="00AB69D4" w:rsidRPr="00AB69D4" w:rsidRDefault="00AB69D4" w:rsidP="00AB69D4">
      <w:pPr>
        <w:rPr>
          <w:rFonts w:ascii="Calibri" w:hAnsi="Calibri"/>
          <w:sz w:val="28"/>
          <w:szCs w:val="28"/>
        </w:rPr>
      </w:pPr>
    </w:p>
    <w:p w14:paraId="34835102" w14:textId="77777777" w:rsidR="00754C9D" w:rsidRPr="00AB69D4" w:rsidRDefault="00754C9D" w:rsidP="00AB69D4">
      <w:pPr>
        <w:rPr>
          <w:rFonts w:ascii="Calibri" w:hAnsi="Calibri"/>
          <w:sz w:val="28"/>
          <w:szCs w:val="28"/>
        </w:rPr>
      </w:pPr>
    </w:p>
    <w:p w14:paraId="2CC77C31" w14:textId="77777777" w:rsidR="00754C9D" w:rsidRPr="00AB69D4" w:rsidRDefault="00754C9D" w:rsidP="00AB69D4">
      <w:pPr>
        <w:rPr>
          <w:rFonts w:ascii="Calibri" w:hAnsi="Calibri"/>
          <w:sz w:val="28"/>
          <w:szCs w:val="28"/>
        </w:rPr>
      </w:pPr>
    </w:p>
    <w:p w14:paraId="7BF41BB2" w14:textId="77777777" w:rsidR="00754C9D" w:rsidRPr="00AB69D4" w:rsidRDefault="00754C9D" w:rsidP="00AB69D4">
      <w:pPr>
        <w:rPr>
          <w:rFonts w:ascii="Calibri" w:hAnsi="Calibri"/>
          <w:sz w:val="28"/>
          <w:szCs w:val="28"/>
        </w:rPr>
      </w:pPr>
    </w:p>
    <w:p w14:paraId="5ED768D5" w14:textId="77777777" w:rsidR="00754C9D" w:rsidRPr="00AB69D4" w:rsidRDefault="00754C9D" w:rsidP="00AB69D4">
      <w:pPr>
        <w:rPr>
          <w:rFonts w:ascii="Calibri" w:hAnsi="Calibri"/>
          <w:sz w:val="28"/>
          <w:szCs w:val="28"/>
        </w:rPr>
      </w:pPr>
    </w:p>
    <w:p w14:paraId="08DDA63F" w14:textId="77777777" w:rsidR="00754C9D" w:rsidRPr="00AB69D4" w:rsidRDefault="00754C9D" w:rsidP="00AB69D4">
      <w:pPr>
        <w:rPr>
          <w:rFonts w:ascii="Calibri" w:hAnsi="Calibri"/>
          <w:sz w:val="28"/>
          <w:szCs w:val="28"/>
        </w:rPr>
      </w:pPr>
    </w:p>
    <w:p w14:paraId="3A3F83D2" w14:textId="77777777" w:rsidR="00754C9D" w:rsidRPr="00AB69D4" w:rsidRDefault="00754C9D" w:rsidP="00AB69D4">
      <w:pPr>
        <w:rPr>
          <w:rFonts w:ascii="Calibri" w:hAnsi="Calibri"/>
          <w:sz w:val="28"/>
          <w:szCs w:val="28"/>
        </w:rPr>
      </w:pPr>
    </w:p>
    <w:p w14:paraId="4DBAF138" w14:textId="795A3335" w:rsidR="00754C9D" w:rsidRPr="00AB69D4" w:rsidRDefault="00754C9D" w:rsidP="00AB69D4">
      <w:pPr>
        <w:rPr>
          <w:rFonts w:ascii="Calibri" w:hAnsi="Calibri"/>
          <w:sz w:val="28"/>
          <w:szCs w:val="28"/>
        </w:rPr>
      </w:pPr>
    </w:p>
    <w:p w14:paraId="17C4D500" w14:textId="4CF4DA6F" w:rsidR="00754C9D" w:rsidRPr="00AB69D4" w:rsidRDefault="00754C9D" w:rsidP="00AB69D4">
      <w:pPr>
        <w:rPr>
          <w:rFonts w:ascii="Calibri" w:hAnsi="Calibri"/>
          <w:sz w:val="28"/>
          <w:szCs w:val="28"/>
        </w:rPr>
      </w:pPr>
    </w:p>
    <w:p w14:paraId="752C2ACD" w14:textId="17D35D4A" w:rsidR="00754C9D" w:rsidRPr="00AB69D4" w:rsidRDefault="00754C9D" w:rsidP="00AB69D4">
      <w:pPr>
        <w:rPr>
          <w:rFonts w:ascii="Calibri" w:hAnsi="Calibri"/>
          <w:sz w:val="28"/>
          <w:szCs w:val="28"/>
        </w:rPr>
      </w:pPr>
    </w:p>
    <w:p w14:paraId="3A72F774" w14:textId="76181F68" w:rsidR="00754C9D" w:rsidRPr="00AB69D4" w:rsidRDefault="00754C9D" w:rsidP="00AB69D4">
      <w:pPr>
        <w:rPr>
          <w:rFonts w:ascii="Calibri" w:hAnsi="Calibri"/>
          <w:sz w:val="28"/>
          <w:szCs w:val="28"/>
        </w:rPr>
      </w:pPr>
    </w:p>
    <w:p w14:paraId="678BF614" w14:textId="459921A6" w:rsidR="00754C9D" w:rsidRPr="00AB69D4" w:rsidRDefault="00754C9D" w:rsidP="00AB69D4">
      <w:pPr>
        <w:rPr>
          <w:rFonts w:ascii="Calibri" w:hAnsi="Calibri"/>
          <w:sz w:val="28"/>
          <w:szCs w:val="28"/>
        </w:rPr>
      </w:pPr>
    </w:p>
    <w:sectPr w:rsidR="00754C9D" w:rsidRPr="00AB69D4" w:rsidSect="00CA4828">
      <w:headerReference w:type="default" r:id="rId10"/>
      <w:footerReference w:type="default" r:id="rId11"/>
      <w:headerReference w:type="first" r:id="rId12"/>
      <w:pgSz w:w="11900" w:h="16840" w:code="9"/>
      <w:pgMar w:top="1440" w:right="1077" w:bottom="1440" w:left="1077" w:header="720" w:footer="1417"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C42C94" w14:textId="77777777" w:rsidR="002558BA" w:rsidRDefault="002558BA" w:rsidP="00CA4828">
      <w:r>
        <w:separator/>
      </w:r>
    </w:p>
  </w:endnote>
  <w:endnote w:type="continuationSeparator" w:id="0">
    <w:p w14:paraId="084E4C32" w14:textId="77777777" w:rsidR="002558BA" w:rsidRDefault="002558BA" w:rsidP="00CA48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Malgun Gothic"/>
    <w:charset w:val="00"/>
    <w:family w:val="auto"/>
    <w:pitch w:val="variable"/>
    <w:sig w:usb0="00000003" w:usb1="500079DB" w:usb2="00000010" w:usb3="00000000" w:csb0="00000001" w:csb1="00000000"/>
  </w:font>
  <w:font w:name="Calibri">
    <w:panose1 w:val="020F0502020204030204"/>
    <w:charset w:val="00"/>
    <w:family w:val="swiss"/>
    <w:pitch w:val="variable"/>
    <w:sig w:usb0="E00002FF" w:usb1="4000ACFF" w:usb2="00000001" w:usb3="00000000" w:csb0="0000019F" w:csb1="00000000"/>
  </w:font>
  <w:font w:name="Helvetica Neue Medium">
    <w:charset w:val="00"/>
    <w:family w:val="auto"/>
    <w:pitch w:val="variable"/>
    <w:sig w:usb0="A00002FF" w:usb1="5000205B" w:usb2="00000002" w:usb3="00000000" w:csb0="0000009B" w:csb1="00000000"/>
  </w:font>
  <w:font w:name="Helvetica">
    <w:panose1 w:val="020B0604020202020204"/>
    <w:charset w:val="00"/>
    <w:family w:val="swiss"/>
    <w:notTrueType/>
    <w:pitch w:val="variable"/>
    <w:sig w:usb0="00000003" w:usb1="00000000" w:usb2="00000000" w:usb3="00000000" w:csb0="00000001" w:csb1="00000000"/>
  </w:font>
  <w:font w:name="Helvetica Neue Light">
    <w:altName w:val="Microsoft YaHei"/>
    <w:charset w:val="00"/>
    <w:family w:val="auto"/>
    <w:pitch w:val="variable"/>
    <w:sig w:usb0="00000001" w:usb1="5000205B" w:usb2="00000002" w:usb3="00000000" w:csb0="000000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C890ED" w14:textId="500E8F33" w:rsidR="00CA4828" w:rsidRDefault="00CB6562">
    <w:pPr>
      <w:pStyle w:val="Footer"/>
      <w:rPr>
        <w:lang w:val="en-GB"/>
      </w:rPr>
    </w:pPr>
    <w:r w:rsidRPr="00AB69D4">
      <w:rPr>
        <w:noProof/>
        <w:sz w:val="28"/>
        <w:szCs w:val="28"/>
        <w:lang w:val="en-GB" w:eastAsia="en-GB"/>
      </w:rPr>
      <w:drawing>
        <wp:anchor distT="152400" distB="152400" distL="152400" distR="152400" simplePos="0" relativeHeight="251663360" behindDoc="0" locked="0" layoutInCell="1" allowOverlap="1" wp14:anchorId="599866BA" wp14:editId="46A9C72F">
          <wp:simplePos x="0" y="0"/>
          <wp:positionH relativeFrom="page">
            <wp:posOffset>152400</wp:posOffset>
          </wp:positionH>
          <wp:positionV relativeFrom="page">
            <wp:posOffset>9686925</wp:posOffset>
          </wp:positionV>
          <wp:extent cx="7556500" cy="961167"/>
          <wp:effectExtent l="0" t="0" r="0" b="0"/>
          <wp:wrapTopAndBottom distT="152400" distB="152400"/>
          <wp:docPr id="2" name="officeArt object"/>
          <wp:cNvGraphicFramePr/>
          <a:graphic xmlns:a="http://schemas.openxmlformats.org/drawingml/2006/main">
            <a:graphicData uri="http://schemas.openxmlformats.org/drawingml/2006/picture">
              <pic:pic xmlns:pic="http://schemas.openxmlformats.org/drawingml/2006/picture">
                <pic:nvPicPr>
                  <pic:cNvPr id="1073741832" name="keyline_humanities_research_centre_black_outlined (2).jpg"/>
                  <pic:cNvPicPr/>
                </pic:nvPicPr>
                <pic:blipFill>
                  <a:blip r:embed="rId1">
                    <a:extLst/>
                  </a:blip>
                  <a:srcRect/>
                  <a:stretch>
                    <a:fillRect/>
                  </a:stretch>
                </pic:blipFill>
                <pic:spPr>
                  <a:xfrm>
                    <a:off x="0" y="0"/>
                    <a:ext cx="7556500" cy="961167"/>
                  </a:xfrm>
                  <a:prstGeom prst="rect">
                    <a:avLst/>
                  </a:prstGeom>
                  <a:ln w="12700" cap="flat">
                    <a:noFill/>
                    <a:miter lim="400000"/>
                  </a:ln>
                  <a:effectLst/>
                </pic:spPr>
              </pic:pic>
            </a:graphicData>
          </a:graphic>
        </wp:anchor>
      </w:drawing>
    </w:r>
  </w:p>
  <w:p w14:paraId="7539C417" w14:textId="4D756F9F" w:rsidR="00CA4828" w:rsidRPr="00CA4828" w:rsidRDefault="00CA4828">
    <w:pPr>
      <w:pStyle w:val="Footer"/>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B7E940" w14:textId="77777777" w:rsidR="002558BA" w:rsidRDefault="002558BA" w:rsidP="00CA4828">
      <w:r>
        <w:separator/>
      </w:r>
    </w:p>
  </w:footnote>
  <w:footnote w:type="continuationSeparator" w:id="0">
    <w:p w14:paraId="131AA586" w14:textId="77777777" w:rsidR="002558BA" w:rsidRDefault="002558BA" w:rsidP="00CA48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06666858"/>
      <w:docPartObj>
        <w:docPartGallery w:val="Page Numbers (Top of Page)"/>
        <w:docPartUnique/>
      </w:docPartObj>
    </w:sdtPr>
    <w:sdtEndPr>
      <w:rPr>
        <w:noProof/>
      </w:rPr>
    </w:sdtEndPr>
    <w:sdtContent>
      <w:p w14:paraId="4521EF08" w14:textId="2C7984AC" w:rsidR="004E3DBD" w:rsidRDefault="004E3DBD" w:rsidP="00CA4828">
        <w:pPr>
          <w:pStyle w:val="Header"/>
          <w:jc w:val="right"/>
        </w:pPr>
        <w:r>
          <w:fldChar w:fldCharType="begin"/>
        </w:r>
        <w:r>
          <w:instrText xml:space="preserve"> PAGE   \* MERGEFORMAT </w:instrText>
        </w:r>
        <w:r>
          <w:fldChar w:fldCharType="separate"/>
        </w:r>
        <w:r w:rsidR="00CB6562">
          <w:rPr>
            <w:noProof/>
          </w:rPr>
          <w:t>5</w:t>
        </w:r>
        <w:r>
          <w:rPr>
            <w:noProof/>
          </w:rPr>
          <w:fldChar w:fldCharType="end"/>
        </w:r>
      </w:p>
    </w:sdtContent>
  </w:sdt>
  <w:p w14:paraId="3196644E" w14:textId="77777777" w:rsidR="005E2D9A" w:rsidRDefault="005E2D9A" w:rsidP="00CA4828"/>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3EA754" w14:textId="00E6D5B4" w:rsidR="00CA4828" w:rsidRDefault="00CB6562" w:rsidP="00CA4828">
    <w:pPr>
      <w:pStyle w:val="Header"/>
    </w:pPr>
    <w:r>
      <w:rPr>
        <w:noProof/>
        <w:lang w:val="en-GB" w:eastAsia="en-GB"/>
      </w:rPr>
      <w:drawing>
        <wp:anchor distT="152400" distB="152400" distL="152400" distR="152400" simplePos="0" relativeHeight="251661312" behindDoc="1" locked="0" layoutInCell="1" allowOverlap="1" wp14:anchorId="32A114C3" wp14:editId="68A6436C">
          <wp:simplePos x="0" y="0"/>
          <wp:positionH relativeFrom="page">
            <wp:posOffset>152400</wp:posOffset>
          </wp:positionH>
          <wp:positionV relativeFrom="page">
            <wp:posOffset>152400</wp:posOffset>
          </wp:positionV>
          <wp:extent cx="7686040" cy="1388080"/>
          <wp:effectExtent l="0" t="0" r="0" b="3175"/>
          <wp:wrapNone/>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HRC W blue circles.jpg"/>
                  <pic:cNvPicPr/>
                </pic:nvPicPr>
                <pic:blipFill rotWithShape="1">
                  <a:blip r:embed="rId1">
                    <a:extLst/>
                  </a:blip>
                  <a:srcRect l="497" t="60681" r="-497" b="532"/>
                  <a:stretch/>
                </pic:blipFill>
                <pic:spPr bwMode="auto">
                  <a:xfrm>
                    <a:off x="0" y="0"/>
                    <a:ext cx="7686040" cy="1388080"/>
                  </a:xfrm>
                  <a:prstGeom prst="rect">
                    <a:avLst/>
                  </a:prstGeom>
                  <a:ln>
                    <a:noFill/>
                  </a:ln>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4BC6"/>
    <w:rsid w:val="00104BDF"/>
    <w:rsid w:val="001923E4"/>
    <w:rsid w:val="001C635E"/>
    <w:rsid w:val="002558BA"/>
    <w:rsid w:val="00466E1E"/>
    <w:rsid w:val="004E3DBD"/>
    <w:rsid w:val="005E2619"/>
    <w:rsid w:val="005E2D9A"/>
    <w:rsid w:val="00643C04"/>
    <w:rsid w:val="00754C9D"/>
    <w:rsid w:val="00792481"/>
    <w:rsid w:val="007B0DE7"/>
    <w:rsid w:val="00895EDE"/>
    <w:rsid w:val="00902F74"/>
    <w:rsid w:val="00964BC6"/>
    <w:rsid w:val="009D1918"/>
    <w:rsid w:val="00A4241A"/>
    <w:rsid w:val="00A5248A"/>
    <w:rsid w:val="00AB69D4"/>
    <w:rsid w:val="00AE401D"/>
    <w:rsid w:val="00B17E8D"/>
    <w:rsid w:val="00B93FBB"/>
    <w:rsid w:val="00BC78C5"/>
    <w:rsid w:val="00BD04A1"/>
    <w:rsid w:val="00CA4828"/>
    <w:rsid w:val="00CB6562"/>
    <w:rsid w:val="00E5582E"/>
    <w:rsid w:val="00F024A6"/>
    <w:rsid w:val="00F8565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528DF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lang w:val="en-US" w:eastAsia="en-US"/>
    </w:rPr>
  </w:style>
  <w:style w:type="paragraph" w:styleId="Heading2">
    <w:name w:val="heading 2"/>
    <w:next w:val="Body"/>
    <w:pPr>
      <w:tabs>
        <w:tab w:val="left" w:pos="1800"/>
        <w:tab w:val="left" w:pos="3600"/>
        <w:tab w:val="left" w:pos="7920"/>
      </w:tabs>
      <w:outlineLvl w:val="1"/>
    </w:pPr>
    <w:rPr>
      <w:rFonts w:ascii="Helvetica Neue" w:hAnsi="Arial Unicode MS" w:cs="Arial Unicode MS"/>
      <w:b/>
      <w:bCs/>
      <w:color w:val="00A2D7"/>
      <w:spacing w:val="-3"/>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Body">
    <w:name w:val="Body"/>
    <w:pPr>
      <w:spacing w:line="288" w:lineRule="auto"/>
    </w:pPr>
    <w:rPr>
      <w:rFonts w:ascii="Calibri" w:hAnsi="Arial Unicode MS" w:cs="Arial Unicode MS"/>
      <w:color w:val="000000"/>
      <w:sz w:val="36"/>
      <w:szCs w:val="36"/>
      <w:lang w:val="en-US"/>
    </w:rPr>
  </w:style>
  <w:style w:type="paragraph" w:styleId="Caption">
    <w:name w:val="caption"/>
    <w:rPr>
      <w:rFonts w:ascii="Helvetica Neue Medium" w:hAnsi="Arial Unicode MS" w:cs="Arial Unicode MS"/>
      <w:color w:val="7A7A7A"/>
      <w:lang w:val="en-US"/>
    </w:rPr>
  </w:style>
  <w:style w:type="paragraph" w:customStyle="1" w:styleId="FreeForm">
    <w:name w:val="Free Form"/>
    <w:rPr>
      <w:rFonts w:ascii="Helvetica" w:hAnsi="Arial Unicode MS" w:cs="Arial Unicode MS"/>
      <w:color w:val="000000"/>
      <w:sz w:val="24"/>
      <w:szCs w:val="24"/>
      <w:lang w:val="en-US"/>
    </w:rPr>
  </w:style>
  <w:style w:type="paragraph" w:customStyle="1" w:styleId="Subtitle2">
    <w:name w:val="Subtitle 2"/>
    <w:next w:val="Body"/>
    <w:rPr>
      <w:rFonts w:ascii="Helvetica Neue Light" w:hAnsi="Arial Unicode MS" w:cs="Arial Unicode MS"/>
      <w:color w:val="222222"/>
      <w:sz w:val="36"/>
      <w:szCs w:val="36"/>
      <w:lang w:val="en-US"/>
    </w:rPr>
  </w:style>
  <w:style w:type="paragraph" w:styleId="Header">
    <w:name w:val="header"/>
    <w:basedOn w:val="Normal"/>
    <w:link w:val="HeaderChar"/>
    <w:uiPriority w:val="99"/>
    <w:unhideWhenUsed/>
    <w:rsid w:val="007B0DE7"/>
    <w:pPr>
      <w:tabs>
        <w:tab w:val="center" w:pos="4513"/>
        <w:tab w:val="right" w:pos="9026"/>
      </w:tabs>
    </w:pPr>
  </w:style>
  <w:style w:type="character" w:customStyle="1" w:styleId="HeaderChar">
    <w:name w:val="Header Char"/>
    <w:basedOn w:val="DefaultParagraphFont"/>
    <w:link w:val="Header"/>
    <w:uiPriority w:val="99"/>
    <w:rsid w:val="007B0DE7"/>
    <w:rPr>
      <w:sz w:val="24"/>
      <w:szCs w:val="24"/>
      <w:lang w:val="en-US" w:eastAsia="en-US"/>
    </w:rPr>
  </w:style>
  <w:style w:type="paragraph" w:styleId="Footer">
    <w:name w:val="footer"/>
    <w:basedOn w:val="Normal"/>
    <w:link w:val="FooterChar"/>
    <w:uiPriority w:val="99"/>
    <w:unhideWhenUsed/>
    <w:rsid w:val="007B0DE7"/>
    <w:pPr>
      <w:tabs>
        <w:tab w:val="center" w:pos="4513"/>
        <w:tab w:val="right" w:pos="9026"/>
      </w:tabs>
    </w:pPr>
  </w:style>
  <w:style w:type="character" w:customStyle="1" w:styleId="FooterChar">
    <w:name w:val="Footer Char"/>
    <w:basedOn w:val="DefaultParagraphFont"/>
    <w:link w:val="Footer"/>
    <w:uiPriority w:val="99"/>
    <w:rsid w:val="007B0DE7"/>
    <w:rPr>
      <w:sz w:val="24"/>
      <w:szCs w:val="24"/>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lang w:val="en-US" w:eastAsia="en-US"/>
    </w:rPr>
  </w:style>
  <w:style w:type="paragraph" w:styleId="Heading2">
    <w:name w:val="heading 2"/>
    <w:next w:val="Body"/>
    <w:pPr>
      <w:tabs>
        <w:tab w:val="left" w:pos="1800"/>
        <w:tab w:val="left" w:pos="3600"/>
        <w:tab w:val="left" w:pos="7920"/>
      </w:tabs>
      <w:outlineLvl w:val="1"/>
    </w:pPr>
    <w:rPr>
      <w:rFonts w:ascii="Helvetica Neue" w:hAnsi="Arial Unicode MS" w:cs="Arial Unicode MS"/>
      <w:b/>
      <w:bCs/>
      <w:color w:val="00A2D7"/>
      <w:spacing w:val="-3"/>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Body">
    <w:name w:val="Body"/>
    <w:pPr>
      <w:spacing w:line="288" w:lineRule="auto"/>
    </w:pPr>
    <w:rPr>
      <w:rFonts w:ascii="Calibri" w:hAnsi="Arial Unicode MS" w:cs="Arial Unicode MS"/>
      <w:color w:val="000000"/>
      <w:sz w:val="36"/>
      <w:szCs w:val="36"/>
      <w:lang w:val="en-US"/>
    </w:rPr>
  </w:style>
  <w:style w:type="paragraph" w:styleId="Caption">
    <w:name w:val="caption"/>
    <w:rPr>
      <w:rFonts w:ascii="Helvetica Neue Medium" w:hAnsi="Arial Unicode MS" w:cs="Arial Unicode MS"/>
      <w:color w:val="7A7A7A"/>
      <w:lang w:val="en-US"/>
    </w:rPr>
  </w:style>
  <w:style w:type="paragraph" w:customStyle="1" w:styleId="FreeForm">
    <w:name w:val="Free Form"/>
    <w:rPr>
      <w:rFonts w:ascii="Helvetica" w:hAnsi="Arial Unicode MS" w:cs="Arial Unicode MS"/>
      <w:color w:val="000000"/>
      <w:sz w:val="24"/>
      <w:szCs w:val="24"/>
      <w:lang w:val="en-US"/>
    </w:rPr>
  </w:style>
  <w:style w:type="paragraph" w:customStyle="1" w:styleId="Subtitle2">
    <w:name w:val="Subtitle 2"/>
    <w:next w:val="Body"/>
    <w:rPr>
      <w:rFonts w:ascii="Helvetica Neue Light" w:hAnsi="Arial Unicode MS" w:cs="Arial Unicode MS"/>
      <w:color w:val="222222"/>
      <w:sz w:val="36"/>
      <w:szCs w:val="36"/>
      <w:lang w:val="en-US"/>
    </w:rPr>
  </w:style>
  <w:style w:type="paragraph" w:styleId="Header">
    <w:name w:val="header"/>
    <w:basedOn w:val="Normal"/>
    <w:link w:val="HeaderChar"/>
    <w:uiPriority w:val="99"/>
    <w:unhideWhenUsed/>
    <w:rsid w:val="007B0DE7"/>
    <w:pPr>
      <w:tabs>
        <w:tab w:val="center" w:pos="4513"/>
        <w:tab w:val="right" w:pos="9026"/>
      </w:tabs>
    </w:pPr>
  </w:style>
  <w:style w:type="character" w:customStyle="1" w:styleId="HeaderChar">
    <w:name w:val="Header Char"/>
    <w:basedOn w:val="DefaultParagraphFont"/>
    <w:link w:val="Header"/>
    <w:uiPriority w:val="99"/>
    <w:rsid w:val="007B0DE7"/>
    <w:rPr>
      <w:sz w:val="24"/>
      <w:szCs w:val="24"/>
      <w:lang w:val="en-US" w:eastAsia="en-US"/>
    </w:rPr>
  </w:style>
  <w:style w:type="paragraph" w:styleId="Footer">
    <w:name w:val="footer"/>
    <w:basedOn w:val="Normal"/>
    <w:link w:val="FooterChar"/>
    <w:uiPriority w:val="99"/>
    <w:unhideWhenUsed/>
    <w:rsid w:val="007B0DE7"/>
    <w:pPr>
      <w:tabs>
        <w:tab w:val="center" w:pos="4513"/>
        <w:tab w:val="right" w:pos="9026"/>
      </w:tabs>
    </w:pPr>
  </w:style>
  <w:style w:type="character" w:customStyle="1" w:styleId="FooterChar">
    <w:name w:val="Footer Char"/>
    <w:basedOn w:val="DefaultParagraphFont"/>
    <w:link w:val="Footer"/>
    <w:uiPriority w:val="99"/>
    <w:rsid w:val="007B0DE7"/>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my-parish.org"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2.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admin@my-parish.org"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01_Typographic_Poster-Letter_size">
  <a:themeElements>
    <a:clrScheme name="01_Typographic_Poster-Letter_size">
      <a:dk1>
        <a:srgbClr val="FFFFFF"/>
      </a:dk1>
      <a:lt1>
        <a:srgbClr val="FF4013"/>
      </a:lt1>
      <a:dk2>
        <a:srgbClr val="444444"/>
      </a:dk2>
      <a:lt2>
        <a:srgbClr val="89847F"/>
      </a:lt2>
      <a:accent1>
        <a:srgbClr val="41BCEB"/>
      </a:accent1>
      <a:accent2>
        <a:srgbClr val="85CC82"/>
      </a:accent2>
      <a:accent3>
        <a:srgbClr val="FF9E41"/>
      </a:accent3>
      <a:accent4>
        <a:srgbClr val="FF5545"/>
      </a:accent4>
      <a:accent5>
        <a:srgbClr val="F16CB6"/>
      </a:accent5>
      <a:accent6>
        <a:srgbClr val="5862C2"/>
      </a:accent6>
      <a:hlink>
        <a:srgbClr val="0000FF"/>
      </a:hlink>
      <a:folHlink>
        <a:srgbClr val="FF00FF"/>
      </a:folHlink>
    </a:clrScheme>
    <a:fontScheme name="01_Typographic_Poster-Letter_size">
      <a:majorFont>
        <a:latin typeface="Helvetica Neue"/>
        <a:ea typeface="Helvetica Neue"/>
        <a:cs typeface="Helvetica Neue"/>
      </a:majorFont>
      <a:minorFont>
        <a:latin typeface="Helvetica Neue"/>
        <a:ea typeface="Helvetica Neue"/>
        <a:cs typeface="Helvetica Neu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E32400"/>
        </a:solidFill>
        <a:ln w="12700" cap="flat">
          <a:noFill/>
          <a:miter lim="400000"/>
        </a:ln>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232323"/>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232323"/>
            </a:solidFill>
            <a:effectLst/>
            <a:uFillTx/>
            <a:latin typeface="Helvetica Neue Light"/>
            <a:ea typeface="Helvetica Neue Light"/>
            <a:cs typeface="Helvetica Neue Light"/>
            <a:sym typeface="Helvetica Neue Light"/>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280</TotalTime>
  <Pages>5</Pages>
  <Words>1847</Words>
  <Characters>10530</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12353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Dibben, Sue</dc:creator>
  <cp:lastModifiedBy>Warwick History Dept</cp:lastModifiedBy>
  <cp:revision>10</cp:revision>
  <cp:lastPrinted>2015-10-08T11:18:00Z</cp:lastPrinted>
  <dcterms:created xsi:type="dcterms:W3CDTF">2016-06-08T14:52:00Z</dcterms:created>
  <dcterms:modified xsi:type="dcterms:W3CDTF">2016-06-13T09:14:00Z</dcterms:modified>
</cp:coreProperties>
</file>