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5B82" w:rsidRDefault="00325B82" w:rsidP="00325B82">
      <w:pPr>
        <w:pStyle w:val="Style1"/>
      </w:pPr>
      <w:r>
        <w:t>The Impact of the Reformation on the Building and Repair of Churches in the East Riding, 1547-</w:t>
      </w:r>
      <w:r w:rsidRPr="00DC60F5">
        <w:t>1730</w:t>
      </w:r>
    </w:p>
    <w:p w:rsidR="00325B82" w:rsidRDefault="00325B82" w:rsidP="00325B82">
      <w:pPr>
        <w:spacing w:line="480" w:lineRule="auto"/>
        <w:rPr>
          <w:rFonts w:asciiTheme="majorHAnsi" w:eastAsiaTheme="majorEastAsia" w:hAnsiTheme="majorHAnsi" w:cstheme="majorBidi"/>
          <w:color w:val="323E4F" w:themeColor="text2" w:themeShade="BF"/>
          <w:spacing w:val="5"/>
          <w:kern w:val="28"/>
          <w:sz w:val="52"/>
          <w:szCs w:val="52"/>
        </w:rPr>
      </w:pPr>
    </w:p>
    <w:p w:rsidR="00325B82" w:rsidRDefault="00325B82" w:rsidP="00325B82">
      <w:pPr>
        <w:spacing w:line="480" w:lineRule="auto"/>
        <w:rPr>
          <w:rFonts w:asciiTheme="majorHAnsi" w:eastAsiaTheme="majorEastAsia" w:hAnsiTheme="majorHAnsi" w:cstheme="majorBidi"/>
          <w:color w:val="323E4F" w:themeColor="text2" w:themeShade="BF"/>
          <w:spacing w:val="5"/>
          <w:kern w:val="28"/>
          <w:sz w:val="52"/>
          <w:szCs w:val="52"/>
        </w:rPr>
      </w:pPr>
    </w:p>
    <w:p w:rsidR="00325B82" w:rsidRDefault="00325B82" w:rsidP="00325B82">
      <w:pPr>
        <w:spacing w:line="480" w:lineRule="auto"/>
        <w:rPr>
          <w:rFonts w:asciiTheme="majorHAnsi" w:eastAsiaTheme="majorEastAsia" w:hAnsiTheme="majorHAnsi" w:cstheme="majorBidi"/>
          <w:color w:val="323E4F" w:themeColor="text2" w:themeShade="BF"/>
          <w:spacing w:val="5"/>
          <w:kern w:val="28"/>
          <w:sz w:val="52"/>
          <w:szCs w:val="52"/>
        </w:rPr>
      </w:pPr>
    </w:p>
    <w:p w:rsidR="00325B82" w:rsidRDefault="00325B82" w:rsidP="00325B82">
      <w:pPr>
        <w:spacing w:line="480" w:lineRule="auto"/>
        <w:rPr>
          <w:rFonts w:asciiTheme="majorHAnsi" w:eastAsiaTheme="majorEastAsia" w:hAnsiTheme="majorHAnsi" w:cstheme="majorBidi"/>
          <w:color w:val="323E4F" w:themeColor="text2" w:themeShade="BF"/>
          <w:spacing w:val="5"/>
          <w:kern w:val="28"/>
          <w:sz w:val="52"/>
          <w:szCs w:val="52"/>
        </w:rPr>
      </w:pPr>
    </w:p>
    <w:p w:rsidR="00325B82" w:rsidRDefault="00325B82" w:rsidP="00325B82">
      <w:pPr>
        <w:spacing w:line="480" w:lineRule="auto"/>
        <w:rPr>
          <w:rFonts w:asciiTheme="majorHAnsi" w:eastAsiaTheme="majorEastAsia" w:hAnsiTheme="majorHAnsi" w:cstheme="majorBidi"/>
          <w:color w:val="323E4F" w:themeColor="text2" w:themeShade="BF"/>
          <w:spacing w:val="5"/>
          <w:kern w:val="28"/>
          <w:sz w:val="52"/>
          <w:szCs w:val="52"/>
        </w:rPr>
      </w:pPr>
    </w:p>
    <w:p w:rsidR="00325B82" w:rsidRDefault="00325B82" w:rsidP="00325B82">
      <w:pPr>
        <w:spacing w:line="480" w:lineRule="auto"/>
        <w:rPr>
          <w:rFonts w:asciiTheme="majorHAnsi" w:eastAsiaTheme="majorEastAsia" w:hAnsiTheme="majorHAnsi" w:cstheme="majorBidi"/>
          <w:color w:val="323E4F" w:themeColor="text2" w:themeShade="BF"/>
          <w:spacing w:val="5"/>
          <w:kern w:val="28"/>
          <w:sz w:val="52"/>
          <w:szCs w:val="52"/>
        </w:rPr>
      </w:pPr>
    </w:p>
    <w:p w:rsidR="00325B82" w:rsidRDefault="00325B82" w:rsidP="00325B82">
      <w:pPr>
        <w:spacing w:line="480" w:lineRule="auto"/>
        <w:rPr>
          <w:rFonts w:asciiTheme="majorHAnsi" w:eastAsiaTheme="majorEastAsia" w:hAnsiTheme="majorHAnsi" w:cstheme="majorBidi"/>
          <w:color w:val="323E4F" w:themeColor="text2" w:themeShade="BF"/>
          <w:spacing w:val="5"/>
          <w:kern w:val="28"/>
          <w:sz w:val="52"/>
          <w:szCs w:val="52"/>
        </w:rPr>
      </w:pPr>
    </w:p>
    <w:p w:rsidR="00325B82" w:rsidRDefault="00325B82" w:rsidP="00325B82">
      <w:pPr>
        <w:pStyle w:val="Style1"/>
      </w:pPr>
      <w:bookmarkStart w:id="0" w:name="_Toc62476074"/>
      <w:bookmarkStart w:id="1" w:name="_Toc63434423"/>
      <w:bookmarkStart w:id="2" w:name="_Toc63434548"/>
      <w:bookmarkStart w:id="3" w:name="_Toc64545514"/>
      <w:bookmarkStart w:id="4" w:name="_Toc83882512"/>
      <w:bookmarkStart w:id="5" w:name="_Toc84273600"/>
      <w:r>
        <w:t>Catharine Otton-Goulder</w:t>
      </w:r>
      <w:bookmarkEnd w:id="0"/>
      <w:bookmarkEnd w:id="1"/>
      <w:bookmarkEnd w:id="2"/>
      <w:bookmarkEnd w:id="3"/>
      <w:bookmarkEnd w:id="4"/>
      <w:bookmarkEnd w:id="5"/>
    </w:p>
    <w:p w:rsidR="00325B82" w:rsidRDefault="00325B82" w:rsidP="00325B82">
      <w:pPr>
        <w:pStyle w:val="Style1"/>
      </w:pPr>
    </w:p>
    <w:p w:rsidR="00325B82" w:rsidRPr="005B5F39" w:rsidRDefault="00325B82" w:rsidP="00325B82">
      <w:pPr>
        <w:pStyle w:val="Style1"/>
        <w:rPr>
          <w:rFonts w:eastAsiaTheme="minorEastAsia" w:cstheme="minorBidi"/>
          <w:b/>
          <w:noProof/>
          <w:spacing w:val="0"/>
          <w:kern w:val="0"/>
          <w:sz w:val="22"/>
          <w:szCs w:val="22"/>
          <w:lang w:eastAsia="en-GB"/>
        </w:rPr>
      </w:pPr>
      <w:bookmarkStart w:id="6" w:name="_Toc62476075"/>
      <w:bookmarkStart w:id="7" w:name="_Toc83882513"/>
      <w:bookmarkStart w:id="8" w:name="_Toc84273601"/>
      <w:r>
        <w:lastRenderedPageBreak/>
        <w:t>Table of Contents</w:t>
      </w:r>
      <w:bookmarkEnd w:id="6"/>
      <w:bookmarkEnd w:id="7"/>
      <w:bookmarkEnd w:id="8"/>
      <w:r>
        <w:fldChar w:fldCharType="begin"/>
      </w:r>
      <w:r>
        <w:instrText xml:space="preserve"> TOC \o "1-4" \h \z \u </w:instrText>
      </w:r>
      <w:r>
        <w:fldChar w:fldCharType="separate"/>
      </w:r>
    </w:p>
    <w:p w:rsidR="00325B82" w:rsidRPr="005B5F39" w:rsidRDefault="00325B82" w:rsidP="00325B82">
      <w:pPr>
        <w:pStyle w:val="TOC1"/>
        <w:rPr>
          <w:rFonts w:eastAsiaTheme="minorEastAsia" w:cstheme="minorBidi"/>
          <w:spacing w:val="0"/>
          <w:kern w:val="0"/>
          <w:lang w:val="en-GB" w:eastAsia="en-GB"/>
        </w:rPr>
      </w:pPr>
      <w:hyperlink w:anchor="_Toc84273602" w:history="1">
        <w:r w:rsidRPr="005B5F39">
          <w:rPr>
            <w:rStyle w:val="Hyperlink"/>
          </w:rPr>
          <w:t>Introduction</w:t>
        </w:r>
        <w:r w:rsidRPr="005B5F39">
          <w:rPr>
            <w:webHidden/>
          </w:rPr>
          <w:tab/>
        </w:r>
        <w:r w:rsidRPr="005B5F39">
          <w:rPr>
            <w:webHidden/>
          </w:rPr>
          <w:fldChar w:fldCharType="begin"/>
        </w:r>
        <w:r w:rsidRPr="005B5F39">
          <w:rPr>
            <w:webHidden/>
          </w:rPr>
          <w:instrText xml:space="preserve"> PAGEREF _Toc84273602 \h </w:instrText>
        </w:r>
        <w:r w:rsidRPr="005B5F39">
          <w:rPr>
            <w:webHidden/>
          </w:rPr>
        </w:r>
        <w:r w:rsidRPr="005B5F39">
          <w:rPr>
            <w:webHidden/>
          </w:rPr>
          <w:fldChar w:fldCharType="separate"/>
        </w:r>
        <w:r>
          <w:rPr>
            <w:webHidden/>
          </w:rPr>
          <w:t>5</w:t>
        </w:r>
        <w:r w:rsidRPr="005B5F39">
          <w:rPr>
            <w:webHidden/>
          </w:rPr>
          <w:fldChar w:fldCharType="end"/>
        </w:r>
      </w:hyperlink>
    </w:p>
    <w:p w:rsidR="00325B82" w:rsidRPr="005B5F39" w:rsidRDefault="00325B82" w:rsidP="00325B82">
      <w:pPr>
        <w:pStyle w:val="TOC2"/>
        <w:tabs>
          <w:tab w:val="right" w:leader="dot" w:pos="8494"/>
        </w:tabs>
        <w:rPr>
          <w:rFonts w:asciiTheme="majorHAnsi" w:hAnsiTheme="majorHAnsi" w:cstheme="minorBidi"/>
          <w:b/>
          <w:noProof/>
          <w:lang w:val="en-GB" w:eastAsia="en-GB"/>
        </w:rPr>
      </w:pPr>
      <w:hyperlink w:anchor="_Toc84273603" w:history="1">
        <w:r w:rsidRPr="005B5F39">
          <w:rPr>
            <w:rStyle w:val="Hyperlink"/>
            <w:b/>
            <w:noProof/>
          </w:rPr>
          <w:t>The choice of topic</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_Toc84273603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5</w:t>
        </w:r>
        <w:r w:rsidRPr="005B5F39">
          <w:rPr>
            <w:rFonts w:asciiTheme="majorHAnsi" w:hAnsiTheme="majorHAnsi"/>
            <w:b/>
            <w:noProof/>
            <w:webHidden/>
          </w:rPr>
          <w:fldChar w:fldCharType="end"/>
        </w:r>
      </w:hyperlink>
    </w:p>
    <w:p w:rsidR="00325B82" w:rsidRPr="005B5F39" w:rsidRDefault="00325B82" w:rsidP="00325B82">
      <w:pPr>
        <w:pStyle w:val="TOC2"/>
        <w:tabs>
          <w:tab w:val="right" w:leader="dot" w:pos="8494"/>
        </w:tabs>
        <w:rPr>
          <w:rFonts w:asciiTheme="majorHAnsi" w:hAnsiTheme="majorHAnsi" w:cstheme="minorBidi"/>
          <w:b/>
          <w:noProof/>
          <w:lang w:val="en-GB" w:eastAsia="en-GB"/>
        </w:rPr>
      </w:pPr>
      <w:hyperlink w:anchor="_Toc84273604" w:history="1">
        <w:r w:rsidRPr="005B5F39">
          <w:rPr>
            <w:rStyle w:val="Hyperlink"/>
            <w:b/>
            <w:noProof/>
          </w:rPr>
          <w:t>Historiography</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_Toc84273604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16</w:t>
        </w:r>
        <w:r w:rsidRPr="005B5F39">
          <w:rPr>
            <w:rFonts w:asciiTheme="majorHAnsi" w:hAnsiTheme="majorHAnsi"/>
            <w:b/>
            <w:noProof/>
            <w:webHidden/>
          </w:rPr>
          <w:fldChar w:fldCharType="end"/>
        </w:r>
      </w:hyperlink>
    </w:p>
    <w:p w:rsidR="00325B82" w:rsidRPr="005B5F39" w:rsidRDefault="00325B82" w:rsidP="00325B82">
      <w:pPr>
        <w:pStyle w:val="TOC2"/>
        <w:tabs>
          <w:tab w:val="right" w:leader="dot" w:pos="8494"/>
        </w:tabs>
        <w:rPr>
          <w:rFonts w:asciiTheme="majorHAnsi" w:hAnsiTheme="majorHAnsi" w:cstheme="minorBidi"/>
          <w:b/>
          <w:noProof/>
          <w:lang w:val="en-GB" w:eastAsia="en-GB"/>
        </w:rPr>
      </w:pPr>
      <w:hyperlink w:anchor="_Toc84273605" w:history="1">
        <w:r w:rsidRPr="005B5F39">
          <w:rPr>
            <w:rStyle w:val="Hyperlink"/>
            <w:b/>
            <w:noProof/>
          </w:rPr>
          <w:t>The main primary sources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_Toc84273605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24</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06" w:history="1">
        <w:r w:rsidRPr="005B5F39">
          <w:rPr>
            <w:rStyle w:val="Hyperlink"/>
          </w:rPr>
          <w:t>Chapter I – 1547-1603 – Upheaval and Aftermath</w:t>
        </w:r>
        <w:r w:rsidRPr="005B5F39">
          <w:rPr>
            <w:webHidden/>
          </w:rPr>
          <w:tab/>
        </w:r>
        <w:r w:rsidRPr="005B5F39">
          <w:rPr>
            <w:webHidden/>
          </w:rPr>
          <w:fldChar w:fldCharType="begin"/>
        </w:r>
        <w:r w:rsidRPr="005B5F39">
          <w:rPr>
            <w:webHidden/>
          </w:rPr>
          <w:instrText xml:space="preserve"> PAGEREF _Toc84273606 \h </w:instrText>
        </w:r>
        <w:r w:rsidRPr="005B5F39">
          <w:rPr>
            <w:webHidden/>
          </w:rPr>
        </w:r>
        <w:r w:rsidRPr="005B5F39">
          <w:rPr>
            <w:webHidden/>
          </w:rPr>
          <w:fldChar w:fldCharType="separate"/>
        </w:r>
        <w:r>
          <w:rPr>
            <w:webHidden/>
          </w:rPr>
          <w:t>29</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07" w:history="1">
        <w:r w:rsidRPr="005B5F39">
          <w:rPr>
            <w:rStyle w:val="Hyperlink"/>
          </w:rPr>
          <w:t>1. Pre-</w:t>
        </w:r>
        <w:r>
          <w:rPr>
            <w:rStyle w:val="Hyperlink"/>
          </w:rPr>
          <w:t>1547</w:t>
        </w:r>
        <w:r w:rsidRPr="005B5F39">
          <w:rPr>
            <w:rStyle w:val="Hyperlink"/>
          </w:rPr>
          <w:t xml:space="preserve"> disrepair</w:t>
        </w:r>
        <w:r w:rsidRPr="005B5F39">
          <w:rPr>
            <w:webHidden/>
          </w:rPr>
          <w:tab/>
        </w:r>
        <w:r w:rsidRPr="005B5F39">
          <w:rPr>
            <w:webHidden/>
          </w:rPr>
          <w:fldChar w:fldCharType="begin"/>
        </w:r>
        <w:r w:rsidRPr="005B5F39">
          <w:rPr>
            <w:webHidden/>
          </w:rPr>
          <w:instrText xml:space="preserve"> PAGEREF _Toc84273607 \h </w:instrText>
        </w:r>
        <w:r w:rsidRPr="005B5F39">
          <w:rPr>
            <w:webHidden/>
          </w:rPr>
        </w:r>
        <w:r w:rsidRPr="005B5F39">
          <w:rPr>
            <w:webHidden/>
          </w:rPr>
          <w:fldChar w:fldCharType="separate"/>
        </w:r>
        <w:r>
          <w:rPr>
            <w:webHidden/>
          </w:rPr>
          <w:t>29</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08" w:history="1">
        <w:r w:rsidRPr="005B5F39">
          <w:rPr>
            <w:rStyle w:val="Hyperlink"/>
            <w:b/>
            <w:noProof/>
          </w:rPr>
          <w:t>1.1</w:t>
        </w:r>
        <w:r w:rsidRPr="005B5F39">
          <w:rPr>
            <w:rFonts w:asciiTheme="majorHAnsi" w:hAnsiTheme="majorHAnsi" w:cstheme="minorBidi"/>
            <w:b/>
            <w:noProof/>
            <w:lang w:val="en-GB" w:eastAsia="en-GB"/>
          </w:rPr>
          <w:tab/>
        </w:r>
        <w:r w:rsidRPr="005B5F39">
          <w:rPr>
            <w:rStyle w:val="Hyperlink"/>
            <w:b/>
            <w:noProof/>
          </w:rPr>
          <w:t>Building v repairing churches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_Toc84273608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29</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09" w:history="1">
        <w:r w:rsidRPr="005B5F39">
          <w:rPr>
            <w:rStyle w:val="Hyperlink"/>
            <w:b/>
            <w:noProof/>
          </w:rPr>
          <w:t>1.2</w:t>
        </w:r>
        <w:r w:rsidRPr="005B5F39">
          <w:rPr>
            <w:rFonts w:asciiTheme="majorHAnsi" w:hAnsiTheme="majorHAnsi" w:cstheme="minorBidi"/>
            <w:b/>
            <w:noProof/>
            <w:lang w:val="en-GB" w:eastAsia="en-GB"/>
          </w:rPr>
          <w:tab/>
        </w:r>
        <w:r w:rsidRPr="005B5F39">
          <w:rPr>
            <w:rStyle w:val="Hyperlink"/>
            <w:b/>
            <w:noProof/>
          </w:rPr>
          <w:t>Chancels &amp; rectors v naves &amp; laity</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_Toc84273609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31</w:t>
        </w:r>
        <w:r w:rsidRPr="005B5F39">
          <w:rPr>
            <w:rFonts w:asciiTheme="majorHAnsi" w:hAnsiTheme="majorHAnsi"/>
            <w:b/>
            <w:noProof/>
            <w:webHidden/>
          </w:rPr>
          <w:fldChar w:fldCharType="end"/>
        </w:r>
      </w:hyperlink>
    </w:p>
    <w:p w:rsidR="00325B82" w:rsidRPr="005B5F39" w:rsidRDefault="00325B82" w:rsidP="00325B82">
      <w:pPr>
        <w:pStyle w:val="TOC3"/>
        <w:tabs>
          <w:tab w:val="right" w:leader="dot" w:pos="8494"/>
        </w:tabs>
        <w:rPr>
          <w:rFonts w:asciiTheme="majorHAnsi" w:hAnsiTheme="majorHAnsi" w:cstheme="minorBidi"/>
          <w:b/>
          <w:noProof/>
          <w:lang w:val="en-GB" w:eastAsia="en-GB"/>
        </w:rPr>
      </w:pPr>
      <w:hyperlink w:anchor="_Toc84273610" w:history="1">
        <w:r w:rsidRPr="005B5F39">
          <w:rPr>
            <w:rStyle w:val="Hyperlink"/>
            <w:b/>
            <w:noProof/>
          </w:rPr>
          <w:t>1.2.1 Churches owned by monasteries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_Toc84273610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31</w:t>
        </w:r>
        <w:r w:rsidRPr="005B5F39">
          <w:rPr>
            <w:rFonts w:asciiTheme="majorHAnsi" w:hAnsiTheme="majorHAnsi"/>
            <w:b/>
            <w:noProof/>
            <w:webHidden/>
          </w:rPr>
          <w:fldChar w:fldCharType="end"/>
        </w:r>
      </w:hyperlink>
    </w:p>
    <w:p w:rsidR="00325B82" w:rsidRPr="005B5F39" w:rsidRDefault="00325B82" w:rsidP="00325B82">
      <w:pPr>
        <w:pStyle w:val="TOC4"/>
        <w:tabs>
          <w:tab w:val="right" w:leader="dot" w:pos="8494"/>
        </w:tabs>
        <w:rPr>
          <w:rFonts w:asciiTheme="majorHAnsi" w:eastAsiaTheme="minorEastAsia" w:hAnsiTheme="majorHAnsi"/>
          <w:b/>
          <w:noProof/>
          <w:lang w:eastAsia="en-GB"/>
        </w:rPr>
      </w:pPr>
      <w:hyperlink w:anchor="_Toc84273611" w:history="1">
        <w:r w:rsidRPr="005B5F39">
          <w:rPr>
            <w:rStyle w:val="Hyperlink"/>
            <w:b/>
            <w:noProof/>
          </w:rPr>
          <w:t>1.2.1.1 Distance between monasteries and their rectories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_Toc84273611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32</w:t>
        </w:r>
        <w:r w:rsidRPr="005B5F39">
          <w:rPr>
            <w:rFonts w:asciiTheme="majorHAnsi" w:hAnsiTheme="majorHAnsi"/>
            <w:b/>
            <w:noProof/>
            <w:webHidden/>
          </w:rPr>
          <w:fldChar w:fldCharType="end"/>
        </w:r>
      </w:hyperlink>
    </w:p>
    <w:p w:rsidR="00325B82" w:rsidRPr="005B5F39" w:rsidRDefault="00325B82" w:rsidP="00325B82">
      <w:pPr>
        <w:pStyle w:val="TOC4"/>
        <w:tabs>
          <w:tab w:val="right" w:leader="dot" w:pos="8494"/>
        </w:tabs>
        <w:rPr>
          <w:rFonts w:asciiTheme="majorHAnsi" w:eastAsiaTheme="minorEastAsia" w:hAnsiTheme="majorHAnsi"/>
          <w:b/>
          <w:noProof/>
          <w:lang w:eastAsia="en-GB"/>
        </w:rPr>
      </w:pPr>
      <w:hyperlink w:anchor="_Toc84273612" w:history="1">
        <w:r w:rsidRPr="005B5F39">
          <w:rPr>
            <w:rStyle w:val="Hyperlink"/>
            <w:b/>
            <w:noProof/>
          </w:rPr>
          <w:t>1.2.1.2 Relative value of rectorial assets v other assets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_Toc84273612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32</w:t>
        </w:r>
        <w:r w:rsidRPr="005B5F39">
          <w:rPr>
            <w:rFonts w:asciiTheme="majorHAnsi" w:hAnsiTheme="majorHAnsi"/>
            <w:b/>
            <w:noProof/>
            <w:webHidden/>
          </w:rPr>
          <w:fldChar w:fldCharType="end"/>
        </w:r>
      </w:hyperlink>
    </w:p>
    <w:p w:rsidR="00325B82" w:rsidRPr="005B5F39" w:rsidRDefault="00325B82" w:rsidP="00325B82">
      <w:pPr>
        <w:pStyle w:val="TOC4"/>
        <w:tabs>
          <w:tab w:val="right" w:leader="dot" w:pos="8494"/>
        </w:tabs>
        <w:rPr>
          <w:rFonts w:asciiTheme="majorHAnsi" w:eastAsiaTheme="minorEastAsia" w:hAnsiTheme="majorHAnsi"/>
          <w:b/>
          <w:noProof/>
          <w:lang w:eastAsia="en-GB"/>
        </w:rPr>
      </w:pPr>
      <w:hyperlink w:anchor="_Toc84273613" w:history="1">
        <w:r w:rsidRPr="005B5F39">
          <w:rPr>
            <w:rStyle w:val="Hyperlink"/>
            <w:b/>
            <w:noProof/>
          </w:rPr>
          <w:t>1.2.1.3 Relative importance of monastic buildings v rectorial assets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_Toc84273613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33</w:t>
        </w:r>
        <w:r w:rsidRPr="005B5F39">
          <w:rPr>
            <w:rFonts w:asciiTheme="majorHAnsi" w:hAnsiTheme="majorHAnsi"/>
            <w:b/>
            <w:noProof/>
            <w:webHidden/>
          </w:rPr>
          <w:fldChar w:fldCharType="end"/>
        </w:r>
      </w:hyperlink>
    </w:p>
    <w:p w:rsidR="00325B82" w:rsidRPr="005B5F39" w:rsidRDefault="00325B82" w:rsidP="00325B82">
      <w:pPr>
        <w:pStyle w:val="TOC4"/>
        <w:tabs>
          <w:tab w:val="right" w:leader="dot" w:pos="8494"/>
        </w:tabs>
        <w:rPr>
          <w:rFonts w:asciiTheme="majorHAnsi" w:eastAsiaTheme="minorEastAsia" w:hAnsiTheme="majorHAnsi"/>
          <w:b/>
          <w:noProof/>
          <w:lang w:eastAsia="en-GB"/>
        </w:rPr>
      </w:pPr>
      <w:hyperlink w:anchor="_Toc84273614" w:history="1">
        <w:r w:rsidRPr="005B5F39">
          <w:rPr>
            <w:rStyle w:val="Hyperlink"/>
            <w:b/>
            <w:noProof/>
          </w:rPr>
          <w:t>1.2.1.4 Monastic finance</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_Toc84273614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33</w:t>
        </w:r>
        <w:r w:rsidRPr="005B5F39">
          <w:rPr>
            <w:rFonts w:asciiTheme="majorHAnsi" w:hAnsiTheme="majorHAnsi"/>
            <w:b/>
            <w:noProof/>
            <w:webHidden/>
          </w:rPr>
          <w:fldChar w:fldCharType="end"/>
        </w:r>
      </w:hyperlink>
    </w:p>
    <w:p w:rsidR="00325B82" w:rsidRPr="005B5F39" w:rsidRDefault="00325B82" w:rsidP="00325B82">
      <w:pPr>
        <w:pStyle w:val="TOC3"/>
        <w:tabs>
          <w:tab w:val="right" w:leader="dot" w:pos="8494"/>
        </w:tabs>
        <w:rPr>
          <w:rFonts w:asciiTheme="majorHAnsi" w:hAnsiTheme="majorHAnsi" w:cstheme="minorBidi"/>
          <w:b/>
          <w:noProof/>
          <w:lang w:val="en-GB" w:eastAsia="en-GB"/>
        </w:rPr>
      </w:pPr>
      <w:hyperlink w:anchor="_Toc84273615" w:history="1">
        <w:r w:rsidRPr="005B5F39">
          <w:rPr>
            <w:rStyle w:val="Hyperlink"/>
            <w:b/>
            <w:noProof/>
          </w:rPr>
          <w:t>1.2.2 Churches owned by ecclesiastical dignitaries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_Toc84273615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35</w:t>
        </w:r>
        <w:r w:rsidRPr="005B5F39">
          <w:rPr>
            <w:rFonts w:asciiTheme="majorHAnsi" w:hAnsiTheme="majorHAnsi"/>
            <w:b/>
            <w:noProof/>
            <w:webHidden/>
          </w:rPr>
          <w:fldChar w:fldCharType="end"/>
        </w:r>
      </w:hyperlink>
    </w:p>
    <w:p w:rsidR="00325B82" w:rsidRPr="005B5F39" w:rsidRDefault="00325B82" w:rsidP="00325B82">
      <w:pPr>
        <w:pStyle w:val="TOC3"/>
        <w:tabs>
          <w:tab w:val="right" w:leader="dot" w:pos="8494"/>
        </w:tabs>
        <w:rPr>
          <w:rFonts w:asciiTheme="majorHAnsi" w:hAnsiTheme="majorHAnsi" w:cstheme="minorBidi"/>
          <w:b/>
          <w:noProof/>
          <w:lang w:val="en-GB" w:eastAsia="en-GB"/>
        </w:rPr>
      </w:pPr>
      <w:hyperlink w:anchor="_Toc84273616" w:history="1">
        <w:r w:rsidRPr="005B5F39">
          <w:rPr>
            <w:rStyle w:val="Hyperlink"/>
            <w:b/>
            <w:noProof/>
          </w:rPr>
          <w:t>1.2.3 Churches never owned by ecclesiastics or monasteries pre-1547</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_Toc84273616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35</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17" w:history="1">
        <w:r w:rsidRPr="005B5F39">
          <w:rPr>
            <w:rStyle w:val="Hyperlink"/>
            <w:b/>
            <w:noProof/>
          </w:rPr>
          <w:t>1.3</w:t>
        </w:r>
        <w:r w:rsidRPr="005B5F39">
          <w:rPr>
            <w:rFonts w:asciiTheme="majorHAnsi" w:hAnsiTheme="majorHAnsi" w:cstheme="minorBidi"/>
            <w:b/>
            <w:noProof/>
            <w:lang w:val="en-GB" w:eastAsia="en-GB"/>
          </w:rPr>
          <w:tab/>
        </w:r>
        <w:r w:rsidRPr="005B5F39">
          <w:rPr>
            <w:rStyle w:val="Hyperlink"/>
            <w:b/>
            <w:noProof/>
          </w:rPr>
          <w:t>Depopulation</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_Toc84273617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38</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18" w:history="1">
        <w:r w:rsidRPr="005B5F39">
          <w:rPr>
            <w:rStyle w:val="Hyperlink"/>
            <w:b/>
            <w:noProof/>
          </w:rPr>
          <w:t>1.4</w:t>
        </w:r>
        <w:r w:rsidRPr="005B5F39">
          <w:rPr>
            <w:rFonts w:asciiTheme="majorHAnsi" w:hAnsiTheme="majorHAnsi" w:cstheme="minorBidi"/>
            <w:b/>
            <w:noProof/>
            <w:lang w:val="en-GB" w:eastAsia="en-GB"/>
          </w:rPr>
          <w:tab/>
        </w:r>
        <w:r w:rsidRPr="005B5F39">
          <w:rPr>
            <w:rStyle w:val="Hyperlink"/>
            <w:b/>
            <w:noProof/>
          </w:rPr>
          <w:t>Chapels whose settlements survived</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_Toc84273618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39</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19" w:history="1">
        <w:r w:rsidRPr="005B5F39">
          <w:rPr>
            <w:rStyle w:val="Hyperlink"/>
          </w:rPr>
          <w:t>2. Post-</w:t>
        </w:r>
        <w:r>
          <w:rPr>
            <w:rStyle w:val="Hyperlink"/>
          </w:rPr>
          <w:t>1547</w:t>
        </w:r>
        <w:r w:rsidRPr="005B5F39">
          <w:rPr>
            <w:rStyle w:val="Hyperlink"/>
          </w:rPr>
          <w:t xml:space="preserve"> disrepair</w:t>
        </w:r>
        <w:r w:rsidRPr="005B5F39">
          <w:rPr>
            <w:webHidden/>
          </w:rPr>
          <w:tab/>
        </w:r>
        <w:r w:rsidRPr="005B5F39">
          <w:rPr>
            <w:webHidden/>
          </w:rPr>
          <w:fldChar w:fldCharType="begin"/>
        </w:r>
        <w:r w:rsidRPr="005B5F39">
          <w:rPr>
            <w:webHidden/>
          </w:rPr>
          <w:instrText xml:space="preserve"> PAGEREF _Toc84273619 \h </w:instrText>
        </w:r>
        <w:r w:rsidRPr="005B5F39">
          <w:rPr>
            <w:webHidden/>
          </w:rPr>
        </w:r>
        <w:r w:rsidRPr="005B5F39">
          <w:rPr>
            <w:webHidden/>
          </w:rPr>
          <w:fldChar w:fldCharType="separate"/>
        </w:r>
        <w:r>
          <w:rPr>
            <w:webHidden/>
          </w:rPr>
          <w:t>40</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20" w:history="1">
        <w:r w:rsidRPr="005B5F39">
          <w:rPr>
            <w:rStyle w:val="Hyperlink"/>
            <w:b/>
            <w:noProof/>
          </w:rPr>
          <w:t>2.1</w:t>
        </w:r>
        <w:r w:rsidRPr="005B5F39">
          <w:rPr>
            <w:rFonts w:asciiTheme="majorHAnsi" w:hAnsiTheme="majorHAnsi" w:cstheme="minorBidi"/>
            <w:b/>
            <w:noProof/>
            <w:lang w:val="en-GB" w:eastAsia="en-GB"/>
          </w:rPr>
          <w:tab/>
        </w:r>
        <w:r w:rsidRPr="005B5F39">
          <w:rPr>
            <w:rStyle w:val="Hyperlink"/>
            <w:b/>
            <w:noProof/>
          </w:rPr>
          <w:t>Depopulation</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_Toc84273620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41</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21" w:history="1">
        <w:r w:rsidRPr="005B5F39">
          <w:rPr>
            <w:rStyle w:val="Hyperlink"/>
            <w:b/>
            <w:noProof/>
          </w:rPr>
          <w:t>2.2</w:t>
        </w:r>
        <w:r w:rsidRPr="005B5F39">
          <w:rPr>
            <w:rFonts w:asciiTheme="majorHAnsi" w:hAnsiTheme="majorHAnsi" w:cstheme="minorBidi"/>
            <w:b/>
            <w:noProof/>
            <w:lang w:val="en-GB" w:eastAsia="en-GB"/>
          </w:rPr>
          <w:tab/>
        </w:r>
        <w:r w:rsidRPr="005B5F39">
          <w:rPr>
            <w:rStyle w:val="Hyperlink"/>
            <w:b/>
            <w:noProof/>
          </w:rPr>
          <w:t>The Crown as successor to the monasteries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_Toc84273621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41</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22" w:history="1">
        <w:r w:rsidRPr="005B5F39">
          <w:rPr>
            <w:rStyle w:val="Hyperlink"/>
            <w:b/>
            <w:noProof/>
          </w:rPr>
          <w:t>2.2.1</w:t>
        </w:r>
        <w:r w:rsidRPr="005B5F39">
          <w:rPr>
            <w:rFonts w:asciiTheme="majorHAnsi" w:hAnsiTheme="majorHAnsi" w:cstheme="minorBidi"/>
            <w:b/>
            <w:noProof/>
            <w:lang w:val="en-GB" w:eastAsia="en-GB"/>
          </w:rPr>
          <w:tab/>
        </w:r>
        <w:r w:rsidRPr="005B5F39">
          <w:rPr>
            <w:rStyle w:val="Hyperlink"/>
            <w:b/>
            <w:noProof/>
          </w:rPr>
          <w:t>Monastic churches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_Toc84273622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41</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23" w:history="1">
        <w:r w:rsidRPr="005B5F39">
          <w:rPr>
            <w:rStyle w:val="Hyperlink"/>
            <w:b/>
            <w:noProof/>
          </w:rPr>
          <w:t>2.2.2</w:t>
        </w:r>
        <w:r w:rsidRPr="005B5F39">
          <w:rPr>
            <w:rFonts w:asciiTheme="majorHAnsi" w:hAnsiTheme="majorHAnsi" w:cstheme="minorBidi"/>
            <w:b/>
            <w:noProof/>
            <w:lang w:val="en-GB" w:eastAsia="en-GB"/>
          </w:rPr>
          <w:tab/>
        </w:r>
        <w:r w:rsidRPr="005B5F39">
          <w:rPr>
            <w:rStyle w:val="Hyperlink"/>
            <w:b/>
            <w:noProof/>
          </w:rPr>
          <w:t>Chantries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_Toc84273623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44</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24" w:history="1">
        <w:r w:rsidRPr="005B5F39">
          <w:rPr>
            <w:rStyle w:val="Hyperlink"/>
            <w:b/>
            <w:noProof/>
          </w:rPr>
          <w:t>2.2.3</w:t>
        </w:r>
        <w:r w:rsidRPr="005B5F39">
          <w:rPr>
            <w:rFonts w:asciiTheme="majorHAnsi" w:hAnsiTheme="majorHAnsi" w:cstheme="minorBidi"/>
            <w:b/>
            <w:noProof/>
            <w:lang w:val="en-GB" w:eastAsia="en-GB"/>
          </w:rPr>
          <w:tab/>
        </w:r>
        <w:r w:rsidRPr="005B5F39">
          <w:rPr>
            <w:rStyle w:val="Hyperlink"/>
            <w:b/>
            <w:noProof/>
          </w:rPr>
          <w:t>Chapels without chantries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45</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25" w:history="1">
        <w:r w:rsidRPr="005B5F39">
          <w:rPr>
            <w:rStyle w:val="Hyperlink"/>
            <w:b/>
            <w:noProof/>
          </w:rPr>
          <w:t xml:space="preserve">2.2.4 </w:t>
        </w:r>
        <w:r w:rsidRPr="005B5F39">
          <w:rPr>
            <w:rFonts w:asciiTheme="majorHAnsi" w:hAnsiTheme="majorHAnsi" w:cstheme="minorBidi"/>
            <w:b/>
            <w:noProof/>
            <w:lang w:val="en-GB" w:eastAsia="en-GB"/>
          </w:rPr>
          <w:tab/>
        </w:r>
        <w:r w:rsidRPr="005B5F39">
          <w:rPr>
            <w:rStyle w:val="Hyperlink"/>
            <w:b/>
            <w:noProof/>
          </w:rPr>
          <w:t>Parish church chancels: Crown-owned rectories 1547- 1603</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_Toc84273625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46</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26" w:history="1">
        <w:r w:rsidRPr="005B5F39">
          <w:rPr>
            <w:rStyle w:val="Hyperlink"/>
            <w:b/>
            <w:noProof/>
          </w:rPr>
          <w:t>2.3</w:t>
        </w:r>
        <w:r w:rsidRPr="005B5F39">
          <w:rPr>
            <w:rFonts w:asciiTheme="majorHAnsi" w:hAnsiTheme="majorHAnsi" w:cstheme="minorBidi"/>
            <w:b/>
            <w:noProof/>
            <w:lang w:val="en-GB" w:eastAsia="en-GB"/>
          </w:rPr>
          <w:tab/>
        </w:r>
        <w:r w:rsidRPr="005B5F39">
          <w:rPr>
            <w:rStyle w:val="Hyperlink"/>
            <w:b/>
            <w:noProof/>
          </w:rPr>
          <w:t>Lay impropriators of ex-monastic rectories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_Toc84273626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53</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27" w:history="1">
        <w:r w:rsidRPr="005B5F39">
          <w:rPr>
            <w:rStyle w:val="Hyperlink"/>
            <w:b/>
            <w:noProof/>
          </w:rPr>
          <w:t>2.4</w:t>
        </w:r>
        <w:r w:rsidRPr="005B5F39">
          <w:rPr>
            <w:rFonts w:asciiTheme="majorHAnsi" w:hAnsiTheme="majorHAnsi" w:cstheme="minorBidi"/>
            <w:b/>
            <w:noProof/>
            <w:lang w:val="en-GB" w:eastAsia="en-GB"/>
          </w:rPr>
          <w:tab/>
        </w:r>
        <w:r w:rsidRPr="005B5F39">
          <w:rPr>
            <w:rStyle w:val="Hyperlink"/>
            <w:b/>
            <w:noProof/>
          </w:rPr>
          <w:t>Ecclesiastical dignitaries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_Toc84273627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57</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28" w:history="1">
        <w:r w:rsidRPr="005B5F39">
          <w:rPr>
            <w:rStyle w:val="Hyperlink"/>
            <w:b/>
            <w:noProof/>
          </w:rPr>
          <w:t>2.4.1</w:t>
        </w:r>
        <w:r w:rsidRPr="005B5F39">
          <w:rPr>
            <w:rFonts w:asciiTheme="majorHAnsi" w:hAnsiTheme="majorHAnsi" w:cstheme="minorBidi"/>
            <w:b/>
            <w:noProof/>
            <w:lang w:val="en-GB" w:eastAsia="en-GB"/>
          </w:rPr>
          <w:tab/>
        </w:r>
        <w:r w:rsidRPr="005B5F39">
          <w:rPr>
            <w:rStyle w:val="Hyperlink"/>
            <w:b/>
            <w:noProof/>
          </w:rPr>
          <w:t>Archbishops of York</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_Toc84273628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58</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29" w:history="1">
        <w:r w:rsidRPr="005B5F39">
          <w:rPr>
            <w:rStyle w:val="Hyperlink"/>
            <w:b/>
            <w:noProof/>
          </w:rPr>
          <w:t>2.4.2</w:t>
        </w:r>
        <w:r w:rsidRPr="005B5F39">
          <w:rPr>
            <w:rFonts w:asciiTheme="majorHAnsi" w:hAnsiTheme="majorHAnsi" w:cstheme="minorBidi"/>
            <w:b/>
            <w:noProof/>
            <w:lang w:val="en-GB" w:eastAsia="en-GB"/>
          </w:rPr>
          <w:tab/>
        </w:r>
        <w:r w:rsidRPr="005B5F39">
          <w:rPr>
            <w:rStyle w:val="Hyperlink"/>
            <w:b/>
            <w:noProof/>
          </w:rPr>
          <w:t>Dignitaries other than archbishops of York</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_Toc84273629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58</w:t>
        </w:r>
        <w:r w:rsidRPr="005B5F39">
          <w:rPr>
            <w:rFonts w:asciiTheme="majorHAnsi" w:hAnsiTheme="majorHAnsi"/>
            <w:b/>
            <w:noProof/>
            <w:webHidden/>
          </w:rPr>
          <w:fldChar w:fldCharType="end"/>
        </w:r>
      </w:hyperlink>
    </w:p>
    <w:p w:rsidR="00325B82" w:rsidRPr="005B5F39" w:rsidRDefault="00325B82" w:rsidP="00325B82">
      <w:pPr>
        <w:pStyle w:val="TOC4"/>
        <w:tabs>
          <w:tab w:val="left" w:pos="1540"/>
          <w:tab w:val="right" w:leader="dot" w:pos="8494"/>
        </w:tabs>
        <w:rPr>
          <w:rFonts w:asciiTheme="majorHAnsi" w:eastAsiaTheme="minorEastAsia" w:hAnsiTheme="majorHAnsi"/>
          <w:b/>
          <w:noProof/>
          <w:lang w:eastAsia="en-GB"/>
        </w:rPr>
      </w:pPr>
      <w:hyperlink w:anchor="_Toc84273630" w:history="1">
        <w:r w:rsidRPr="005B5F39">
          <w:rPr>
            <w:rStyle w:val="Hyperlink"/>
            <w:b/>
            <w:noProof/>
          </w:rPr>
          <w:t>2.4.2.1</w:t>
        </w:r>
        <w:r w:rsidRPr="005B5F39">
          <w:rPr>
            <w:rFonts w:asciiTheme="majorHAnsi" w:eastAsiaTheme="minorEastAsia" w:hAnsiTheme="majorHAnsi"/>
            <w:b/>
            <w:noProof/>
            <w:lang w:eastAsia="en-GB"/>
          </w:rPr>
          <w:tab/>
        </w:r>
        <w:r w:rsidRPr="005B5F39">
          <w:rPr>
            <w:rStyle w:val="Hyperlink"/>
            <w:b/>
            <w:noProof/>
          </w:rPr>
          <w:t>York</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_Toc84273630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58</w:t>
        </w:r>
        <w:r w:rsidRPr="005B5F39">
          <w:rPr>
            <w:rFonts w:asciiTheme="majorHAnsi" w:hAnsiTheme="majorHAnsi"/>
            <w:b/>
            <w:noProof/>
            <w:webHidden/>
          </w:rPr>
          <w:fldChar w:fldCharType="end"/>
        </w:r>
      </w:hyperlink>
    </w:p>
    <w:p w:rsidR="00325B82" w:rsidRPr="005B5F39" w:rsidRDefault="00325B82" w:rsidP="00325B82">
      <w:pPr>
        <w:pStyle w:val="TOC4"/>
        <w:tabs>
          <w:tab w:val="left" w:pos="1540"/>
          <w:tab w:val="right" w:leader="dot" w:pos="8494"/>
        </w:tabs>
        <w:rPr>
          <w:rFonts w:asciiTheme="majorHAnsi" w:eastAsiaTheme="minorEastAsia" w:hAnsiTheme="majorHAnsi"/>
          <w:b/>
          <w:noProof/>
          <w:lang w:eastAsia="en-GB"/>
        </w:rPr>
      </w:pPr>
      <w:hyperlink w:anchor="_Toc84273631" w:history="1">
        <w:r w:rsidRPr="005B5F39">
          <w:rPr>
            <w:rStyle w:val="Hyperlink"/>
            <w:b/>
            <w:noProof/>
          </w:rPr>
          <w:t>2.4.2.2</w:t>
        </w:r>
        <w:r w:rsidRPr="005B5F39">
          <w:rPr>
            <w:rFonts w:asciiTheme="majorHAnsi" w:eastAsiaTheme="minorEastAsia" w:hAnsiTheme="majorHAnsi"/>
            <w:b/>
            <w:noProof/>
            <w:lang w:eastAsia="en-GB"/>
          </w:rPr>
          <w:tab/>
        </w:r>
        <w:r w:rsidRPr="005B5F39">
          <w:rPr>
            <w:rStyle w:val="Hyperlink"/>
            <w:b/>
            <w:noProof/>
          </w:rPr>
          <w:t>Durham</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_Toc84273631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63</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32" w:history="1">
        <w:r w:rsidRPr="005B5F39">
          <w:rPr>
            <w:rStyle w:val="Hyperlink"/>
            <w:b/>
            <w:noProof/>
          </w:rPr>
          <w:t>2.5</w:t>
        </w:r>
        <w:r w:rsidRPr="005B5F39">
          <w:rPr>
            <w:rFonts w:asciiTheme="majorHAnsi" w:hAnsiTheme="majorHAnsi" w:cstheme="minorBidi"/>
            <w:b/>
            <w:noProof/>
            <w:lang w:val="en-GB" w:eastAsia="en-GB"/>
          </w:rPr>
          <w:tab/>
        </w:r>
        <w:r w:rsidRPr="005B5F39">
          <w:rPr>
            <w:rStyle w:val="Hyperlink"/>
            <w:b/>
            <w:noProof/>
          </w:rPr>
          <w:t>Chancel burials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_Toc84273632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64</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33" w:history="1">
        <w:r w:rsidRPr="005B5F39">
          <w:rPr>
            <w:rStyle w:val="Hyperlink"/>
            <w:b/>
            <w:noProof/>
          </w:rPr>
          <w:t>2.5.1</w:t>
        </w:r>
        <w:r w:rsidRPr="005B5F39">
          <w:rPr>
            <w:rFonts w:asciiTheme="majorHAnsi" w:hAnsiTheme="majorHAnsi" w:cstheme="minorBidi"/>
            <w:b/>
            <w:noProof/>
            <w:lang w:val="en-GB" w:eastAsia="en-GB"/>
          </w:rPr>
          <w:tab/>
        </w:r>
        <w:r w:rsidRPr="005B5F39">
          <w:rPr>
            <w:rStyle w:val="Hyperlink"/>
            <w:b/>
            <w:noProof/>
          </w:rPr>
          <w:t>Pre-</w:t>
        </w:r>
        <w:r>
          <w:rPr>
            <w:rStyle w:val="Hyperlink"/>
            <w:b/>
            <w:noProof/>
          </w:rPr>
          <w:t>1547</w:t>
        </w:r>
        <w:r w:rsidRPr="005B5F39">
          <w:rPr>
            <w:rStyle w:val="Hyperlink"/>
            <w:b/>
            <w:noProof/>
          </w:rPr>
          <w:t xml:space="preserve"> chancel burials of laity</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_Toc84273633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65</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34" w:history="1">
        <w:r w:rsidRPr="005B5F39">
          <w:rPr>
            <w:rStyle w:val="Hyperlink"/>
            <w:b/>
            <w:noProof/>
          </w:rPr>
          <w:t>2.5.2</w:t>
        </w:r>
        <w:r w:rsidRPr="005B5F39">
          <w:rPr>
            <w:rFonts w:asciiTheme="majorHAnsi" w:hAnsiTheme="majorHAnsi" w:cstheme="minorBidi"/>
            <w:b/>
            <w:noProof/>
            <w:lang w:val="en-GB" w:eastAsia="en-GB"/>
          </w:rPr>
          <w:tab/>
        </w:r>
        <w:r w:rsidRPr="005B5F39">
          <w:rPr>
            <w:rStyle w:val="Hyperlink"/>
            <w:b/>
            <w:noProof/>
          </w:rPr>
          <w:t>Chancel burials of laity 1547-1603</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_Toc84273634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68</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35" w:history="1">
        <w:r w:rsidRPr="005B5F39">
          <w:rPr>
            <w:rStyle w:val="Hyperlink"/>
            <w:b/>
            <w:noProof/>
          </w:rPr>
          <w:t>2.5.3</w:t>
        </w:r>
        <w:r w:rsidRPr="005B5F39">
          <w:rPr>
            <w:rFonts w:asciiTheme="majorHAnsi" w:hAnsiTheme="majorHAnsi" w:cstheme="minorBidi"/>
            <w:b/>
            <w:noProof/>
            <w:lang w:val="en-GB" w:eastAsia="en-GB"/>
          </w:rPr>
          <w:tab/>
        </w:r>
        <w:r w:rsidRPr="005B5F39">
          <w:rPr>
            <w:rStyle w:val="Hyperlink"/>
            <w:b/>
            <w:noProof/>
          </w:rPr>
          <w:t>Pre-</w:t>
        </w:r>
        <w:r>
          <w:rPr>
            <w:rStyle w:val="Hyperlink"/>
            <w:b/>
            <w:noProof/>
          </w:rPr>
          <w:t>1547</w:t>
        </w:r>
        <w:r w:rsidRPr="005B5F39">
          <w:rPr>
            <w:rStyle w:val="Hyperlink"/>
            <w:b/>
            <w:noProof/>
          </w:rPr>
          <w:t xml:space="preserve"> burials of laity in chapels/aisles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_Toc84273635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69</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36" w:history="1">
        <w:r w:rsidRPr="005B5F39">
          <w:rPr>
            <w:rStyle w:val="Hyperlink"/>
            <w:b/>
            <w:noProof/>
          </w:rPr>
          <w:t>2.5.4</w:t>
        </w:r>
        <w:r w:rsidRPr="005B5F39">
          <w:rPr>
            <w:rFonts w:asciiTheme="majorHAnsi" w:hAnsiTheme="majorHAnsi" w:cstheme="minorBidi"/>
            <w:b/>
            <w:noProof/>
            <w:lang w:val="en-GB" w:eastAsia="en-GB"/>
          </w:rPr>
          <w:tab/>
        </w:r>
        <w:r w:rsidRPr="005B5F39">
          <w:rPr>
            <w:rStyle w:val="Hyperlink"/>
            <w:b/>
            <w:noProof/>
          </w:rPr>
          <w:t>Burials of laity in chapels/aisles 1547-1603</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_Toc84273636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69</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37" w:history="1">
        <w:r w:rsidRPr="005B5F39">
          <w:rPr>
            <w:rStyle w:val="Hyperlink"/>
            <w:b/>
            <w:noProof/>
          </w:rPr>
          <w:t>2.6</w:t>
        </w:r>
        <w:r w:rsidRPr="005B5F39">
          <w:rPr>
            <w:rFonts w:asciiTheme="majorHAnsi" w:hAnsiTheme="majorHAnsi" w:cstheme="minorBidi"/>
            <w:b/>
            <w:noProof/>
            <w:lang w:val="en-GB" w:eastAsia="en-GB"/>
          </w:rPr>
          <w:tab/>
        </w:r>
        <w:r w:rsidRPr="005B5F39">
          <w:rPr>
            <w:rStyle w:val="Hyperlink"/>
            <w:b/>
            <w:noProof/>
          </w:rPr>
          <w:t>The body of the church</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_Toc84273637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70</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38" w:history="1">
        <w:r w:rsidRPr="005B5F39">
          <w:rPr>
            <w:rStyle w:val="Hyperlink"/>
          </w:rPr>
          <w:t>3. Conclusions</w:t>
        </w:r>
        <w:r w:rsidRPr="005B5F39">
          <w:rPr>
            <w:webHidden/>
          </w:rPr>
          <w:tab/>
        </w:r>
        <w:r w:rsidRPr="005B5F39">
          <w:rPr>
            <w:webHidden/>
          </w:rPr>
          <w:fldChar w:fldCharType="begin"/>
        </w:r>
        <w:r w:rsidRPr="005B5F39">
          <w:rPr>
            <w:webHidden/>
          </w:rPr>
          <w:instrText xml:space="preserve"> PAGEREF _Toc84273638 \h </w:instrText>
        </w:r>
        <w:r w:rsidRPr="005B5F39">
          <w:rPr>
            <w:webHidden/>
          </w:rPr>
        </w:r>
        <w:r w:rsidRPr="005B5F39">
          <w:rPr>
            <w:webHidden/>
          </w:rPr>
          <w:fldChar w:fldCharType="separate"/>
        </w:r>
        <w:r>
          <w:rPr>
            <w:webHidden/>
          </w:rPr>
          <w:t>76</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39" w:history="1">
        <w:r w:rsidRPr="005B5F39">
          <w:rPr>
            <w:rStyle w:val="Hyperlink"/>
          </w:rPr>
          <w:t>Chapter II – 1603-1640 – Neile’s vision, Arminianism and beautification</w:t>
        </w:r>
        <w:r w:rsidRPr="005B5F39">
          <w:rPr>
            <w:webHidden/>
          </w:rPr>
          <w:tab/>
        </w:r>
        <w:r w:rsidRPr="005B5F39">
          <w:rPr>
            <w:webHidden/>
          </w:rPr>
          <w:fldChar w:fldCharType="begin"/>
        </w:r>
        <w:r w:rsidRPr="005B5F39">
          <w:rPr>
            <w:webHidden/>
          </w:rPr>
          <w:instrText xml:space="preserve"> PAGEREF _Toc84273639 \h </w:instrText>
        </w:r>
        <w:r w:rsidRPr="005B5F39">
          <w:rPr>
            <w:webHidden/>
          </w:rPr>
        </w:r>
        <w:r w:rsidRPr="005B5F39">
          <w:rPr>
            <w:webHidden/>
          </w:rPr>
          <w:fldChar w:fldCharType="separate"/>
        </w:r>
        <w:r>
          <w:rPr>
            <w:webHidden/>
          </w:rPr>
          <w:t>77</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40" w:history="1">
        <w:r w:rsidRPr="005B5F39">
          <w:rPr>
            <w:rStyle w:val="Hyperlink"/>
            <w:bCs/>
          </w:rPr>
          <w:t>1. Ecclesiastical rectories</w:t>
        </w:r>
        <w:r w:rsidRPr="005B5F39">
          <w:rPr>
            <w:webHidden/>
          </w:rPr>
          <w:tab/>
        </w:r>
        <w:r w:rsidRPr="005B5F39">
          <w:rPr>
            <w:webHidden/>
          </w:rPr>
          <w:fldChar w:fldCharType="begin"/>
        </w:r>
        <w:r w:rsidRPr="005B5F39">
          <w:rPr>
            <w:webHidden/>
          </w:rPr>
          <w:instrText xml:space="preserve"> PAGEREF _Toc84273640 \h </w:instrText>
        </w:r>
        <w:r w:rsidRPr="005B5F39">
          <w:rPr>
            <w:webHidden/>
          </w:rPr>
        </w:r>
        <w:r w:rsidRPr="005B5F39">
          <w:rPr>
            <w:webHidden/>
          </w:rPr>
          <w:fldChar w:fldCharType="separate"/>
        </w:r>
        <w:r>
          <w:rPr>
            <w:webHidden/>
          </w:rPr>
          <w:t>81</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41" w:history="1">
        <w:r w:rsidRPr="005B5F39">
          <w:rPr>
            <w:rStyle w:val="Hyperlink"/>
            <w:b/>
            <w:bCs/>
            <w:noProof/>
          </w:rPr>
          <w:t>1.1</w:t>
        </w:r>
        <w:r w:rsidRPr="005B5F39">
          <w:rPr>
            <w:rFonts w:asciiTheme="majorHAnsi" w:hAnsiTheme="majorHAnsi" w:cstheme="minorBidi"/>
            <w:b/>
            <w:noProof/>
            <w:lang w:val="en-GB" w:eastAsia="en-GB"/>
          </w:rPr>
          <w:tab/>
        </w:r>
        <w:r w:rsidRPr="005B5F39">
          <w:rPr>
            <w:rStyle w:val="Hyperlink"/>
            <w:b/>
            <w:bCs/>
            <w:noProof/>
          </w:rPr>
          <w:t>Ecclesiastical dignitaries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_Toc84273641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81</w:t>
        </w:r>
        <w:r w:rsidRPr="005B5F39">
          <w:rPr>
            <w:rFonts w:asciiTheme="majorHAnsi" w:hAnsiTheme="majorHAnsi"/>
            <w:b/>
            <w:noProof/>
            <w:webHidden/>
          </w:rPr>
          <w:fldChar w:fldCharType="end"/>
        </w:r>
      </w:hyperlink>
    </w:p>
    <w:p w:rsidR="00325B82" w:rsidRPr="005B5F39" w:rsidRDefault="00325B82" w:rsidP="00325B82">
      <w:pPr>
        <w:pStyle w:val="TOC3"/>
        <w:tabs>
          <w:tab w:val="right" w:leader="dot" w:pos="8494"/>
        </w:tabs>
        <w:rPr>
          <w:rFonts w:asciiTheme="majorHAnsi" w:hAnsiTheme="majorHAnsi" w:cstheme="minorBidi"/>
          <w:b/>
          <w:noProof/>
          <w:lang w:val="en-GB" w:eastAsia="en-GB"/>
        </w:rPr>
      </w:pPr>
      <w:hyperlink w:anchor="_Toc84273642" w:history="1">
        <w:r w:rsidRPr="005B5F39">
          <w:rPr>
            <w:rStyle w:val="Hyperlink"/>
            <w:b/>
            <w:bCs/>
            <w:noProof/>
          </w:rPr>
          <w:t>1.1.1 The archbishop of York</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_Toc84273642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83</w:t>
        </w:r>
        <w:r w:rsidRPr="005B5F39">
          <w:rPr>
            <w:rFonts w:asciiTheme="majorHAnsi" w:hAnsiTheme="majorHAnsi"/>
            <w:b/>
            <w:noProof/>
            <w:webHidden/>
          </w:rPr>
          <w:fldChar w:fldCharType="end"/>
        </w:r>
      </w:hyperlink>
    </w:p>
    <w:p w:rsidR="00325B82" w:rsidRPr="005B5F39" w:rsidRDefault="00325B82" w:rsidP="00325B82">
      <w:pPr>
        <w:pStyle w:val="TOC3"/>
        <w:tabs>
          <w:tab w:val="left" w:pos="1100"/>
          <w:tab w:val="right" w:leader="dot" w:pos="8494"/>
        </w:tabs>
        <w:rPr>
          <w:rFonts w:asciiTheme="majorHAnsi" w:hAnsiTheme="majorHAnsi" w:cstheme="minorBidi"/>
          <w:b/>
          <w:noProof/>
          <w:lang w:val="en-GB" w:eastAsia="en-GB"/>
        </w:rPr>
      </w:pPr>
      <w:hyperlink w:anchor="_Toc84273643" w:history="1">
        <w:r w:rsidRPr="005B5F39">
          <w:rPr>
            <w:rStyle w:val="Hyperlink"/>
            <w:b/>
            <w:bCs/>
            <w:noProof/>
          </w:rPr>
          <w:t>1.1.2</w:t>
        </w:r>
        <w:r w:rsidRPr="005B5F39">
          <w:rPr>
            <w:rFonts w:asciiTheme="majorHAnsi" w:hAnsiTheme="majorHAnsi" w:cstheme="minorBidi"/>
            <w:b/>
            <w:noProof/>
            <w:lang w:val="en-GB" w:eastAsia="en-GB"/>
          </w:rPr>
          <w:tab/>
        </w:r>
        <w:r w:rsidRPr="005B5F39">
          <w:rPr>
            <w:rStyle w:val="Hyperlink"/>
            <w:b/>
            <w:bCs/>
            <w:noProof/>
          </w:rPr>
          <w:t>Ecclesiastics other than archbishops of York</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_Toc84273643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83</w:t>
        </w:r>
        <w:r w:rsidRPr="005B5F39">
          <w:rPr>
            <w:rFonts w:asciiTheme="majorHAnsi" w:hAnsiTheme="majorHAnsi"/>
            <w:b/>
            <w:noProof/>
            <w:webHidden/>
          </w:rPr>
          <w:fldChar w:fldCharType="end"/>
        </w:r>
      </w:hyperlink>
    </w:p>
    <w:p w:rsidR="00325B82" w:rsidRPr="005B5F39" w:rsidRDefault="00325B82" w:rsidP="00325B82">
      <w:pPr>
        <w:pStyle w:val="TOC3"/>
        <w:tabs>
          <w:tab w:val="left" w:pos="1100"/>
          <w:tab w:val="right" w:leader="dot" w:pos="8494"/>
        </w:tabs>
        <w:rPr>
          <w:rFonts w:asciiTheme="majorHAnsi" w:hAnsiTheme="majorHAnsi" w:cstheme="minorBidi"/>
          <w:b/>
          <w:noProof/>
          <w:lang w:val="en-GB" w:eastAsia="en-GB"/>
        </w:rPr>
      </w:pPr>
      <w:hyperlink w:anchor="_Toc84273644" w:history="1">
        <w:r w:rsidRPr="005B5F39">
          <w:rPr>
            <w:rStyle w:val="Hyperlink"/>
            <w:b/>
            <w:bCs/>
            <w:noProof/>
          </w:rPr>
          <w:t>1.1.3</w:t>
        </w:r>
        <w:r w:rsidRPr="005B5F39">
          <w:rPr>
            <w:rFonts w:asciiTheme="majorHAnsi" w:hAnsiTheme="majorHAnsi" w:cstheme="minorBidi"/>
            <w:b/>
            <w:noProof/>
            <w:lang w:val="en-GB" w:eastAsia="en-GB"/>
          </w:rPr>
          <w:tab/>
        </w:r>
        <w:r w:rsidRPr="005B5F39">
          <w:rPr>
            <w:rStyle w:val="Hyperlink"/>
            <w:b/>
            <w:bCs/>
            <w:noProof/>
          </w:rPr>
          <w:t>The repairing covenant</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_Toc84273644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85</w:t>
        </w:r>
        <w:r w:rsidRPr="005B5F39">
          <w:rPr>
            <w:rFonts w:asciiTheme="majorHAnsi" w:hAnsiTheme="majorHAnsi"/>
            <w:b/>
            <w:noProof/>
            <w:webHidden/>
          </w:rPr>
          <w:fldChar w:fldCharType="end"/>
        </w:r>
      </w:hyperlink>
    </w:p>
    <w:p w:rsidR="00325B82" w:rsidRPr="005B5F39" w:rsidRDefault="00325B82" w:rsidP="00325B82">
      <w:pPr>
        <w:pStyle w:val="TOC3"/>
        <w:tabs>
          <w:tab w:val="left" w:pos="1100"/>
          <w:tab w:val="right" w:leader="dot" w:pos="8494"/>
        </w:tabs>
        <w:rPr>
          <w:rFonts w:asciiTheme="majorHAnsi" w:hAnsiTheme="majorHAnsi" w:cstheme="minorBidi"/>
          <w:b/>
          <w:noProof/>
          <w:lang w:val="en-GB" w:eastAsia="en-GB"/>
        </w:rPr>
      </w:pPr>
      <w:hyperlink w:anchor="_Toc84273645" w:history="1">
        <w:r w:rsidRPr="005B5F39">
          <w:rPr>
            <w:rStyle w:val="Hyperlink"/>
            <w:b/>
            <w:bCs/>
            <w:noProof/>
          </w:rPr>
          <w:t>1.1.4</w:t>
        </w:r>
        <w:r w:rsidRPr="005B5F39">
          <w:rPr>
            <w:rFonts w:asciiTheme="majorHAnsi" w:hAnsiTheme="majorHAnsi" w:cstheme="minorBidi"/>
            <w:b/>
            <w:noProof/>
            <w:lang w:val="en-GB" w:eastAsia="en-GB"/>
          </w:rPr>
          <w:tab/>
        </w:r>
        <w:r w:rsidRPr="005B5F39">
          <w:rPr>
            <w:rStyle w:val="Hyperlink"/>
            <w:b/>
            <w:bCs/>
            <w:noProof/>
          </w:rPr>
          <w:t>Wealth, status and local ties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_Toc84273645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89</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46" w:history="1">
        <w:r w:rsidRPr="005B5F39">
          <w:rPr>
            <w:rStyle w:val="Hyperlink"/>
            <w:b/>
            <w:bCs/>
            <w:noProof/>
          </w:rPr>
          <w:t>1.2</w:t>
        </w:r>
        <w:r w:rsidRPr="005B5F39">
          <w:rPr>
            <w:rFonts w:asciiTheme="majorHAnsi" w:hAnsiTheme="majorHAnsi" w:cstheme="minorBidi"/>
            <w:b/>
            <w:noProof/>
            <w:lang w:val="en-GB" w:eastAsia="en-GB"/>
          </w:rPr>
          <w:tab/>
        </w:r>
        <w:r w:rsidRPr="005B5F39">
          <w:rPr>
            <w:rStyle w:val="Hyperlink"/>
            <w:b/>
            <w:bCs/>
            <w:noProof/>
          </w:rPr>
          <w:t>Incumbents and lesser clergy</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_Toc84273646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93</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47" w:history="1">
        <w:r w:rsidRPr="005B5F39">
          <w:rPr>
            <w:rStyle w:val="Hyperlink"/>
            <w:b/>
            <w:bCs/>
            <w:noProof/>
          </w:rPr>
          <w:t>1.3</w:t>
        </w:r>
        <w:r w:rsidRPr="005B5F39">
          <w:rPr>
            <w:rFonts w:asciiTheme="majorHAnsi" w:hAnsiTheme="majorHAnsi" w:cstheme="minorBidi"/>
            <w:b/>
            <w:noProof/>
            <w:lang w:val="en-GB" w:eastAsia="en-GB"/>
          </w:rPr>
          <w:tab/>
        </w:r>
        <w:r w:rsidRPr="005B5F39">
          <w:rPr>
            <w:rStyle w:val="Hyperlink"/>
            <w:b/>
            <w:bCs/>
            <w:noProof/>
          </w:rPr>
          <w:t>Lay impropriators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_Toc84273647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95</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48" w:history="1">
        <w:r w:rsidRPr="005B5F39">
          <w:rPr>
            <w:rStyle w:val="Hyperlink"/>
            <w:bCs/>
          </w:rPr>
          <w:t>2. Ecclesiastical revival: chancels</w:t>
        </w:r>
        <w:r w:rsidRPr="005B5F39">
          <w:rPr>
            <w:webHidden/>
          </w:rPr>
          <w:tab/>
        </w:r>
        <w:r w:rsidRPr="005B5F39">
          <w:rPr>
            <w:webHidden/>
          </w:rPr>
          <w:fldChar w:fldCharType="begin"/>
        </w:r>
        <w:r w:rsidRPr="005B5F39">
          <w:rPr>
            <w:webHidden/>
          </w:rPr>
          <w:instrText xml:space="preserve"> PAGEREF _Toc84273648 \h </w:instrText>
        </w:r>
        <w:r w:rsidRPr="005B5F39">
          <w:rPr>
            <w:webHidden/>
          </w:rPr>
        </w:r>
        <w:r w:rsidRPr="005B5F39">
          <w:rPr>
            <w:webHidden/>
          </w:rPr>
          <w:fldChar w:fldCharType="separate"/>
        </w:r>
        <w:r>
          <w:rPr>
            <w:webHidden/>
          </w:rPr>
          <w:t>99</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49" w:history="1">
        <w:r w:rsidRPr="005B5F39">
          <w:rPr>
            <w:rStyle w:val="Hyperlink"/>
            <w:bCs/>
          </w:rPr>
          <w:t>3. Ecclesiastical revival: the body of the church</w:t>
        </w:r>
        <w:r w:rsidRPr="005B5F39">
          <w:rPr>
            <w:webHidden/>
          </w:rPr>
          <w:tab/>
        </w:r>
        <w:r w:rsidRPr="005B5F39">
          <w:rPr>
            <w:webHidden/>
          </w:rPr>
          <w:fldChar w:fldCharType="begin"/>
        </w:r>
        <w:r w:rsidRPr="005B5F39">
          <w:rPr>
            <w:webHidden/>
          </w:rPr>
          <w:instrText xml:space="preserve"> PAGEREF _Toc84273649 \h </w:instrText>
        </w:r>
        <w:r w:rsidRPr="005B5F39">
          <w:rPr>
            <w:webHidden/>
          </w:rPr>
        </w:r>
        <w:r w:rsidRPr="005B5F39">
          <w:rPr>
            <w:webHidden/>
          </w:rPr>
          <w:fldChar w:fldCharType="separate"/>
        </w:r>
        <w:r>
          <w:rPr>
            <w:webHidden/>
          </w:rPr>
          <w:t>109</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50" w:history="1">
        <w:r w:rsidRPr="005B5F39">
          <w:rPr>
            <w:rStyle w:val="Hyperlink"/>
            <w:bCs/>
          </w:rPr>
          <w:t>4. Conclusions</w:t>
        </w:r>
        <w:r w:rsidRPr="005B5F39">
          <w:rPr>
            <w:webHidden/>
          </w:rPr>
          <w:tab/>
        </w:r>
        <w:r w:rsidRPr="005B5F39">
          <w:rPr>
            <w:webHidden/>
          </w:rPr>
          <w:fldChar w:fldCharType="begin"/>
        </w:r>
        <w:r w:rsidRPr="005B5F39">
          <w:rPr>
            <w:webHidden/>
          </w:rPr>
          <w:instrText xml:space="preserve"> PAGEREF _Toc84273650 \h </w:instrText>
        </w:r>
        <w:r w:rsidRPr="005B5F39">
          <w:rPr>
            <w:webHidden/>
          </w:rPr>
        </w:r>
        <w:r w:rsidRPr="005B5F39">
          <w:rPr>
            <w:webHidden/>
          </w:rPr>
          <w:fldChar w:fldCharType="separate"/>
        </w:r>
        <w:r>
          <w:rPr>
            <w:webHidden/>
          </w:rPr>
          <w:t>122</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51" w:history="1">
        <w:r w:rsidRPr="005B5F39">
          <w:rPr>
            <w:rStyle w:val="Hyperlink"/>
          </w:rPr>
          <w:t>Chapter III – 1640-1660 – the Civil Wars and Commonwealth</w:t>
        </w:r>
        <w:r w:rsidRPr="005B5F39">
          <w:rPr>
            <w:webHidden/>
          </w:rPr>
          <w:tab/>
        </w:r>
        <w:r w:rsidRPr="005B5F39">
          <w:rPr>
            <w:webHidden/>
          </w:rPr>
          <w:fldChar w:fldCharType="begin"/>
        </w:r>
        <w:r w:rsidRPr="005B5F39">
          <w:rPr>
            <w:webHidden/>
          </w:rPr>
          <w:instrText xml:space="preserve"> PAGEREF _Toc84273651 \h </w:instrText>
        </w:r>
        <w:r w:rsidRPr="005B5F39">
          <w:rPr>
            <w:webHidden/>
          </w:rPr>
        </w:r>
        <w:r w:rsidRPr="005B5F39">
          <w:rPr>
            <w:webHidden/>
          </w:rPr>
          <w:fldChar w:fldCharType="separate"/>
        </w:r>
        <w:r>
          <w:rPr>
            <w:webHidden/>
          </w:rPr>
          <w:t>125</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52" w:history="1">
        <w:r w:rsidRPr="005B5F39">
          <w:rPr>
            <w:rStyle w:val="Hyperlink"/>
            <w:bCs/>
          </w:rPr>
          <w:t>1. War damage</w:t>
        </w:r>
        <w:r w:rsidRPr="005B5F39">
          <w:rPr>
            <w:webHidden/>
          </w:rPr>
          <w:tab/>
        </w:r>
        <w:r w:rsidRPr="005B5F39">
          <w:rPr>
            <w:webHidden/>
          </w:rPr>
          <w:fldChar w:fldCharType="begin"/>
        </w:r>
        <w:r w:rsidRPr="005B5F39">
          <w:rPr>
            <w:webHidden/>
          </w:rPr>
          <w:instrText xml:space="preserve"> PAGEREF _Toc84273652 \h </w:instrText>
        </w:r>
        <w:r w:rsidRPr="005B5F39">
          <w:rPr>
            <w:webHidden/>
          </w:rPr>
        </w:r>
        <w:r w:rsidRPr="005B5F39">
          <w:rPr>
            <w:webHidden/>
          </w:rPr>
          <w:fldChar w:fldCharType="separate"/>
        </w:r>
        <w:r>
          <w:rPr>
            <w:webHidden/>
          </w:rPr>
          <w:t>129</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53" w:history="1">
        <w:r w:rsidRPr="005B5F39">
          <w:rPr>
            <w:rStyle w:val="Hyperlink"/>
            <w:bCs/>
          </w:rPr>
          <w:t>2. Rectories</w:t>
        </w:r>
        <w:r w:rsidRPr="005B5F39">
          <w:rPr>
            <w:webHidden/>
          </w:rPr>
          <w:tab/>
        </w:r>
        <w:r w:rsidRPr="005B5F39">
          <w:rPr>
            <w:webHidden/>
          </w:rPr>
          <w:fldChar w:fldCharType="begin"/>
        </w:r>
        <w:r w:rsidRPr="005B5F39">
          <w:rPr>
            <w:webHidden/>
          </w:rPr>
          <w:instrText xml:space="preserve"> PAGEREF _Toc84273653 \h </w:instrText>
        </w:r>
        <w:r w:rsidRPr="005B5F39">
          <w:rPr>
            <w:webHidden/>
          </w:rPr>
        </w:r>
        <w:r w:rsidRPr="005B5F39">
          <w:rPr>
            <w:webHidden/>
          </w:rPr>
          <w:fldChar w:fldCharType="separate"/>
        </w:r>
        <w:r>
          <w:rPr>
            <w:webHidden/>
          </w:rPr>
          <w:t>132</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54" w:history="1">
        <w:r w:rsidRPr="005B5F39">
          <w:rPr>
            <w:rStyle w:val="Hyperlink"/>
            <w:b/>
            <w:bCs/>
            <w:noProof/>
          </w:rPr>
          <w:t>2.1</w:t>
        </w:r>
        <w:r w:rsidRPr="005B5F39">
          <w:rPr>
            <w:rFonts w:asciiTheme="majorHAnsi" w:hAnsiTheme="majorHAnsi" w:cstheme="minorBidi"/>
            <w:b/>
            <w:noProof/>
            <w:lang w:val="en-GB" w:eastAsia="en-GB"/>
          </w:rPr>
          <w:tab/>
        </w:r>
        <w:r w:rsidRPr="005B5F39">
          <w:rPr>
            <w:rStyle w:val="Hyperlink"/>
            <w:b/>
            <w:bCs/>
            <w:noProof/>
          </w:rPr>
          <w:t>Recusants and delinquents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_Toc84273654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134</w:t>
        </w:r>
        <w:r w:rsidRPr="005B5F39">
          <w:rPr>
            <w:rFonts w:asciiTheme="majorHAnsi" w:hAnsiTheme="majorHAnsi"/>
            <w:b/>
            <w:noProof/>
            <w:webHidden/>
          </w:rPr>
          <w:fldChar w:fldCharType="end"/>
        </w:r>
      </w:hyperlink>
    </w:p>
    <w:p w:rsidR="00325B82" w:rsidRPr="005B5F39" w:rsidRDefault="00325B82" w:rsidP="00325B82">
      <w:pPr>
        <w:pStyle w:val="TOC3"/>
        <w:tabs>
          <w:tab w:val="left" w:pos="1100"/>
          <w:tab w:val="right" w:leader="dot" w:pos="8494"/>
        </w:tabs>
        <w:rPr>
          <w:rFonts w:asciiTheme="majorHAnsi" w:hAnsiTheme="majorHAnsi" w:cstheme="minorBidi"/>
          <w:b/>
          <w:noProof/>
          <w:lang w:val="en-GB" w:eastAsia="en-GB"/>
        </w:rPr>
      </w:pPr>
      <w:hyperlink w:anchor="_Toc84273655" w:history="1">
        <w:r w:rsidRPr="005B5F39">
          <w:rPr>
            <w:rStyle w:val="Hyperlink"/>
            <w:b/>
            <w:bCs/>
            <w:noProof/>
          </w:rPr>
          <w:t>2.1.1</w:t>
        </w:r>
        <w:r w:rsidRPr="005B5F39">
          <w:rPr>
            <w:rFonts w:asciiTheme="majorHAnsi" w:hAnsiTheme="majorHAnsi" w:cstheme="minorBidi"/>
            <w:b/>
            <w:noProof/>
            <w:lang w:val="en-GB" w:eastAsia="en-GB"/>
          </w:rPr>
          <w:tab/>
        </w:r>
        <w:r w:rsidRPr="005B5F39">
          <w:rPr>
            <w:rStyle w:val="Hyperlink"/>
            <w:b/>
            <w:bCs/>
            <w:noProof/>
          </w:rPr>
          <w:t>Ecclesiastical rectories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_Toc84273655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134</w:t>
        </w:r>
        <w:r w:rsidRPr="005B5F39">
          <w:rPr>
            <w:rFonts w:asciiTheme="majorHAnsi" w:hAnsiTheme="majorHAnsi"/>
            <w:b/>
            <w:noProof/>
            <w:webHidden/>
          </w:rPr>
          <w:fldChar w:fldCharType="end"/>
        </w:r>
      </w:hyperlink>
    </w:p>
    <w:p w:rsidR="00325B82" w:rsidRPr="005B5F39" w:rsidRDefault="00325B82" w:rsidP="00325B82">
      <w:pPr>
        <w:pStyle w:val="TOC3"/>
        <w:tabs>
          <w:tab w:val="left" w:pos="1100"/>
          <w:tab w:val="right" w:leader="dot" w:pos="8494"/>
        </w:tabs>
        <w:rPr>
          <w:rFonts w:asciiTheme="majorHAnsi" w:hAnsiTheme="majorHAnsi" w:cstheme="minorBidi"/>
          <w:b/>
          <w:noProof/>
          <w:lang w:val="en-GB" w:eastAsia="en-GB"/>
        </w:rPr>
      </w:pPr>
      <w:hyperlink w:anchor="_Toc84273656" w:history="1">
        <w:r w:rsidRPr="005B5F39">
          <w:rPr>
            <w:rStyle w:val="Hyperlink"/>
            <w:b/>
            <w:bCs/>
            <w:noProof/>
          </w:rPr>
          <w:t>2.1.2</w:t>
        </w:r>
        <w:r w:rsidRPr="005B5F39">
          <w:rPr>
            <w:rFonts w:asciiTheme="majorHAnsi" w:hAnsiTheme="majorHAnsi" w:cstheme="minorBidi"/>
            <w:b/>
            <w:noProof/>
            <w:lang w:val="en-GB" w:eastAsia="en-GB"/>
          </w:rPr>
          <w:tab/>
        </w:r>
        <w:r w:rsidRPr="005B5F39">
          <w:rPr>
            <w:rStyle w:val="Hyperlink"/>
            <w:b/>
            <w:bCs/>
            <w:noProof/>
          </w:rPr>
          <w:t>Non-ecclesiastical rectories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_Toc84273656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136</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57" w:history="1">
        <w:r w:rsidRPr="005B5F39">
          <w:rPr>
            <w:rStyle w:val="Hyperlink"/>
            <w:b/>
            <w:bCs/>
            <w:noProof/>
          </w:rPr>
          <w:t>2.2</w:t>
        </w:r>
        <w:r w:rsidRPr="005B5F39">
          <w:rPr>
            <w:rFonts w:asciiTheme="majorHAnsi" w:hAnsiTheme="majorHAnsi" w:cstheme="minorBidi"/>
            <w:b/>
            <w:noProof/>
            <w:lang w:val="en-GB" w:eastAsia="en-GB"/>
          </w:rPr>
          <w:tab/>
        </w:r>
        <w:r w:rsidRPr="005B5F39">
          <w:rPr>
            <w:rStyle w:val="Hyperlink"/>
            <w:b/>
            <w:bCs/>
            <w:noProof/>
          </w:rPr>
          <w:t>Non-Catholic Royalists and parliamentarians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_Toc84273657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138</w:t>
        </w:r>
        <w:r w:rsidRPr="005B5F39">
          <w:rPr>
            <w:rFonts w:asciiTheme="majorHAnsi" w:hAnsiTheme="majorHAnsi"/>
            <w:b/>
            <w:noProof/>
            <w:webHidden/>
          </w:rPr>
          <w:fldChar w:fldCharType="end"/>
        </w:r>
      </w:hyperlink>
    </w:p>
    <w:p w:rsidR="00325B82" w:rsidRPr="005B5F39" w:rsidRDefault="00325B82" w:rsidP="00325B82">
      <w:pPr>
        <w:pStyle w:val="TOC3"/>
        <w:tabs>
          <w:tab w:val="left" w:pos="1100"/>
          <w:tab w:val="right" w:leader="dot" w:pos="8494"/>
        </w:tabs>
        <w:rPr>
          <w:rFonts w:asciiTheme="majorHAnsi" w:hAnsiTheme="majorHAnsi" w:cstheme="minorBidi"/>
          <w:b/>
          <w:noProof/>
          <w:lang w:val="en-GB" w:eastAsia="en-GB"/>
        </w:rPr>
      </w:pPr>
      <w:hyperlink w:anchor="_Toc84273658" w:history="1">
        <w:r w:rsidRPr="005B5F39">
          <w:rPr>
            <w:rStyle w:val="Hyperlink"/>
            <w:b/>
            <w:bCs/>
            <w:noProof/>
          </w:rPr>
          <w:t>2.2.1</w:t>
        </w:r>
        <w:r w:rsidRPr="005B5F39">
          <w:rPr>
            <w:rFonts w:asciiTheme="majorHAnsi" w:hAnsiTheme="majorHAnsi" w:cstheme="minorBidi"/>
            <w:b/>
            <w:noProof/>
            <w:lang w:val="en-GB" w:eastAsia="en-GB"/>
          </w:rPr>
          <w:tab/>
        </w:r>
        <w:r w:rsidRPr="005B5F39">
          <w:rPr>
            <w:rStyle w:val="Hyperlink"/>
            <w:b/>
            <w:noProof/>
          </w:rPr>
          <w:t>Politicians and lawyers in public service</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_Toc84273658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138</w:t>
        </w:r>
        <w:r w:rsidRPr="005B5F39">
          <w:rPr>
            <w:rFonts w:asciiTheme="majorHAnsi" w:hAnsiTheme="majorHAnsi"/>
            <w:b/>
            <w:noProof/>
            <w:webHidden/>
          </w:rPr>
          <w:fldChar w:fldCharType="end"/>
        </w:r>
      </w:hyperlink>
    </w:p>
    <w:p w:rsidR="00325B82" w:rsidRPr="005B5F39" w:rsidRDefault="00325B82" w:rsidP="00325B82">
      <w:pPr>
        <w:pStyle w:val="TOC3"/>
        <w:tabs>
          <w:tab w:val="left" w:pos="1320"/>
          <w:tab w:val="right" w:leader="dot" w:pos="8494"/>
        </w:tabs>
        <w:rPr>
          <w:rFonts w:asciiTheme="majorHAnsi" w:hAnsiTheme="majorHAnsi" w:cstheme="minorBidi"/>
          <w:b/>
          <w:noProof/>
          <w:lang w:val="en-GB" w:eastAsia="en-GB"/>
        </w:rPr>
      </w:pPr>
      <w:hyperlink w:anchor="_Toc84273659" w:history="1">
        <w:r w:rsidRPr="005B5F39">
          <w:rPr>
            <w:rStyle w:val="Hyperlink"/>
            <w:b/>
            <w:noProof/>
          </w:rPr>
          <w:t>2.2.2</w:t>
        </w:r>
        <w:r w:rsidRPr="005B5F39">
          <w:rPr>
            <w:rFonts w:asciiTheme="majorHAnsi" w:hAnsiTheme="majorHAnsi" w:cstheme="minorBidi"/>
            <w:b/>
            <w:noProof/>
            <w:lang w:val="en-GB" w:eastAsia="en-GB"/>
          </w:rPr>
          <w:tab/>
        </w:r>
        <w:r w:rsidRPr="005B5F39">
          <w:rPr>
            <w:rStyle w:val="Hyperlink"/>
            <w:b/>
            <w:noProof/>
          </w:rPr>
          <w:t>Other lay impropriators and minor clergy</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_Toc84273659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144</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60" w:history="1">
        <w:r w:rsidRPr="005B5F39">
          <w:rPr>
            <w:rStyle w:val="Hyperlink"/>
            <w:b/>
            <w:bCs/>
            <w:noProof/>
          </w:rPr>
          <w:t>2.3</w:t>
        </w:r>
        <w:r w:rsidRPr="005B5F39">
          <w:rPr>
            <w:rFonts w:asciiTheme="majorHAnsi" w:hAnsiTheme="majorHAnsi" w:cstheme="minorBidi"/>
            <w:b/>
            <w:noProof/>
            <w:lang w:val="en-GB" w:eastAsia="en-GB"/>
          </w:rPr>
          <w:tab/>
        </w:r>
        <w:r w:rsidRPr="005B5F39">
          <w:rPr>
            <w:rStyle w:val="Hyperlink"/>
            <w:b/>
            <w:bCs/>
            <w:noProof/>
          </w:rPr>
          <w:t>Value of rectories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_Toc84273660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148</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61" w:history="1">
        <w:r w:rsidRPr="005B5F39">
          <w:rPr>
            <w:rStyle w:val="Hyperlink"/>
            <w:bCs/>
          </w:rPr>
          <w:t>3. The body of the church</w:t>
        </w:r>
        <w:r w:rsidRPr="005B5F39">
          <w:rPr>
            <w:webHidden/>
          </w:rPr>
          <w:tab/>
        </w:r>
        <w:r w:rsidRPr="005B5F39">
          <w:rPr>
            <w:webHidden/>
          </w:rPr>
          <w:fldChar w:fldCharType="begin"/>
        </w:r>
        <w:r w:rsidRPr="005B5F39">
          <w:rPr>
            <w:webHidden/>
          </w:rPr>
          <w:instrText xml:space="preserve"> PAGEREF _Toc84273661 \h </w:instrText>
        </w:r>
        <w:r w:rsidRPr="005B5F39">
          <w:rPr>
            <w:webHidden/>
          </w:rPr>
        </w:r>
        <w:r w:rsidRPr="005B5F39">
          <w:rPr>
            <w:webHidden/>
          </w:rPr>
          <w:fldChar w:fldCharType="separate"/>
        </w:r>
        <w:r>
          <w:rPr>
            <w:webHidden/>
          </w:rPr>
          <w:t>152</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62" w:history="1">
        <w:r w:rsidRPr="005B5F39">
          <w:rPr>
            <w:rStyle w:val="Hyperlink"/>
            <w:b/>
            <w:bCs/>
            <w:noProof/>
          </w:rPr>
          <w:t>3.1</w:t>
        </w:r>
        <w:r w:rsidRPr="005B5F39">
          <w:rPr>
            <w:rFonts w:asciiTheme="majorHAnsi" w:hAnsiTheme="majorHAnsi" w:cstheme="minorBidi"/>
            <w:b/>
            <w:noProof/>
            <w:lang w:val="en-GB" w:eastAsia="en-GB"/>
          </w:rPr>
          <w:tab/>
        </w:r>
        <w:r w:rsidRPr="005B5F39">
          <w:rPr>
            <w:rStyle w:val="Hyperlink"/>
            <w:b/>
            <w:bCs/>
            <w:noProof/>
          </w:rPr>
          <w:t>Serious defects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_Toc84273662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153</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63" w:history="1">
        <w:r w:rsidRPr="005B5F39">
          <w:rPr>
            <w:rStyle w:val="Hyperlink"/>
            <w:b/>
            <w:bCs/>
            <w:noProof/>
          </w:rPr>
          <w:t>3.2</w:t>
        </w:r>
        <w:r w:rsidRPr="005B5F39">
          <w:rPr>
            <w:rFonts w:asciiTheme="majorHAnsi" w:hAnsiTheme="majorHAnsi" w:cstheme="minorBidi"/>
            <w:b/>
            <w:noProof/>
            <w:lang w:val="en-GB" w:eastAsia="en-GB"/>
          </w:rPr>
          <w:tab/>
        </w:r>
        <w:r w:rsidRPr="005B5F39">
          <w:rPr>
            <w:rStyle w:val="Hyperlink"/>
            <w:b/>
            <w:bCs/>
            <w:noProof/>
          </w:rPr>
          <w:t>Less serious and unspecified defects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_Toc84273663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159</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64" w:history="1">
        <w:r w:rsidRPr="005B5F39">
          <w:rPr>
            <w:rStyle w:val="Hyperlink"/>
            <w:b/>
            <w:bCs/>
            <w:noProof/>
          </w:rPr>
          <w:t>3.3</w:t>
        </w:r>
        <w:r w:rsidRPr="005B5F39">
          <w:rPr>
            <w:rFonts w:asciiTheme="majorHAnsi" w:hAnsiTheme="majorHAnsi" w:cstheme="minorBidi"/>
            <w:b/>
            <w:noProof/>
            <w:lang w:val="en-GB" w:eastAsia="en-GB"/>
          </w:rPr>
          <w:tab/>
        </w:r>
        <w:r w:rsidRPr="005B5F39">
          <w:rPr>
            <w:rStyle w:val="Hyperlink"/>
            <w:b/>
            <w:bCs/>
            <w:noProof/>
          </w:rPr>
          <w:t>Relatively minor defects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_Toc84273664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159</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65" w:history="1">
        <w:r w:rsidRPr="005B5F39">
          <w:rPr>
            <w:rStyle w:val="Hyperlink"/>
            <w:b/>
            <w:bCs/>
            <w:noProof/>
          </w:rPr>
          <w:t>3.4</w:t>
        </w:r>
        <w:r w:rsidRPr="005B5F39">
          <w:rPr>
            <w:rFonts w:asciiTheme="majorHAnsi" w:hAnsiTheme="majorHAnsi" w:cstheme="minorBidi"/>
            <w:b/>
            <w:noProof/>
            <w:lang w:val="en-GB" w:eastAsia="en-GB"/>
          </w:rPr>
          <w:tab/>
        </w:r>
        <w:r w:rsidRPr="005B5F39">
          <w:rPr>
            <w:rStyle w:val="Hyperlink"/>
            <w:b/>
            <w:bCs/>
            <w:noProof/>
          </w:rPr>
          <w:t>General maintenance</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_Toc84273665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160</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66" w:history="1">
        <w:r w:rsidRPr="005B5F39">
          <w:rPr>
            <w:rStyle w:val="Hyperlink"/>
            <w:b/>
            <w:bCs/>
            <w:noProof/>
          </w:rPr>
          <w:t>3.5</w:t>
        </w:r>
        <w:r w:rsidRPr="005B5F39">
          <w:rPr>
            <w:rFonts w:asciiTheme="majorHAnsi" w:hAnsiTheme="majorHAnsi" w:cstheme="minorBidi"/>
            <w:b/>
            <w:noProof/>
            <w:lang w:val="en-GB" w:eastAsia="en-GB"/>
          </w:rPr>
          <w:tab/>
        </w:r>
        <w:r w:rsidRPr="005B5F39">
          <w:rPr>
            <w:rStyle w:val="Hyperlink"/>
            <w:b/>
            <w:bCs/>
            <w:noProof/>
          </w:rPr>
          <w:t>Citations of wardens for concealing defects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_Toc84273666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161</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67" w:history="1">
        <w:r w:rsidRPr="005B5F39">
          <w:rPr>
            <w:rStyle w:val="Hyperlink"/>
            <w:b/>
            <w:bCs/>
            <w:noProof/>
          </w:rPr>
          <w:t>3.6</w:t>
        </w:r>
        <w:r w:rsidRPr="005B5F39">
          <w:rPr>
            <w:rFonts w:asciiTheme="majorHAnsi" w:hAnsiTheme="majorHAnsi" w:cstheme="minorBidi"/>
            <w:b/>
            <w:noProof/>
            <w:lang w:val="en-GB" w:eastAsia="en-GB"/>
          </w:rPr>
          <w:tab/>
        </w:r>
        <w:r w:rsidRPr="005B5F39">
          <w:rPr>
            <w:rStyle w:val="Hyperlink"/>
            <w:b/>
            <w:bCs/>
            <w:noProof/>
          </w:rPr>
          <w:t>Causes of neglect of body of church 1640-1660</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_Toc84273667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163</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68" w:history="1">
        <w:r w:rsidRPr="005B5F39">
          <w:rPr>
            <w:rStyle w:val="Hyperlink"/>
            <w:bCs/>
          </w:rPr>
          <w:t>4. Equipment for Protestant worship</w:t>
        </w:r>
        <w:r w:rsidRPr="005B5F39">
          <w:rPr>
            <w:webHidden/>
          </w:rPr>
          <w:tab/>
        </w:r>
        <w:r w:rsidRPr="005B5F39">
          <w:rPr>
            <w:webHidden/>
          </w:rPr>
          <w:fldChar w:fldCharType="begin"/>
        </w:r>
        <w:r w:rsidRPr="005B5F39">
          <w:rPr>
            <w:webHidden/>
          </w:rPr>
          <w:instrText xml:space="preserve"> PAGEREF _Toc84273668 \h </w:instrText>
        </w:r>
        <w:r w:rsidRPr="005B5F39">
          <w:rPr>
            <w:webHidden/>
          </w:rPr>
        </w:r>
        <w:r w:rsidRPr="005B5F39">
          <w:rPr>
            <w:webHidden/>
          </w:rPr>
          <w:fldChar w:fldCharType="separate"/>
        </w:r>
        <w:r>
          <w:rPr>
            <w:webHidden/>
          </w:rPr>
          <w:t>164</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69" w:history="1">
        <w:r w:rsidRPr="005B5F39">
          <w:rPr>
            <w:rStyle w:val="Hyperlink"/>
            <w:b/>
            <w:bCs/>
            <w:noProof/>
          </w:rPr>
          <w:t>4.1</w:t>
        </w:r>
        <w:r w:rsidRPr="005B5F39">
          <w:rPr>
            <w:rFonts w:asciiTheme="majorHAnsi" w:hAnsiTheme="majorHAnsi" w:cstheme="minorBidi"/>
            <w:b/>
            <w:noProof/>
            <w:lang w:val="en-GB" w:eastAsia="en-GB"/>
          </w:rPr>
          <w:tab/>
        </w:r>
        <w:r w:rsidRPr="005B5F39">
          <w:rPr>
            <w:rStyle w:val="Hyperlink"/>
            <w:b/>
            <w:bCs/>
            <w:noProof/>
          </w:rPr>
          <w:t>Terriers and copies of registers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_Toc84273669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164</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70" w:history="1">
        <w:r w:rsidRPr="005B5F39">
          <w:rPr>
            <w:rStyle w:val="Hyperlink"/>
            <w:b/>
            <w:bCs/>
            <w:noProof/>
          </w:rPr>
          <w:t>4.2</w:t>
        </w:r>
        <w:r w:rsidRPr="005B5F39">
          <w:rPr>
            <w:rFonts w:asciiTheme="majorHAnsi" w:hAnsiTheme="majorHAnsi" w:cstheme="minorBidi"/>
            <w:b/>
            <w:noProof/>
            <w:lang w:val="en-GB" w:eastAsia="en-GB"/>
          </w:rPr>
          <w:tab/>
        </w:r>
        <w:r w:rsidRPr="005B5F39">
          <w:rPr>
            <w:rStyle w:val="Hyperlink"/>
            <w:b/>
            <w:bCs/>
            <w:noProof/>
          </w:rPr>
          <w:t>Books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_Toc84273670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165</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71" w:history="1">
        <w:r w:rsidRPr="005B5F39">
          <w:rPr>
            <w:rStyle w:val="Hyperlink"/>
            <w:b/>
            <w:bCs/>
            <w:noProof/>
          </w:rPr>
          <w:t>4.3</w:t>
        </w:r>
        <w:r w:rsidRPr="005B5F39">
          <w:rPr>
            <w:rFonts w:asciiTheme="majorHAnsi" w:hAnsiTheme="majorHAnsi" w:cstheme="minorBidi"/>
            <w:b/>
            <w:noProof/>
            <w:lang w:val="en-GB" w:eastAsia="en-GB"/>
          </w:rPr>
          <w:tab/>
        </w:r>
        <w:r w:rsidRPr="005B5F39">
          <w:rPr>
            <w:rStyle w:val="Hyperlink"/>
            <w:b/>
            <w:bCs/>
            <w:noProof/>
          </w:rPr>
          <w:t>Surplices and church furnishings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_Toc84273671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166</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72" w:history="1">
        <w:r w:rsidRPr="005B5F39">
          <w:rPr>
            <w:rStyle w:val="Hyperlink"/>
            <w:b/>
            <w:bCs/>
            <w:noProof/>
          </w:rPr>
          <w:t>4.4</w:t>
        </w:r>
        <w:r w:rsidRPr="005B5F39">
          <w:rPr>
            <w:rFonts w:asciiTheme="majorHAnsi" w:hAnsiTheme="majorHAnsi" w:cstheme="minorBidi"/>
            <w:b/>
            <w:noProof/>
            <w:lang w:val="en-GB" w:eastAsia="en-GB"/>
          </w:rPr>
          <w:tab/>
        </w:r>
        <w:r w:rsidRPr="005B5F39">
          <w:rPr>
            <w:rStyle w:val="Hyperlink"/>
            <w:b/>
            <w:bCs/>
            <w:noProof/>
          </w:rPr>
          <w:t>Bells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_Toc84273672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166</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73" w:history="1">
        <w:r w:rsidRPr="005B5F39">
          <w:rPr>
            <w:rStyle w:val="Hyperlink"/>
            <w:b/>
            <w:bCs/>
            <w:noProof/>
          </w:rPr>
          <w:t>4.5</w:t>
        </w:r>
        <w:r w:rsidRPr="005B5F39">
          <w:rPr>
            <w:rFonts w:asciiTheme="majorHAnsi" w:hAnsiTheme="majorHAnsi" w:cstheme="minorBidi"/>
            <w:b/>
            <w:noProof/>
            <w:lang w:val="en-GB" w:eastAsia="en-GB"/>
          </w:rPr>
          <w:tab/>
        </w:r>
        <w:r w:rsidRPr="005B5F39">
          <w:rPr>
            <w:rStyle w:val="Hyperlink"/>
            <w:b/>
            <w:bCs/>
            <w:noProof/>
          </w:rPr>
          <w:t>Plate</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_Toc84273673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168</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74" w:history="1">
        <w:r w:rsidRPr="005B5F39">
          <w:rPr>
            <w:rStyle w:val="Hyperlink"/>
            <w:b/>
            <w:bCs/>
            <w:noProof/>
          </w:rPr>
          <w:t>4.6</w:t>
        </w:r>
        <w:r w:rsidRPr="005B5F39">
          <w:rPr>
            <w:rFonts w:asciiTheme="majorHAnsi" w:hAnsiTheme="majorHAnsi" w:cstheme="minorBidi"/>
            <w:b/>
            <w:noProof/>
            <w:lang w:val="en-GB" w:eastAsia="en-GB"/>
          </w:rPr>
          <w:tab/>
        </w:r>
        <w:r w:rsidRPr="005B5F39">
          <w:rPr>
            <w:rStyle w:val="Hyperlink"/>
            <w:b/>
            <w:bCs/>
            <w:noProof/>
          </w:rPr>
          <w:t>Not cited in 1660s for fabric defects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_Toc84273674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170</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75" w:history="1">
        <w:r w:rsidRPr="005B5F39">
          <w:rPr>
            <w:rStyle w:val="Hyperlink"/>
            <w:bCs/>
          </w:rPr>
          <w:t>5. Dissent and Quakerism</w:t>
        </w:r>
        <w:r w:rsidRPr="005B5F39">
          <w:rPr>
            <w:webHidden/>
          </w:rPr>
          <w:tab/>
        </w:r>
        <w:r w:rsidRPr="005B5F39">
          <w:rPr>
            <w:webHidden/>
          </w:rPr>
          <w:fldChar w:fldCharType="begin"/>
        </w:r>
        <w:r w:rsidRPr="005B5F39">
          <w:rPr>
            <w:webHidden/>
          </w:rPr>
          <w:instrText xml:space="preserve"> PAGEREF _Toc84273675 \h </w:instrText>
        </w:r>
        <w:r w:rsidRPr="005B5F39">
          <w:rPr>
            <w:webHidden/>
          </w:rPr>
        </w:r>
        <w:r w:rsidRPr="005B5F39">
          <w:rPr>
            <w:webHidden/>
          </w:rPr>
          <w:fldChar w:fldCharType="separate"/>
        </w:r>
        <w:r>
          <w:rPr>
            <w:webHidden/>
          </w:rPr>
          <w:t>170</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76" w:history="1">
        <w:r w:rsidRPr="005B5F39">
          <w:rPr>
            <w:rStyle w:val="Hyperlink"/>
            <w:bCs/>
          </w:rPr>
          <w:t>6. Conclusion</w:t>
        </w:r>
        <w:r w:rsidRPr="005B5F39">
          <w:rPr>
            <w:webHidden/>
          </w:rPr>
          <w:tab/>
        </w:r>
        <w:r w:rsidRPr="005B5F39">
          <w:rPr>
            <w:webHidden/>
          </w:rPr>
          <w:fldChar w:fldCharType="begin"/>
        </w:r>
        <w:r w:rsidRPr="005B5F39">
          <w:rPr>
            <w:webHidden/>
          </w:rPr>
          <w:instrText xml:space="preserve"> PAGEREF _Toc84273676 \h </w:instrText>
        </w:r>
        <w:r w:rsidRPr="005B5F39">
          <w:rPr>
            <w:webHidden/>
          </w:rPr>
        </w:r>
        <w:r w:rsidRPr="005B5F39">
          <w:rPr>
            <w:webHidden/>
          </w:rPr>
          <w:fldChar w:fldCharType="separate"/>
        </w:r>
        <w:r>
          <w:rPr>
            <w:webHidden/>
          </w:rPr>
          <w:t>174</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77" w:history="1">
        <w:r w:rsidRPr="005B5F39">
          <w:rPr>
            <w:rStyle w:val="Hyperlink"/>
          </w:rPr>
          <w:t>Chapter IV – 1660-1690 –Restoring the Church</w:t>
        </w:r>
        <w:r w:rsidRPr="005B5F39">
          <w:rPr>
            <w:webHidden/>
          </w:rPr>
          <w:tab/>
        </w:r>
        <w:r w:rsidRPr="005B5F39">
          <w:rPr>
            <w:webHidden/>
          </w:rPr>
          <w:fldChar w:fldCharType="begin"/>
        </w:r>
        <w:r w:rsidRPr="005B5F39">
          <w:rPr>
            <w:webHidden/>
          </w:rPr>
          <w:instrText xml:space="preserve"> PAGEREF _Toc84273677 \h </w:instrText>
        </w:r>
        <w:r w:rsidRPr="005B5F39">
          <w:rPr>
            <w:webHidden/>
          </w:rPr>
        </w:r>
        <w:r w:rsidRPr="005B5F39">
          <w:rPr>
            <w:webHidden/>
          </w:rPr>
          <w:fldChar w:fldCharType="separate"/>
        </w:r>
        <w:r>
          <w:rPr>
            <w:webHidden/>
          </w:rPr>
          <w:t>175</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78" w:history="1">
        <w:r w:rsidRPr="005B5F39">
          <w:rPr>
            <w:rStyle w:val="Hyperlink"/>
            <w:bCs/>
          </w:rPr>
          <w:t>1. Case studies</w:t>
        </w:r>
        <w:r w:rsidRPr="005B5F39">
          <w:rPr>
            <w:webHidden/>
          </w:rPr>
          <w:tab/>
        </w:r>
        <w:r w:rsidRPr="005B5F39">
          <w:rPr>
            <w:webHidden/>
          </w:rPr>
          <w:fldChar w:fldCharType="begin"/>
        </w:r>
        <w:r w:rsidRPr="005B5F39">
          <w:rPr>
            <w:webHidden/>
          </w:rPr>
          <w:instrText xml:space="preserve"> PAGEREF _Toc84273678 \h </w:instrText>
        </w:r>
        <w:r w:rsidRPr="005B5F39">
          <w:rPr>
            <w:webHidden/>
          </w:rPr>
        </w:r>
        <w:r w:rsidRPr="005B5F39">
          <w:rPr>
            <w:webHidden/>
          </w:rPr>
          <w:fldChar w:fldCharType="separate"/>
        </w:r>
        <w:r>
          <w:rPr>
            <w:webHidden/>
          </w:rPr>
          <w:t>177</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79" w:history="1">
        <w:r w:rsidRPr="005B5F39">
          <w:rPr>
            <w:rStyle w:val="Hyperlink"/>
            <w:bCs/>
          </w:rPr>
          <w:t>2. Chancels</w:t>
        </w:r>
        <w:r w:rsidRPr="005B5F39">
          <w:rPr>
            <w:webHidden/>
          </w:rPr>
          <w:tab/>
        </w:r>
        <w:r w:rsidRPr="005B5F39">
          <w:rPr>
            <w:webHidden/>
          </w:rPr>
          <w:fldChar w:fldCharType="begin"/>
        </w:r>
        <w:r w:rsidRPr="005B5F39">
          <w:rPr>
            <w:webHidden/>
          </w:rPr>
          <w:instrText xml:space="preserve"> PAGEREF _Toc84273679 \h </w:instrText>
        </w:r>
        <w:r w:rsidRPr="005B5F39">
          <w:rPr>
            <w:webHidden/>
          </w:rPr>
        </w:r>
        <w:r w:rsidRPr="005B5F39">
          <w:rPr>
            <w:webHidden/>
          </w:rPr>
          <w:fldChar w:fldCharType="separate"/>
        </w:r>
        <w:r>
          <w:rPr>
            <w:webHidden/>
          </w:rPr>
          <w:t>189</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80" w:history="1">
        <w:r w:rsidRPr="005B5F39">
          <w:rPr>
            <w:rStyle w:val="Hyperlink"/>
            <w:b/>
            <w:bCs/>
            <w:noProof/>
          </w:rPr>
          <w:t>2.1</w:t>
        </w:r>
        <w:r w:rsidRPr="005B5F39">
          <w:rPr>
            <w:rFonts w:asciiTheme="majorHAnsi" w:hAnsiTheme="majorHAnsi" w:cstheme="minorBidi"/>
            <w:b/>
            <w:noProof/>
            <w:lang w:val="en-GB" w:eastAsia="en-GB"/>
          </w:rPr>
          <w:tab/>
        </w:r>
        <w:r w:rsidRPr="005B5F39">
          <w:rPr>
            <w:rStyle w:val="Hyperlink"/>
            <w:b/>
            <w:bCs/>
            <w:noProof/>
          </w:rPr>
          <w:t>Valuable rectories with dilapidated chancels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_Toc84273680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191</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81" w:history="1">
        <w:r w:rsidRPr="005B5F39">
          <w:rPr>
            <w:rStyle w:val="Hyperlink"/>
            <w:b/>
            <w:bCs/>
            <w:noProof/>
          </w:rPr>
          <w:t>2.2</w:t>
        </w:r>
        <w:r w:rsidRPr="005B5F39">
          <w:rPr>
            <w:rFonts w:asciiTheme="majorHAnsi" w:hAnsiTheme="majorHAnsi" w:cstheme="minorBidi"/>
            <w:b/>
            <w:noProof/>
            <w:lang w:val="en-GB" w:eastAsia="en-GB"/>
          </w:rPr>
          <w:tab/>
        </w:r>
        <w:r w:rsidRPr="005B5F39">
          <w:rPr>
            <w:rStyle w:val="Hyperlink"/>
            <w:b/>
            <w:bCs/>
            <w:noProof/>
          </w:rPr>
          <w:t>Increased multiple ownership</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_Toc84273681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198</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82" w:history="1">
        <w:r w:rsidRPr="005B5F39">
          <w:rPr>
            <w:rStyle w:val="Hyperlink"/>
            <w:b/>
            <w:bCs/>
            <w:noProof/>
          </w:rPr>
          <w:t>2.3</w:t>
        </w:r>
        <w:r w:rsidRPr="005B5F39">
          <w:rPr>
            <w:rFonts w:asciiTheme="majorHAnsi" w:hAnsiTheme="majorHAnsi" w:cstheme="minorBidi"/>
            <w:b/>
            <w:noProof/>
            <w:lang w:val="en-GB" w:eastAsia="en-GB"/>
          </w:rPr>
          <w:tab/>
        </w:r>
        <w:r w:rsidRPr="005B5F39">
          <w:rPr>
            <w:rStyle w:val="Hyperlink"/>
            <w:b/>
            <w:bCs/>
            <w:noProof/>
          </w:rPr>
          <w:t>Changes in owners’ attitude to chancel repair</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_Toc84273682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199</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83" w:history="1">
        <w:r w:rsidRPr="005B5F39">
          <w:rPr>
            <w:rStyle w:val="Hyperlink"/>
            <w:bCs/>
          </w:rPr>
          <w:t>3. The body of the church</w:t>
        </w:r>
        <w:r w:rsidRPr="005B5F39">
          <w:rPr>
            <w:webHidden/>
          </w:rPr>
          <w:tab/>
        </w:r>
        <w:r w:rsidRPr="005B5F39">
          <w:rPr>
            <w:webHidden/>
          </w:rPr>
          <w:fldChar w:fldCharType="begin"/>
        </w:r>
        <w:r w:rsidRPr="005B5F39">
          <w:rPr>
            <w:webHidden/>
          </w:rPr>
          <w:instrText xml:space="preserve"> PAGEREF _Toc84273683 \h </w:instrText>
        </w:r>
        <w:r w:rsidRPr="005B5F39">
          <w:rPr>
            <w:webHidden/>
          </w:rPr>
        </w:r>
        <w:r w:rsidRPr="005B5F39">
          <w:rPr>
            <w:webHidden/>
          </w:rPr>
          <w:fldChar w:fldCharType="separate"/>
        </w:r>
        <w:r>
          <w:rPr>
            <w:webHidden/>
          </w:rPr>
          <w:t>202</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84" w:history="1">
        <w:r w:rsidRPr="005B5F39">
          <w:rPr>
            <w:rStyle w:val="Hyperlink"/>
            <w:b/>
            <w:bCs/>
            <w:noProof/>
          </w:rPr>
          <w:t>3.1</w:t>
        </w:r>
        <w:r w:rsidRPr="005B5F39">
          <w:rPr>
            <w:rFonts w:asciiTheme="majorHAnsi" w:hAnsiTheme="majorHAnsi" w:cstheme="minorBidi"/>
            <w:b/>
            <w:noProof/>
            <w:lang w:val="en-GB" w:eastAsia="en-GB"/>
          </w:rPr>
          <w:tab/>
        </w:r>
        <w:r w:rsidRPr="005B5F39">
          <w:rPr>
            <w:rStyle w:val="Hyperlink"/>
            <w:b/>
            <w:bCs/>
            <w:noProof/>
          </w:rPr>
          <w:t>Serious defects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_Toc84273684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202</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85" w:history="1">
        <w:r w:rsidRPr="005B5F39">
          <w:rPr>
            <w:rStyle w:val="Hyperlink"/>
            <w:b/>
            <w:bCs/>
            <w:noProof/>
          </w:rPr>
          <w:t>3.2</w:t>
        </w:r>
        <w:r w:rsidRPr="005B5F39">
          <w:rPr>
            <w:rFonts w:asciiTheme="majorHAnsi" w:hAnsiTheme="majorHAnsi" w:cstheme="minorBidi"/>
            <w:b/>
            <w:noProof/>
            <w:lang w:val="en-GB" w:eastAsia="en-GB"/>
          </w:rPr>
          <w:tab/>
        </w:r>
        <w:r w:rsidRPr="005B5F39">
          <w:rPr>
            <w:rStyle w:val="Hyperlink"/>
            <w:b/>
            <w:bCs/>
            <w:noProof/>
          </w:rPr>
          <w:t>Less serious and unspecified defects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_Toc84273685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206</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86" w:history="1">
        <w:r w:rsidRPr="005B5F39">
          <w:rPr>
            <w:rStyle w:val="Hyperlink"/>
            <w:b/>
            <w:bCs/>
            <w:noProof/>
          </w:rPr>
          <w:t>3.3</w:t>
        </w:r>
        <w:r w:rsidRPr="005B5F39">
          <w:rPr>
            <w:rFonts w:asciiTheme="majorHAnsi" w:hAnsiTheme="majorHAnsi" w:cstheme="minorBidi"/>
            <w:b/>
            <w:noProof/>
            <w:lang w:val="en-GB" w:eastAsia="en-GB"/>
          </w:rPr>
          <w:tab/>
        </w:r>
        <w:r w:rsidRPr="005B5F39">
          <w:rPr>
            <w:rStyle w:val="Hyperlink"/>
            <w:b/>
            <w:bCs/>
            <w:noProof/>
          </w:rPr>
          <w:t>Relatively minor defects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_Toc84273686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207</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87" w:history="1">
        <w:r w:rsidRPr="005B5F39">
          <w:rPr>
            <w:rStyle w:val="Hyperlink"/>
            <w:b/>
            <w:bCs/>
            <w:noProof/>
          </w:rPr>
          <w:t>3.4</w:t>
        </w:r>
        <w:r w:rsidRPr="005B5F39">
          <w:rPr>
            <w:rFonts w:asciiTheme="majorHAnsi" w:hAnsiTheme="majorHAnsi" w:cstheme="minorBidi"/>
            <w:b/>
            <w:noProof/>
            <w:lang w:val="en-GB" w:eastAsia="en-GB"/>
          </w:rPr>
          <w:tab/>
        </w:r>
        <w:r w:rsidRPr="005B5F39">
          <w:rPr>
            <w:rStyle w:val="Hyperlink"/>
            <w:b/>
            <w:bCs/>
            <w:noProof/>
          </w:rPr>
          <w:t>General maintenance</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_Toc84273687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208</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88" w:history="1">
        <w:r w:rsidRPr="005B5F39">
          <w:rPr>
            <w:rStyle w:val="Hyperlink"/>
            <w:bCs/>
          </w:rPr>
          <w:t>4. The failure of the visitation court system to protect church fabric</w:t>
        </w:r>
        <w:r w:rsidRPr="005B5F39">
          <w:rPr>
            <w:webHidden/>
          </w:rPr>
          <w:tab/>
        </w:r>
        <w:r w:rsidRPr="005B5F39">
          <w:rPr>
            <w:webHidden/>
          </w:rPr>
          <w:fldChar w:fldCharType="begin"/>
        </w:r>
        <w:r w:rsidRPr="005B5F39">
          <w:rPr>
            <w:webHidden/>
          </w:rPr>
          <w:instrText xml:space="preserve"> PAGEREF _Toc84273688 \h </w:instrText>
        </w:r>
        <w:r w:rsidRPr="005B5F39">
          <w:rPr>
            <w:webHidden/>
          </w:rPr>
        </w:r>
        <w:r w:rsidRPr="005B5F39">
          <w:rPr>
            <w:webHidden/>
          </w:rPr>
          <w:fldChar w:fldCharType="separate"/>
        </w:r>
        <w:r>
          <w:rPr>
            <w:webHidden/>
          </w:rPr>
          <w:t>210</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89" w:history="1">
        <w:r w:rsidRPr="005B5F39">
          <w:rPr>
            <w:rStyle w:val="Hyperlink"/>
            <w:bCs/>
          </w:rPr>
          <w:t>5. The plight and rôle of the clergy</w:t>
        </w:r>
        <w:r w:rsidRPr="005B5F39">
          <w:rPr>
            <w:webHidden/>
          </w:rPr>
          <w:tab/>
        </w:r>
        <w:r w:rsidRPr="005B5F39">
          <w:rPr>
            <w:webHidden/>
          </w:rPr>
          <w:fldChar w:fldCharType="begin"/>
        </w:r>
        <w:r w:rsidRPr="005B5F39">
          <w:rPr>
            <w:webHidden/>
          </w:rPr>
          <w:instrText xml:space="preserve"> PAGEREF _Toc84273689 \h </w:instrText>
        </w:r>
        <w:r w:rsidRPr="005B5F39">
          <w:rPr>
            <w:webHidden/>
          </w:rPr>
        </w:r>
        <w:r w:rsidRPr="005B5F39">
          <w:rPr>
            <w:webHidden/>
          </w:rPr>
          <w:fldChar w:fldCharType="separate"/>
        </w:r>
        <w:r>
          <w:rPr>
            <w:webHidden/>
          </w:rPr>
          <w:t>214</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90" w:history="1">
        <w:r w:rsidRPr="005B5F39">
          <w:rPr>
            <w:rStyle w:val="Hyperlink"/>
            <w:bCs/>
          </w:rPr>
          <w:t>6. Poverty</w:t>
        </w:r>
        <w:r w:rsidRPr="005B5F39">
          <w:rPr>
            <w:webHidden/>
          </w:rPr>
          <w:tab/>
        </w:r>
        <w:r w:rsidRPr="005B5F39">
          <w:rPr>
            <w:webHidden/>
          </w:rPr>
          <w:fldChar w:fldCharType="begin"/>
        </w:r>
        <w:r w:rsidRPr="005B5F39">
          <w:rPr>
            <w:webHidden/>
          </w:rPr>
          <w:instrText xml:space="preserve"> PAGEREF _Toc84273690 \h </w:instrText>
        </w:r>
        <w:r w:rsidRPr="005B5F39">
          <w:rPr>
            <w:webHidden/>
          </w:rPr>
        </w:r>
        <w:r w:rsidRPr="005B5F39">
          <w:rPr>
            <w:webHidden/>
          </w:rPr>
          <w:fldChar w:fldCharType="separate"/>
        </w:r>
        <w:r>
          <w:rPr>
            <w:webHidden/>
          </w:rPr>
          <w:t>218</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91" w:history="1">
        <w:r w:rsidRPr="005B5F39">
          <w:rPr>
            <w:rStyle w:val="Hyperlink"/>
            <w:bCs/>
          </w:rPr>
          <w:t>7. Dissent</w:t>
        </w:r>
        <w:r w:rsidRPr="005B5F39">
          <w:rPr>
            <w:webHidden/>
          </w:rPr>
          <w:tab/>
        </w:r>
        <w:r w:rsidRPr="005B5F39">
          <w:rPr>
            <w:webHidden/>
          </w:rPr>
          <w:fldChar w:fldCharType="begin"/>
        </w:r>
        <w:r w:rsidRPr="005B5F39">
          <w:rPr>
            <w:webHidden/>
          </w:rPr>
          <w:instrText xml:space="preserve"> PAGEREF _Toc84273691 \h </w:instrText>
        </w:r>
        <w:r w:rsidRPr="005B5F39">
          <w:rPr>
            <w:webHidden/>
          </w:rPr>
        </w:r>
        <w:r w:rsidRPr="005B5F39">
          <w:rPr>
            <w:webHidden/>
          </w:rPr>
          <w:fldChar w:fldCharType="separate"/>
        </w:r>
        <w:r>
          <w:rPr>
            <w:webHidden/>
          </w:rPr>
          <w:t>228</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92" w:history="1">
        <w:r w:rsidRPr="005B5F39">
          <w:rPr>
            <w:rStyle w:val="Hyperlink"/>
            <w:bCs/>
          </w:rPr>
          <w:t>8. Conclusion</w:t>
        </w:r>
        <w:r w:rsidRPr="005B5F39">
          <w:rPr>
            <w:webHidden/>
          </w:rPr>
          <w:tab/>
        </w:r>
        <w:r w:rsidRPr="005B5F39">
          <w:rPr>
            <w:webHidden/>
          </w:rPr>
          <w:fldChar w:fldCharType="begin"/>
        </w:r>
        <w:r w:rsidRPr="005B5F39">
          <w:rPr>
            <w:webHidden/>
          </w:rPr>
          <w:instrText xml:space="preserve"> PAGEREF _Toc84273692 \h </w:instrText>
        </w:r>
        <w:r w:rsidRPr="005B5F39">
          <w:rPr>
            <w:webHidden/>
          </w:rPr>
        </w:r>
        <w:r w:rsidRPr="005B5F39">
          <w:rPr>
            <w:webHidden/>
          </w:rPr>
          <w:fldChar w:fldCharType="separate"/>
        </w:r>
        <w:r>
          <w:rPr>
            <w:webHidden/>
          </w:rPr>
          <w:t>230</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93" w:history="1">
        <w:r>
          <w:rPr>
            <w:rStyle w:val="Hyperlink"/>
          </w:rPr>
          <w:t>Chapter</w:t>
        </w:r>
        <w:r w:rsidRPr="005B5F39">
          <w:rPr>
            <w:rStyle w:val="Hyperlink"/>
          </w:rPr>
          <w:t xml:space="preserve"> V – 1690-1730 – Church fabric in an age of Protestant religious pluralism</w:t>
        </w:r>
        <w:r w:rsidRPr="005B5F39">
          <w:rPr>
            <w:webHidden/>
          </w:rPr>
          <w:tab/>
        </w:r>
        <w:r w:rsidRPr="005B5F39">
          <w:rPr>
            <w:webHidden/>
          </w:rPr>
          <w:fldChar w:fldCharType="begin"/>
        </w:r>
        <w:r w:rsidRPr="005B5F39">
          <w:rPr>
            <w:webHidden/>
          </w:rPr>
          <w:instrText xml:space="preserve"> PAGEREF _Toc84273693 \h </w:instrText>
        </w:r>
        <w:r w:rsidRPr="005B5F39">
          <w:rPr>
            <w:webHidden/>
          </w:rPr>
        </w:r>
        <w:r w:rsidRPr="005B5F39">
          <w:rPr>
            <w:webHidden/>
          </w:rPr>
          <w:fldChar w:fldCharType="separate"/>
        </w:r>
        <w:r>
          <w:rPr>
            <w:webHidden/>
          </w:rPr>
          <w:t>231</w:t>
        </w:r>
        <w:r w:rsidRPr="005B5F39">
          <w:rPr>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94" w:history="1">
        <w:r w:rsidRPr="005B5F39">
          <w:rPr>
            <w:rStyle w:val="Hyperlink"/>
          </w:rPr>
          <w:t>1. Chancels</w:t>
        </w:r>
        <w:r w:rsidRPr="005B5F39">
          <w:rPr>
            <w:webHidden/>
          </w:rPr>
          <w:tab/>
        </w:r>
        <w:r w:rsidRPr="005B5F39">
          <w:rPr>
            <w:webHidden/>
          </w:rPr>
          <w:fldChar w:fldCharType="begin"/>
        </w:r>
        <w:r w:rsidRPr="005B5F39">
          <w:rPr>
            <w:webHidden/>
          </w:rPr>
          <w:instrText xml:space="preserve"> PAGEREF _Toc84273694 \h </w:instrText>
        </w:r>
        <w:r w:rsidRPr="005B5F39">
          <w:rPr>
            <w:webHidden/>
          </w:rPr>
        </w:r>
        <w:r w:rsidRPr="005B5F39">
          <w:rPr>
            <w:webHidden/>
          </w:rPr>
          <w:fldChar w:fldCharType="separate"/>
        </w:r>
        <w:r>
          <w:rPr>
            <w:webHidden/>
          </w:rPr>
          <w:t>237</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95" w:history="1">
        <w:r w:rsidRPr="005B5F39">
          <w:rPr>
            <w:rStyle w:val="Hyperlink"/>
            <w:b/>
            <w:noProof/>
          </w:rPr>
          <w:t>1.1</w:t>
        </w:r>
        <w:r w:rsidRPr="005B5F39">
          <w:rPr>
            <w:rFonts w:asciiTheme="majorHAnsi" w:hAnsiTheme="majorHAnsi" w:cstheme="minorBidi"/>
            <w:b/>
            <w:noProof/>
            <w:lang w:val="en-GB" w:eastAsia="en-GB"/>
          </w:rPr>
          <w:tab/>
        </w:r>
        <w:r w:rsidRPr="005B5F39">
          <w:rPr>
            <w:rStyle w:val="Hyperlink"/>
            <w:b/>
            <w:noProof/>
          </w:rPr>
          <w:t>1690-1710</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_Toc84273695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237</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96" w:history="1">
        <w:r w:rsidRPr="005B5F39">
          <w:rPr>
            <w:rStyle w:val="Hyperlink"/>
            <w:b/>
            <w:noProof/>
          </w:rPr>
          <w:t>1.2</w:t>
        </w:r>
        <w:r w:rsidRPr="005B5F39">
          <w:rPr>
            <w:rFonts w:asciiTheme="majorHAnsi" w:hAnsiTheme="majorHAnsi" w:cstheme="minorBidi"/>
            <w:b/>
            <w:noProof/>
            <w:lang w:val="en-GB" w:eastAsia="en-GB"/>
          </w:rPr>
          <w:tab/>
        </w:r>
        <w:r w:rsidRPr="005B5F39">
          <w:rPr>
            <w:rStyle w:val="Hyperlink"/>
            <w:b/>
            <w:noProof/>
          </w:rPr>
          <w:t>1710-1720</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_Toc84273696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240</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97" w:history="1">
        <w:r w:rsidRPr="005B5F39">
          <w:rPr>
            <w:rStyle w:val="Hyperlink"/>
            <w:b/>
            <w:noProof/>
          </w:rPr>
          <w:t>1.3</w:t>
        </w:r>
        <w:r w:rsidRPr="005B5F39">
          <w:rPr>
            <w:rFonts w:asciiTheme="majorHAnsi" w:hAnsiTheme="majorHAnsi" w:cstheme="minorBidi"/>
            <w:b/>
            <w:noProof/>
            <w:lang w:val="en-GB" w:eastAsia="en-GB"/>
          </w:rPr>
          <w:tab/>
        </w:r>
        <w:r w:rsidRPr="005B5F39">
          <w:rPr>
            <w:rStyle w:val="Hyperlink"/>
            <w:b/>
            <w:noProof/>
          </w:rPr>
          <w:t>1720-1730</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_Toc84273697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245</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698" w:history="1">
        <w:r w:rsidRPr="005B5F39">
          <w:rPr>
            <w:rStyle w:val="Hyperlink"/>
          </w:rPr>
          <w:t>2. Body of church</w:t>
        </w:r>
        <w:r w:rsidRPr="005B5F39">
          <w:rPr>
            <w:webHidden/>
          </w:rPr>
          <w:tab/>
        </w:r>
        <w:r w:rsidRPr="005B5F39">
          <w:rPr>
            <w:webHidden/>
          </w:rPr>
          <w:fldChar w:fldCharType="begin"/>
        </w:r>
        <w:r w:rsidRPr="005B5F39">
          <w:rPr>
            <w:webHidden/>
          </w:rPr>
          <w:instrText xml:space="preserve"> PAGEREF _Toc84273698 \h </w:instrText>
        </w:r>
        <w:r w:rsidRPr="005B5F39">
          <w:rPr>
            <w:webHidden/>
          </w:rPr>
        </w:r>
        <w:r w:rsidRPr="005B5F39">
          <w:rPr>
            <w:webHidden/>
          </w:rPr>
          <w:fldChar w:fldCharType="separate"/>
        </w:r>
        <w:r>
          <w:rPr>
            <w:webHidden/>
          </w:rPr>
          <w:t>252</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699" w:history="1">
        <w:r w:rsidRPr="005B5F39">
          <w:rPr>
            <w:rStyle w:val="Hyperlink"/>
            <w:b/>
            <w:noProof/>
          </w:rPr>
          <w:t>2.1</w:t>
        </w:r>
        <w:r w:rsidRPr="005B5F39">
          <w:rPr>
            <w:rFonts w:asciiTheme="majorHAnsi" w:hAnsiTheme="majorHAnsi" w:cstheme="minorBidi"/>
            <w:b/>
            <w:noProof/>
            <w:lang w:val="en-GB" w:eastAsia="en-GB"/>
          </w:rPr>
          <w:tab/>
        </w:r>
        <w:r w:rsidRPr="005B5F39">
          <w:rPr>
            <w:rStyle w:val="Hyperlink"/>
            <w:b/>
            <w:noProof/>
          </w:rPr>
          <w:t>1690-1710</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_Toc84273699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252</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700" w:history="1">
        <w:r w:rsidRPr="005B5F39">
          <w:rPr>
            <w:rStyle w:val="Hyperlink"/>
            <w:b/>
            <w:noProof/>
          </w:rPr>
          <w:t>2.2</w:t>
        </w:r>
        <w:r w:rsidRPr="005B5F39">
          <w:rPr>
            <w:rFonts w:asciiTheme="majorHAnsi" w:hAnsiTheme="majorHAnsi" w:cstheme="minorBidi"/>
            <w:b/>
            <w:noProof/>
            <w:lang w:val="en-GB" w:eastAsia="en-GB"/>
          </w:rPr>
          <w:tab/>
        </w:r>
        <w:r w:rsidRPr="005B5F39">
          <w:rPr>
            <w:rStyle w:val="Hyperlink"/>
            <w:b/>
            <w:noProof/>
          </w:rPr>
          <w:t>1710-20</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_Toc84273700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254</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701" w:history="1">
        <w:r w:rsidRPr="005B5F39">
          <w:rPr>
            <w:rStyle w:val="Hyperlink"/>
            <w:b/>
            <w:noProof/>
          </w:rPr>
          <w:t xml:space="preserve">2.3 </w:t>
        </w:r>
        <w:r w:rsidRPr="005B5F39">
          <w:rPr>
            <w:rFonts w:asciiTheme="majorHAnsi" w:hAnsiTheme="majorHAnsi" w:cstheme="minorBidi"/>
            <w:b/>
            <w:noProof/>
            <w:lang w:val="en-GB" w:eastAsia="en-GB"/>
          </w:rPr>
          <w:tab/>
        </w:r>
        <w:r w:rsidRPr="005B5F39">
          <w:rPr>
            <w:rStyle w:val="Hyperlink"/>
            <w:b/>
            <w:noProof/>
          </w:rPr>
          <w:t>1720-1730</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_Toc84273701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255</w:t>
        </w:r>
        <w:r w:rsidRPr="005B5F39">
          <w:rPr>
            <w:rFonts w:asciiTheme="majorHAnsi" w:hAnsiTheme="majorHAnsi"/>
            <w:b/>
            <w:noProof/>
            <w:webHidden/>
          </w:rPr>
          <w:fldChar w:fldCharType="end"/>
        </w:r>
      </w:hyperlink>
    </w:p>
    <w:p w:rsidR="00325B82" w:rsidRPr="005B5F39" w:rsidRDefault="00325B82" w:rsidP="00325B82">
      <w:pPr>
        <w:pStyle w:val="TOC1"/>
        <w:rPr>
          <w:rFonts w:eastAsiaTheme="minorEastAsia" w:cstheme="minorBidi"/>
          <w:spacing w:val="0"/>
          <w:kern w:val="0"/>
          <w:lang w:val="en-GB" w:eastAsia="en-GB"/>
        </w:rPr>
      </w:pPr>
      <w:hyperlink w:anchor="_Toc84273702" w:history="1">
        <w:r w:rsidRPr="005B5F39">
          <w:rPr>
            <w:rStyle w:val="Hyperlink"/>
          </w:rPr>
          <w:t>3. Pluralism &amp; non-residence</w:t>
        </w:r>
        <w:r w:rsidRPr="005B5F39">
          <w:rPr>
            <w:webHidden/>
          </w:rPr>
          <w:tab/>
        </w:r>
        <w:r w:rsidRPr="005B5F39">
          <w:rPr>
            <w:webHidden/>
          </w:rPr>
          <w:fldChar w:fldCharType="begin"/>
        </w:r>
        <w:r w:rsidRPr="005B5F39">
          <w:rPr>
            <w:webHidden/>
          </w:rPr>
          <w:instrText xml:space="preserve"> PAGEREF _Toc84273702 \h </w:instrText>
        </w:r>
        <w:r w:rsidRPr="005B5F39">
          <w:rPr>
            <w:webHidden/>
          </w:rPr>
        </w:r>
        <w:r w:rsidRPr="005B5F39">
          <w:rPr>
            <w:webHidden/>
          </w:rPr>
          <w:fldChar w:fldCharType="separate"/>
        </w:r>
        <w:r>
          <w:rPr>
            <w:webHidden/>
          </w:rPr>
          <w:t>265</w:t>
        </w:r>
        <w:r w:rsidRPr="005B5F39">
          <w:rPr>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703" w:history="1">
        <w:r w:rsidRPr="005B5F39">
          <w:rPr>
            <w:rStyle w:val="Hyperlink"/>
            <w:b/>
            <w:noProof/>
          </w:rPr>
          <w:t>3.1</w:t>
        </w:r>
        <w:r w:rsidRPr="005B5F39">
          <w:rPr>
            <w:rFonts w:asciiTheme="majorHAnsi" w:hAnsiTheme="majorHAnsi" w:cstheme="minorBidi"/>
            <w:b/>
            <w:noProof/>
            <w:lang w:val="en-GB" w:eastAsia="en-GB"/>
          </w:rPr>
          <w:tab/>
        </w:r>
        <w:r w:rsidRPr="005B5F39">
          <w:rPr>
            <w:rStyle w:val="Hyperlink"/>
            <w:b/>
            <w:noProof/>
          </w:rPr>
          <w:t>Rector-incumbents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_Toc84273703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270</w:t>
        </w:r>
        <w:r w:rsidRPr="005B5F39">
          <w:rPr>
            <w:rFonts w:asciiTheme="majorHAnsi" w:hAnsiTheme="majorHAnsi"/>
            <w:b/>
            <w:noProof/>
            <w:webHidden/>
          </w:rPr>
          <w:fldChar w:fldCharType="end"/>
        </w:r>
      </w:hyperlink>
    </w:p>
    <w:p w:rsidR="00325B82" w:rsidRPr="005B5F39" w:rsidRDefault="00325B82" w:rsidP="00325B82">
      <w:pPr>
        <w:pStyle w:val="TOC2"/>
        <w:tabs>
          <w:tab w:val="left" w:pos="880"/>
          <w:tab w:val="right" w:leader="dot" w:pos="8494"/>
        </w:tabs>
        <w:rPr>
          <w:rFonts w:asciiTheme="majorHAnsi" w:hAnsiTheme="majorHAnsi" w:cstheme="minorBidi"/>
          <w:b/>
          <w:noProof/>
          <w:lang w:val="en-GB" w:eastAsia="en-GB"/>
        </w:rPr>
      </w:pPr>
      <w:hyperlink w:anchor="_Toc84273704" w:history="1">
        <w:r w:rsidRPr="005B5F39">
          <w:rPr>
            <w:rStyle w:val="Hyperlink"/>
            <w:b/>
            <w:noProof/>
          </w:rPr>
          <w:t>3.2</w:t>
        </w:r>
        <w:r w:rsidRPr="005B5F39">
          <w:rPr>
            <w:rFonts w:asciiTheme="majorHAnsi" w:hAnsiTheme="majorHAnsi" w:cstheme="minorBidi"/>
            <w:b/>
            <w:noProof/>
            <w:lang w:val="en-GB" w:eastAsia="en-GB"/>
          </w:rPr>
          <w:tab/>
        </w:r>
        <w:r w:rsidRPr="005B5F39">
          <w:rPr>
            <w:rStyle w:val="Hyperlink"/>
            <w:b/>
            <w:noProof/>
          </w:rPr>
          <w:t>Vicars and curates</w:t>
        </w:r>
        <w:r w:rsidRPr="005B5F39">
          <w:rPr>
            <w:rFonts w:asciiTheme="majorHAnsi" w:hAnsiTheme="majorHAnsi"/>
            <w:b/>
            <w:noProof/>
            <w:webHidden/>
          </w:rPr>
          <w:tab/>
        </w:r>
        <w:r w:rsidRPr="005B5F39">
          <w:rPr>
            <w:rFonts w:asciiTheme="majorHAnsi" w:hAnsiTheme="majorHAnsi"/>
            <w:b/>
            <w:noProof/>
            <w:webHidden/>
          </w:rPr>
          <w:fldChar w:fldCharType="begin"/>
        </w:r>
        <w:r w:rsidRPr="005B5F39">
          <w:rPr>
            <w:rFonts w:asciiTheme="majorHAnsi" w:hAnsiTheme="majorHAnsi"/>
            <w:b/>
            <w:noProof/>
            <w:webHidden/>
          </w:rPr>
          <w:instrText xml:space="preserve"> PAGEREF _Toc84273704 \h </w:instrText>
        </w:r>
        <w:r w:rsidRPr="005B5F39">
          <w:rPr>
            <w:rFonts w:asciiTheme="majorHAnsi" w:hAnsiTheme="majorHAnsi"/>
            <w:b/>
            <w:noProof/>
            <w:webHidden/>
          </w:rPr>
        </w:r>
        <w:r w:rsidRPr="005B5F39">
          <w:rPr>
            <w:rFonts w:asciiTheme="majorHAnsi" w:hAnsiTheme="majorHAnsi"/>
            <w:b/>
            <w:noProof/>
            <w:webHidden/>
          </w:rPr>
          <w:fldChar w:fldCharType="separate"/>
        </w:r>
        <w:r>
          <w:rPr>
            <w:rFonts w:asciiTheme="majorHAnsi" w:hAnsiTheme="majorHAnsi"/>
            <w:b/>
            <w:noProof/>
            <w:webHidden/>
          </w:rPr>
          <w:t>274</w:t>
        </w:r>
        <w:r w:rsidRPr="005B5F39">
          <w:rPr>
            <w:rFonts w:asciiTheme="majorHAnsi" w:hAnsiTheme="majorHAnsi"/>
            <w:b/>
            <w:noProof/>
            <w:webHidden/>
          </w:rPr>
          <w:fldChar w:fldCharType="end"/>
        </w:r>
      </w:hyperlink>
    </w:p>
    <w:p w:rsidR="00325B82" w:rsidRDefault="00325B82" w:rsidP="00325B82">
      <w:pPr>
        <w:pStyle w:val="TOC1"/>
        <w:rPr>
          <w:rFonts w:asciiTheme="minorHAnsi" w:eastAsiaTheme="minorEastAsia" w:hAnsiTheme="minorHAnsi" w:cstheme="minorBidi"/>
          <w:b w:val="0"/>
          <w:spacing w:val="0"/>
          <w:kern w:val="0"/>
          <w:lang w:val="en-GB" w:eastAsia="en-GB"/>
        </w:rPr>
      </w:pPr>
      <w:hyperlink w:anchor="_Toc84273705" w:history="1">
        <w:r w:rsidRPr="005B5F39">
          <w:rPr>
            <w:rStyle w:val="Hyperlink"/>
          </w:rPr>
          <w:t>4. Rural poverty</w:t>
        </w:r>
        <w:r w:rsidRPr="005B5F39">
          <w:rPr>
            <w:webHidden/>
          </w:rPr>
          <w:tab/>
        </w:r>
        <w:r w:rsidRPr="005B5F39">
          <w:rPr>
            <w:webHidden/>
          </w:rPr>
          <w:fldChar w:fldCharType="begin"/>
        </w:r>
        <w:r w:rsidRPr="005B5F39">
          <w:rPr>
            <w:webHidden/>
          </w:rPr>
          <w:instrText xml:space="preserve"> PAGEREF _Toc84273705 \h </w:instrText>
        </w:r>
        <w:r w:rsidRPr="005B5F39">
          <w:rPr>
            <w:webHidden/>
          </w:rPr>
        </w:r>
        <w:r w:rsidRPr="005B5F39">
          <w:rPr>
            <w:webHidden/>
          </w:rPr>
          <w:fldChar w:fldCharType="separate"/>
        </w:r>
        <w:r>
          <w:rPr>
            <w:webHidden/>
          </w:rPr>
          <w:t>283</w:t>
        </w:r>
        <w:r w:rsidRPr="005B5F39">
          <w:rPr>
            <w:webHidden/>
          </w:rPr>
          <w:fldChar w:fldCharType="end"/>
        </w:r>
      </w:hyperlink>
    </w:p>
    <w:p w:rsidR="00325B82" w:rsidRDefault="00325B82" w:rsidP="00325B82">
      <w:pPr>
        <w:pStyle w:val="TOC1"/>
        <w:rPr>
          <w:rFonts w:asciiTheme="minorHAnsi" w:eastAsiaTheme="minorEastAsia" w:hAnsiTheme="minorHAnsi" w:cstheme="minorBidi"/>
          <w:b w:val="0"/>
          <w:spacing w:val="0"/>
          <w:kern w:val="0"/>
          <w:lang w:val="en-GB" w:eastAsia="en-GB"/>
        </w:rPr>
      </w:pPr>
      <w:hyperlink w:anchor="_Toc84273706" w:history="1">
        <w:r w:rsidRPr="00DB6C2C">
          <w:rPr>
            <w:rStyle w:val="Hyperlink"/>
          </w:rPr>
          <w:t>5. Dissent</w:t>
        </w:r>
        <w:r>
          <w:rPr>
            <w:webHidden/>
          </w:rPr>
          <w:tab/>
        </w:r>
        <w:r>
          <w:rPr>
            <w:webHidden/>
          </w:rPr>
          <w:fldChar w:fldCharType="begin"/>
        </w:r>
        <w:r>
          <w:rPr>
            <w:webHidden/>
          </w:rPr>
          <w:instrText xml:space="preserve"> PAGEREF _Toc84273706 \h </w:instrText>
        </w:r>
        <w:r>
          <w:rPr>
            <w:webHidden/>
          </w:rPr>
        </w:r>
        <w:r>
          <w:rPr>
            <w:webHidden/>
          </w:rPr>
          <w:fldChar w:fldCharType="separate"/>
        </w:r>
        <w:r>
          <w:rPr>
            <w:webHidden/>
          </w:rPr>
          <w:t>285</w:t>
        </w:r>
        <w:r>
          <w:rPr>
            <w:webHidden/>
          </w:rPr>
          <w:fldChar w:fldCharType="end"/>
        </w:r>
      </w:hyperlink>
    </w:p>
    <w:p w:rsidR="00325B82" w:rsidRDefault="00325B82" w:rsidP="00325B82">
      <w:pPr>
        <w:pStyle w:val="TOC1"/>
        <w:rPr>
          <w:rFonts w:asciiTheme="minorHAnsi" w:eastAsiaTheme="minorEastAsia" w:hAnsiTheme="minorHAnsi" w:cstheme="minorBidi"/>
          <w:b w:val="0"/>
          <w:spacing w:val="0"/>
          <w:kern w:val="0"/>
          <w:lang w:val="en-GB" w:eastAsia="en-GB"/>
        </w:rPr>
      </w:pPr>
      <w:hyperlink w:anchor="_Toc84273707" w:history="1">
        <w:r w:rsidRPr="00DB6C2C">
          <w:rPr>
            <w:rStyle w:val="Hyperlink"/>
          </w:rPr>
          <w:t>6. Conclusion</w:t>
        </w:r>
        <w:r>
          <w:rPr>
            <w:webHidden/>
          </w:rPr>
          <w:tab/>
        </w:r>
        <w:r>
          <w:rPr>
            <w:webHidden/>
          </w:rPr>
          <w:fldChar w:fldCharType="begin"/>
        </w:r>
        <w:r>
          <w:rPr>
            <w:webHidden/>
          </w:rPr>
          <w:instrText xml:space="preserve"> PAGEREF _Toc84273707 \h </w:instrText>
        </w:r>
        <w:r>
          <w:rPr>
            <w:webHidden/>
          </w:rPr>
        </w:r>
        <w:r>
          <w:rPr>
            <w:webHidden/>
          </w:rPr>
          <w:fldChar w:fldCharType="separate"/>
        </w:r>
        <w:r>
          <w:rPr>
            <w:webHidden/>
          </w:rPr>
          <w:t>291</w:t>
        </w:r>
        <w:r>
          <w:rPr>
            <w:webHidden/>
          </w:rPr>
          <w:fldChar w:fldCharType="end"/>
        </w:r>
      </w:hyperlink>
    </w:p>
    <w:p w:rsidR="00325B82" w:rsidRDefault="00325B82" w:rsidP="00325B82">
      <w:pPr>
        <w:pStyle w:val="TOC1"/>
        <w:rPr>
          <w:rFonts w:asciiTheme="minorHAnsi" w:eastAsiaTheme="minorEastAsia" w:hAnsiTheme="minorHAnsi" w:cstheme="minorBidi"/>
          <w:b w:val="0"/>
          <w:spacing w:val="0"/>
          <w:kern w:val="0"/>
          <w:lang w:val="en-GB" w:eastAsia="en-GB"/>
        </w:rPr>
      </w:pPr>
      <w:hyperlink w:anchor="_Toc84273708" w:history="1">
        <w:r w:rsidRPr="00DB6C2C">
          <w:rPr>
            <w:rStyle w:val="Hyperlink"/>
          </w:rPr>
          <w:t>Conclusion</w:t>
        </w:r>
        <w:r>
          <w:rPr>
            <w:webHidden/>
          </w:rPr>
          <w:tab/>
        </w:r>
        <w:r>
          <w:rPr>
            <w:webHidden/>
          </w:rPr>
          <w:fldChar w:fldCharType="begin"/>
        </w:r>
        <w:r>
          <w:rPr>
            <w:webHidden/>
          </w:rPr>
          <w:instrText xml:space="preserve"> PAGEREF _Toc84273708 \h </w:instrText>
        </w:r>
        <w:r>
          <w:rPr>
            <w:webHidden/>
          </w:rPr>
        </w:r>
        <w:r>
          <w:rPr>
            <w:webHidden/>
          </w:rPr>
          <w:fldChar w:fldCharType="separate"/>
        </w:r>
        <w:r>
          <w:rPr>
            <w:webHidden/>
          </w:rPr>
          <w:t>293</w:t>
        </w:r>
        <w:r>
          <w:rPr>
            <w:webHidden/>
          </w:rPr>
          <w:fldChar w:fldCharType="end"/>
        </w:r>
      </w:hyperlink>
    </w:p>
    <w:p w:rsidR="00325B82" w:rsidRPr="003B30F9" w:rsidRDefault="00325B82" w:rsidP="00325B82">
      <w:pPr>
        <w:pStyle w:val="Style1"/>
        <w:rPr>
          <w:rStyle w:val="IntenseQuoteChar"/>
          <w:b/>
          <w:bCs/>
          <w:i w:val="0"/>
          <w:iCs w:val="0"/>
          <w:color w:val="323E4F" w:themeColor="text2" w:themeShade="BF"/>
        </w:rPr>
      </w:pPr>
      <w:r>
        <w:fldChar w:fldCharType="end"/>
      </w:r>
      <w:bookmarkStart w:id="9" w:name="_Toc84273602"/>
      <w:r w:rsidRPr="003B30F9">
        <w:t>Introduction</w:t>
      </w:r>
      <w:bookmarkEnd w:id="9"/>
      <w:r w:rsidRPr="003B30F9">
        <w:t xml:space="preserve"> </w:t>
      </w:r>
    </w:p>
    <w:p w:rsidR="00325B82" w:rsidRDefault="00325B82" w:rsidP="00325B82">
      <w:pPr>
        <w:pStyle w:val="Style2"/>
        <w:spacing w:line="480" w:lineRule="auto"/>
      </w:pPr>
    </w:p>
    <w:p w:rsidR="00325B82" w:rsidRPr="00B1082D" w:rsidRDefault="00325B82" w:rsidP="00325B82">
      <w:pPr>
        <w:pStyle w:val="Style2"/>
        <w:spacing w:before="0" w:line="480" w:lineRule="auto"/>
        <w:rPr>
          <w:sz w:val="32"/>
          <w:szCs w:val="32"/>
        </w:rPr>
      </w:pPr>
      <w:bookmarkStart w:id="10" w:name="_Toc84273603"/>
      <w:r w:rsidRPr="00B1082D">
        <w:rPr>
          <w:sz w:val="32"/>
          <w:szCs w:val="32"/>
        </w:rPr>
        <w:t>The choice of topic</w:t>
      </w:r>
      <w:bookmarkEnd w:id="10"/>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From </w:t>
      </w:r>
      <w:r>
        <w:rPr>
          <w:rFonts w:ascii="Times New Roman" w:hAnsi="Times New Roman" w:cs="Times New Roman"/>
          <w:sz w:val="24"/>
          <w:szCs w:val="24"/>
        </w:rPr>
        <w:t xml:space="preserve">before </w:t>
      </w:r>
      <w:r w:rsidRPr="00FE7B91">
        <w:rPr>
          <w:rFonts w:ascii="Times New Roman" w:hAnsi="Times New Roman" w:cs="Times New Roman"/>
          <w:sz w:val="24"/>
          <w:szCs w:val="24"/>
        </w:rPr>
        <w:t xml:space="preserve">the </w:t>
      </w:r>
      <w:r>
        <w:rPr>
          <w:rFonts w:ascii="Times New Roman" w:hAnsi="Times New Roman" w:cs="Times New Roman"/>
          <w:sz w:val="24"/>
          <w:szCs w:val="24"/>
        </w:rPr>
        <w:t xml:space="preserve">Norman </w:t>
      </w:r>
      <w:r w:rsidRPr="00FE7B91">
        <w:rPr>
          <w:rFonts w:ascii="Times New Roman" w:hAnsi="Times New Roman" w:cs="Times New Roman"/>
          <w:sz w:val="24"/>
          <w:szCs w:val="24"/>
        </w:rPr>
        <w:t xml:space="preserve">Conquest to the mid-sixteenth century </w:t>
      </w:r>
      <w:r>
        <w:rPr>
          <w:rFonts w:ascii="Times New Roman" w:hAnsi="Times New Roman" w:cs="Times New Roman"/>
          <w:sz w:val="24"/>
          <w:szCs w:val="24"/>
        </w:rPr>
        <w:t>countless</w:t>
      </w:r>
      <w:r w:rsidRPr="00FE7B91">
        <w:rPr>
          <w:rFonts w:ascii="Times New Roman" w:hAnsi="Times New Roman" w:cs="Times New Roman"/>
          <w:sz w:val="24"/>
          <w:szCs w:val="24"/>
        </w:rPr>
        <w:t xml:space="preserve"> monasteries, convents, churches and chapels were built, repaired and rebuilt throughout England; only the outbreak of the plague from 1348 to 1350 occasioned a hiatus in this building programme.</w:t>
      </w:r>
      <w:r w:rsidRPr="00FE7B91">
        <w:rPr>
          <w:rStyle w:val="FootnoteReference"/>
          <w:rFonts w:ascii="Times New Roman" w:hAnsi="Times New Roman" w:cs="Times New Roman"/>
          <w:sz w:val="24"/>
          <w:szCs w:val="24"/>
        </w:rPr>
        <w:footnoteReference w:id="1"/>
      </w:r>
      <w:r w:rsidRPr="00FE7B91">
        <w:rPr>
          <w:rFonts w:ascii="Times New Roman" w:hAnsi="Times New Roman" w:cs="Times New Roman"/>
          <w:sz w:val="24"/>
          <w:szCs w:val="24"/>
        </w:rPr>
        <w:t xml:space="preserve"> Yet few new churches were erected in the late sixteenth, seventeenth and eighteenth centuries, and by the end of the eighteenth and early nineteenth centuries many churches were in serious disrepair. How did this situation arise? The change coincided with the establishment of Protestantism in place of Catholicism as the </w:t>
      </w:r>
      <w:r w:rsidRPr="00601340">
        <w:rPr>
          <w:rFonts w:ascii="Times New Roman" w:hAnsi="Times New Roman" w:cs="Times New Roman"/>
          <w:sz w:val="24"/>
          <w:szCs w:val="24"/>
        </w:rPr>
        <w:t>national religion, a process which took from the early sixteenth century until at lea</w:t>
      </w:r>
      <w:r>
        <w:rPr>
          <w:rFonts w:ascii="Times New Roman" w:hAnsi="Times New Roman" w:cs="Times New Roman"/>
          <w:sz w:val="24"/>
          <w:szCs w:val="24"/>
        </w:rPr>
        <w:t>st the early eighteenth century</w:t>
      </w:r>
      <w:r w:rsidRPr="00FE7B91">
        <w:rPr>
          <w:rFonts w:ascii="Times New Roman" w:hAnsi="Times New Roman" w:cs="Times New Roman"/>
          <w:sz w:val="24"/>
          <w:szCs w:val="24"/>
        </w:rPr>
        <w:t>.</w:t>
      </w:r>
      <w:r w:rsidRPr="00FE7B91">
        <w:rPr>
          <w:rStyle w:val="FootnoteReference"/>
          <w:rFonts w:ascii="Times New Roman" w:hAnsi="Times New Roman" w:cs="Times New Roman"/>
          <w:sz w:val="24"/>
          <w:szCs w:val="24"/>
        </w:rPr>
        <w:footnoteReference w:id="2"/>
      </w:r>
      <w:r w:rsidRPr="00FE7B91">
        <w:rPr>
          <w:rFonts w:ascii="Times New Roman" w:hAnsi="Times New Roman" w:cs="Times New Roman"/>
          <w:sz w:val="24"/>
          <w:szCs w:val="24"/>
        </w:rPr>
        <w:t xml:space="preserve"> Were the two processes connected? </w:t>
      </w:r>
      <w:r>
        <w:rPr>
          <w:rFonts w:ascii="Times New Roman" w:hAnsi="Times New Roman" w:cs="Times New Roman"/>
          <w:sz w:val="24"/>
          <w:szCs w:val="24"/>
        </w:rPr>
        <w:t>This thesis is a contribution to answering that question, via a detailed regional study, assessing</w:t>
      </w:r>
      <w:r w:rsidRPr="00FE7B91">
        <w:rPr>
          <w:rFonts w:ascii="Times New Roman" w:hAnsi="Times New Roman" w:cs="Times New Roman"/>
          <w:sz w:val="24"/>
          <w:szCs w:val="24"/>
        </w:rPr>
        <w:t xml:space="preserve"> the impact of the Reformation on the building, repair and furnishing of churches in the archdeaconry of the East Riding between 1547 and 1730</w:t>
      </w:r>
      <w:r>
        <w:rPr>
          <w:rFonts w:ascii="Times New Roman" w:hAnsi="Times New Roman" w:cs="Times New Roman"/>
          <w:sz w:val="24"/>
          <w:szCs w:val="24"/>
        </w:rPr>
        <w:t>.</w:t>
      </w:r>
      <w:r w:rsidRPr="00FE7B91">
        <w:rPr>
          <w:rStyle w:val="FootnoteReference"/>
          <w:rFonts w:ascii="Times New Roman" w:hAnsi="Times New Roman" w:cs="Times New Roman"/>
          <w:sz w:val="24"/>
          <w:szCs w:val="24"/>
        </w:rPr>
        <w:footnoteReference w:id="3"/>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I should make clear that I am not suggesting that the English Reformation began in 1547 – or, indeed, in any one year </w:t>
      </w:r>
      <w:r w:rsidRPr="00586D69">
        <w:rPr>
          <w:rFonts w:ascii="Times New Roman" w:hAnsi="Times New Roman" w:cs="Times New Roman"/>
          <w:sz w:val="24"/>
          <w:szCs w:val="24"/>
        </w:rPr>
        <w:t>–</w:t>
      </w:r>
      <w:r>
        <w:rPr>
          <w:rFonts w:ascii="Times New Roman" w:hAnsi="Times New Roman" w:cs="Times New Roman"/>
          <w:sz w:val="24"/>
          <w:szCs w:val="24"/>
        </w:rPr>
        <w:t xml:space="preserve"> </w:t>
      </w:r>
      <w:r w:rsidRPr="00FE7B91">
        <w:rPr>
          <w:rFonts w:ascii="Times New Roman" w:hAnsi="Times New Roman" w:cs="Times New Roman"/>
          <w:sz w:val="24"/>
          <w:szCs w:val="24"/>
        </w:rPr>
        <w:t xml:space="preserve">but the </w:t>
      </w:r>
      <w:r w:rsidRPr="00E7632B">
        <w:rPr>
          <w:rFonts w:ascii="Times New Roman" w:hAnsi="Times New Roman" w:cs="Times New Roman"/>
          <w:sz w:val="24"/>
          <w:szCs w:val="24"/>
        </w:rPr>
        <w:t>Chantries Act of 1547 was a</w:t>
      </w:r>
      <w:r w:rsidRPr="00FE7B91">
        <w:rPr>
          <w:rFonts w:ascii="Times New Roman" w:hAnsi="Times New Roman" w:cs="Times New Roman"/>
          <w:sz w:val="24"/>
          <w:szCs w:val="24"/>
        </w:rPr>
        <w:t xml:space="preserve"> final step in the </w:t>
      </w:r>
      <w:r>
        <w:rPr>
          <w:rFonts w:ascii="Times New Roman" w:hAnsi="Times New Roman" w:cs="Times New Roman"/>
          <w:sz w:val="24"/>
          <w:szCs w:val="24"/>
        </w:rPr>
        <w:t>process of d</w:t>
      </w:r>
      <w:r w:rsidRPr="00FE7B91">
        <w:rPr>
          <w:rFonts w:ascii="Times New Roman" w:hAnsi="Times New Roman" w:cs="Times New Roman"/>
          <w:sz w:val="24"/>
          <w:szCs w:val="24"/>
        </w:rPr>
        <w:t>issol</w:t>
      </w:r>
      <w:r>
        <w:rPr>
          <w:rFonts w:ascii="Times New Roman" w:hAnsi="Times New Roman" w:cs="Times New Roman"/>
          <w:sz w:val="24"/>
          <w:szCs w:val="24"/>
        </w:rPr>
        <w:t>ving</w:t>
      </w:r>
      <w:r w:rsidRPr="00FE7B91">
        <w:rPr>
          <w:rFonts w:ascii="Times New Roman" w:hAnsi="Times New Roman" w:cs="Times New Roman"/>
          <w:sz w:val="24"/>
          <w:szCs w:val="24"/>
        </w:rPr>
        <w:t xml:space="preserve"> monasteries and suppressin</w:t>
      </w:r>
      <w:r>
        <w:rPr>
          <w:rFonts w:ascii="Times New Roman" w:hAnsi="Times New Roman" w:cs="Times New Roman"/>
          <w:sz w:val="24"/>
          <w:szCs w:val="24"/>
        </w:rPr>
        <w:t>g</w:t>
      </w:r>
      <w:r w:rsidRPr="00FE7B91">
        <w:rPr>
          <w:rFonts w:ascii="Times New Roman" w:hAnsi="Times New Roman" w:cs="Times New Roman"/>
          <w:sz w:val="24"/>
          <w:szCs w:val="24"/>
        </w:rPr>
        <w:t xml:space="preserve"> chantries</w:t>
      </w:r>
      <w:r w:rsidRPr="00E7632B">
        <w:rPr>
          <w:rStyle w:val="FootnoteReference"/>
          <w:rFonts w:ascii="Times New Roman" w:hAnsi="Times New Roman" w:cs="Times New Roman"/>
          <w:sz w:val="24"/>
          <w:szCs w:val="24"/>
        </w:rPr>
        <w:footnoteReference w:id="4"/>
      </w:r>
      <w:r w:rsidRPr="008B3784">
        <w:rPr>
          <w:rFonts w:ascii="Times New Roman" w:hAnsi="Times New Roman" w:cs="Times New Roman"/>
          <w:sz w:val="24"/>
          <w:szCs w:val="24"/>
        </w:rPr>
        <w:t>,</w:t>
      </w:r>
      <w:r w:rsidRPr="00FE7B91">
        <w:rPr>
          <w:rFonts w:ascii="Times New Roman" w:hAnsi="Times New Roman" w:cs="Times New Roman"/>
          <w:sz w:val="24"/>
          <w:szCs w:val="24"/>
        </w:rPr>
        <w:t xml:space="preserve"> and the implementation of that legislation </w:t>
      </w:r>
      <w:r w:rsidRPr="00FE7B91">
        <w:rPr>
          <w:rFonts w:ascii="Times New Roman" w:hAnsi="Times New Roman" w:cs="Times New Roman"/>
          <w:sz w:val="24"/>
          <w:szCs w:val="24"/>
        </w:rPr>
        <w:lastRenderedPageBreak/>
        <w:t>was highly significant both for the English Reformation in general and for the fabric of English churches in particular – hence its choice for the commencement date for the period studied. I selected 1730 as the end-date for several reasons. First, it usually takes some time for neglect to manifest itself in decay, and periods of 150 to 200 years might elapse before such edifices failed irreparably. For example, Howden’s chancel had been decaying for at least a century before it</w:t>
      </w:r>
      <w:r>
        <w:rPr>
          <w:rFonts w:ascii="Times New Roman" w:hAnsi="Times New Roman" w:cs="Times New Roman"/>
          <w:sz w:val="24"/>
          <w:szCs w:val="24"/>
        </w:rPr>
        <w:t>s roof</w:t>
      </w:r>
      <w:r w:rsidRPr="00FE7B91">
        <w:rPr>
          <w:rFonts w:ascii="Times New Roman" w:hAnsi="Times New Roman" w:cs="Times New Roman"/>
          <w:sz w:val="24"/>
          <w:szCs w:val="24"/>
        </w:rPr>
        <w:t xml:space="preserve"> fell in 1696 and its chapter house collapsed in 1750. Over the same period St John’s, Beverley was allowed to deteriorate, and by 1696 its condition overall was poor and its north transept well out of true; </w:t>
      </w:r>
      <w:r>
        <w:rPr>
          <w:rFonts w:ascii="Times New Roman" w:hAnsi="Times New Roman" w:cs="Times New Roman"/>
          <w:sz w:val="24"/>
          <w:szCs w:val="24"/>
        </w:rPr>
        <w:t xml:space="preserve">by </w:t>
      </w:r>
      <w:r w:rsidRPr="00FE7B91">
        <w:rPr>
          <w:rFonts w:ascii="Times New Roman" w:hAnsi="Times New Roman" w:cs="Times New Roman"/>
          <w:sz w:val="24"/>
          <w:szCs w:val="24"/>
        </w:rPr>
        <w:t>1717 the situation had become critical, and Hawksmoor</w:t>
      </w:r>
      <w:r>
        <w:rPr>
          <w:rFonts w:ascii="Times New Roman" w:hAnsi="Times New Roman" w:cs="Times New Roman"/>
          <w:sz w:val="24"/>
          <w:szCs w:val="24"/>
        </w:rPr>
        <w:t>’s rescue</w:t>
      </w:r>
      <w:r w:rsidRPr="00FE7B91">
        <w:rPr>
          <w:rFonts w:ascii="Times New Roman" w:hAnsi="Times New Roman" w:cs="Times New Roman"/>
          <w:sz w:val="24"/>
          <w:szCs w:val="24"/>
        </w:rPr>
        <w:t xml:space="preserve"> was not completed until 1731.</w:t>
      </w:r>
      <w:r w:rsidRPr="00FE7B91">
        <w:rPr>
          <w:rStyle w:val="FootnoteReference"/>
          <w:rFonts w:ascii="Times New Roman" w:hAnsi="Times New Roman" w:cs="Times New Roman"/>
          <w:sz w:val="24"/>
          <w:szCs w:val="24"/>
        </w:rPr>
        <w:footnoteReference w:id="5"/>
      </w:r>
      <w:r w:rsidRPr="00FE7B91">
        <w:rPr>
          <w:rFonts w:ascii="Times New Roman" w:hAnsi="Times New Roman" w:cs="Times New Roman"/>
          <w:sz w:val="24"/>
          <w:szCs w:val="24"/>
        </w:rPr>
        <w:t xml:space="preserve"> These periods of neglect were protracted even if we assume that those buildings were adequately maintained before their colleges were dissolved, in 1540 and 1548 respectively.</w:t>
      </w:r>
      <w:r w:rsidRPr="00FE7B91">
        <w:rPr>
          <w:rStyle w:val="FootnoteReference"/>
          <w:rFonts w:ascii="Times New Roman" w:hAnsi="Times New Roman" w:cs="Times New Roman"/>
          <w:sz w:val="24"/>
          <w:szCs w:val="24"/>
        </w:rPr>
        <w:footnoteReference w:id="6"/>
      </w:r>
      <w:r w:rsidRPr="00FE7B91">
        <w:rPr>
          <w:rFonts w:ascii="Times New Roman" w:hAnsi="Times New Roman" w:cs="Times New Roman"/>
          <w:sz w:val="24"/>
          <w:szCs w:val="24"/>
        </w:rPr>
        <w:t xml:space="preserve"> Evidently it would be necessary to consider church fabric over a comparable span. </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Second, it might have seemed attractive to conclude in 1714, the year of the deaths of both Queen Anne and John Sharp, archbishop of York from 1691, but the sources encouraged a terminus of 1730. Some archiepiscopal and archidiaconal visitation court books survive from 1662 to 1730, but those from the 1670s onwards shed little light on the state of the fabric. No record of the period 1690 to 1720 matches the detail, thoroughness or scale of the reports which Heneage Dering, archdeacon of the East Riding from 1702 to 1750, made of his inspections of 163 East Riding churches between 1720 and 1725. Terriers prepared in 1726 survive in addition to those of 1685 and 1716, with a scattering from other years. A document entitled ‘The State of the East Riding Clergy Anno 1730’ provides useful information. </w:t>
      </w:r>
      <w:r>
        <w:rPr>
          <w:rFonts w:ascii="Times New Roman" w:hAnsi="Times New Roman" w:cs="Times New Roman"/>
          <w:sz w:val="24"/>
          <w:szCs w:val="24"/>
        </w:rPr>
        <w:t xml:space="preserve">The </w:t>
      </w:r>
      <w:r w:rsidRPr="00FE7B91">
        <w:rPr>
          <w:rFonts w:ascii="Times New Roman" w:hAnsi="Times New Roman" w:cs="Times New Roman"/>
          <w:sz w:val="24"/>
          <w:szCs w:val="24"/>
        </w:rPr>
        <w:t xml:space="preserve">churchwardens’ accounts </w:t>
      </w:r>
      <w:r>
        <w:rPr>
          <w:rFonts w:ascii="Times New Roman" w:hAnsi="Times New Roman" w:cs="Times New Roman"/>
          <w:sz w:val="24"/>
          <w:szCs w:val="24"/>
        </w:rPr>
        <w:t>of St Mary’s Beverley,</w:t>
      </w:r>
      <w:r w:rsidRPr="00FE7B91">
        <w:rPr>
          <w:rFonts w:ascii="Times New Roman" w:hAnsi="Times New Roman" w:cs="Times New Roman"/>
          <w:sz w:val="24"/>
          <w:szCs w:val="24"/>
        </w:rPr>
        <w:t xml:space="preserve"> from 1592 to 1723 within our period, provide an invaluable contemporary guide to many aspects (including cost) of maintenance and repair of other </w:t>
      </w:r>
      <w:r w:rsidRPr="00FE7B91">
        <w:rPr>
          <w:rFonts w:ascii="Times New Roman" w:hAnsi="Times New Roman" w:cs="Times New Roman"/>
          <w:sz w:val="24"/>
          <w:szCs w:val="24"/>
        </w:rPr>
        <w:lastRenderedPageBreak/>
        <w:t xml:space="preserve">churches at the time. The years 1717 to 1730 cover the records of financing the restoration of Beverley Minster. Wardens’ accounts of the East Riding are rare, but some covering the period 1690 to 1730 are extant for eight parishes. It would have been perverse not to include that material. </w:t>
      </w:r>
    </w:p>
    <w:p w:rsidR="00325B82"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Third, the story of the parish church of St John, Beverley, from 1547 to 1730 is, in one sense, that of many East Riding churches, in that its fabric was </w:t>
      </w:r>
      <w:r>
        <w:rPr>
          <w:rFonts w:ascii="Times New Roman" w:hAnsi="Times New Roman" w:cs="Times New Roman"/>
          <w:sz w:val="24"/>
          <w:szCs w:val="24"/>
        </w:rPr>
        <w:t xml:space="preserve">long </w:t>
      </w:r>
      <w:r w:rsidRPr="00FE7B91">
        <w:rPr>
          <w:rFonts w:ascii="Times New Roman" w:hAnsi="Times New Roman" w:cs="Times New Roman"/>
          <w:sz w:val="24"/>
          <w:szCs w:val="24"/>
        </w:rPr>
        <w:t>neglected, and its parishioners could not meet the cost of repair. One may contrast the situation two centuries earlier of St Mary’s, Beverley, whose tower collapsed in 1520, bringing down the nave arcades, clerestory and crossing: reconstruction began immediately, funded by rich parishioners and guilds, and was probably complete by 1524.</w:t>
      </w:r>
      <w:r w:rsidRPr="00FE7B91">
        <w:rPr>
          <w:rStyle w:val="FootnoteReference"/>
          <w:rFonts w:ascii="Times New Roman" w:hAnsi="Times New Roman" w:cs="Times New Roman"/>
          <w:sz w:val="24"/>
          <w:szCs w:val="24"/>
        </w:rPr>
        <w:footnoteReference w:id="7"/>
      </w:r>
      <w:r w:rsidRPr="00FE7B91">
        <w:rPr>
          <w:rFonts w:ascii="Times New Roman" w:hAnsi="Times New Roman" w:cs="Times New Roman"/>
          <w:sz w:val="24"/>
          <w:szCs w:val="24"/>
        </w:rPr>
        <w:t xml:space="preserve"> Finally, if the Reformation was long, lasting into the eighteenth century, it would be illogical to ignore developments potentially attributable to it, whether as it appeared in the sixteenth century, or as it mutated over the following 130 years.</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I chose the archdeaconry of the East Riding for a number of reasons. First, it is a discrete geographical area, bounded by the North Sea to the east and the rivers Derwent and Humber to the north, west and south, and corresponding to the East Riding as it was defined before the boundary changes in 1974, except that until 1974 the Ouse was the western limit, and the tongue on the north-east corner lies and always has lain in the North Riding. This extension includes Scarborough, Hackness and its chapel Harwooddale and Seamer and its two chapels East Ayton and Cayton. These are incorporated because the administrative units which were meaningful between 1547 and 1730 w</w:t>
      </w:r>
      <w:r>
        <w:rPr>
          <w:rFonts w:ascii="Times New Roman" w:hAnsi="Times New Roman" w:cs="Times New Roman"/>
          <w:sz w:val="24"/>
          <w:szCs w:val="24"/>
        </w:rPr>
        <w:t>ere</w:t>
      </w:r>
      <w:r w:rsidRPr="00FE7B91">
        <w:rPr>
          <w:rFonts w:ascii="Times New Roman" w:hAnsi="Times New Roman" w:cs="Times New Roman"/>
          <w:sz w:val="24"/>
          <w:szCs w:val="24"/>
        </w:rPr>
        <w:t xml:space="preserve"> the archdeaconry of the East Riding, and its constituent deaneries: Buckrose, Dic</w:t>
      </w:r>
      <w:r>
        <w:rPr>
          <w:rFonts w:ascii="Times New Roman" w:hAnsi="Times New Roman" w:cs="Times New Roman"/>
          <w:sz w:val="24"/>
          <w:szCs w:val="24"/>
        </w:rPr>
        <w:t>kering, Harthill and Holderness</w:t>
      </w:r>
      <w:r w:rsidRPr="00FE7B91">
        <w:rPr>
          <w:rFonts w:ascii="Times New Roman" w:hAnsi="Times New Roman" w:cs="Times New Roman"/>
          <w:sz w:val="24"/>
          <w:szCs w:val="24"/>
        </w:rPr>
        <w:t>.</w:t>
      </w:r>
      <w:r w:rsidRPr="00FE7B91">
        <w:rPr>
          <w:rStyle w:val="FootnoteReference"/>
          <w:rFonts w:ascii="Times New Roman" w:hAnsi="Times New Roman" w:cs="Times New Roman"/>
          <w:sz w:val="24"/>
          <w:szCs w:val="24"/>
        </w:rPr>
        <w:footnoteReference w:id="8"/>
      </w:r>
      <w:r w:rsidRPr="00FE7B91">
        <w:rPr>
          <w:rFonts w:ascii="Times New Roman" w:hAnsi="Times New Roman" w:cs="Times New Roman"/>
          <w:sz w:val="24"/>
          <w:szCs w:val="24"/>
        </w:rPr>
        <w:t xml:space="preserve"> Second, this was the wealthiest Riding in the Middle Ages, and therefore contains many fine churches, often </w:t>
      </w:r>
      <w:r>
        <w:rPr>
          <w:rFonts w:ascii="Times New Roman" w:hAnsi="Times New Roman" w:cs="Times New Roman"/>
          <w:sz w:val="24"/>
          <w:szCs w:val="24"/>
        </w:rPr>
        <w:t xml:space="preserve">of </w:t>
      </w:r>
      <w:r w:rsidRPr="00FE7B91">
        <w:rPr>
          <w:rFonts w:ascii="Times New Roman" w:hAnsi="Times New Roman" w:cs="Times New Roman"/>
          <w:sz w:val="24"/>
          <w:szCs w:val="24"/>
        </w:rPr>
        <w:t>twelfth century</w:t>
      </w:r>
      <w:r>
        <w:rPr>
          <w:rFonts w:ascii="Times New Roman" w:hAnsi="Times New Roman" w:cs="Times New Roman"/>
          <w:sz w:val="24"/>
          <w:szCs w:val="24"/>
        </w:rPr>
        <w:t xml:space="preserve"> origin</w:t>
      </w:r>
      <w:r w:rsidRPr="00FE7B91">
        <w:rPr>
          <w:rFonts w:ascii="Times New Roman" w:hAnsi="Times New Roman" w:cs="Times New Roman"/>
          <w:sz w:val="24"/>
          <w:szCs w:val="24"/>
        </w:rPr>
        <w:t xml:space="preserve">. As mediaeval villages shrank or vanished, their places of worship </w:t>
      </w:r>
      <w:bookmarkStart w:id="11" w:name="_GoBack"/>
      <w:bookmarkEnd w:id="11"/>
      <w:r w:rsidRPr="00FE7B91">
        <w:rPr>
          <w:rFonts w:ascii="Times New Roman" w:hAnsi="Times New Roman" w:cs="Times New Roman"/>
          <w:sz w:val="24"/>
          <w:szCs w:val="24"/>
        </w:rPr>
        <w:lastRenderedPageBreak/>
        <w:t>became a greater challenge to maintain, and sometimes became redundant: indeed, this study has entailed consideration of some 300 churches or chapels, of which only 213 survived until 1730. The selection would therefore afford a range of approaches to decay. Third, from 1649 to 1658 Parliament conducted a survey of English places of worship, the most valuable sections of which were compiled in 1649 and 1650. The Parliamentary Survey collected information (inter alia) on the worth and content of the rectories and vicarages; payments made from those receipts; clerical stipends; the identities of the impropriators, ministers and patrons; and the assets held by prebends and the terms on which archiepiscopal and pr</w:t>
      </w:r>
      <w:r>
        <w:rPr>
          <w:rFonts w:ascii="Times New Roman" w:hAnsi="Times New Roman" w:cs="Times New Roman"/>
          <w:sz w:val="24"/>
          <w:szCs w:val="24"/>
        </w:rPr>
        <w:t>ebendal property was let. This wa</w:t>
      </w:r>
      <w:r w:rsidRPr="00FE7B91">
        <w:rPr>
          <w:rFonts w:ascii="Times New Roman" w:hAnsi="Times New Roman" w:cs="Times New Roman"/>
          <w:sz w:val="24"/>
          <w:szCs w:val="24"/>
        </w:rPr>
        <w:t xml:space="preserve">s the first methodical, virtually comprehensive, assessment of such matters since the Valor Ecclesiasticus in 1535, and thereafter there is nothing comparable until archbishop Sharp’s compilation (which is less full) in the 1690s: it is therefore invaluable. However, the sections on the North and West Ridings are lost: only that on the East Riding is extant. </w:t>
      </w:r>
    </w:p>
    <w:p w:rsidR="00325B82"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Finally, the East Riding provides a wide range of types of ecclesiastical building and of people responsible for the upkeep. The stock included churches, chapels which had become (or became in our period) independent churches, and chapels which remained chapels. They range in size from Fordon (one of the smallest churches in Britain) to the cathedral dimensions of Beverley Minster. Parishioners remained liable to pay church </w:t>
      </w:r>
      <w:r>
        <w:rPr>
          <w:rFonts w:ascii="Times New Roman" w:hAnsi="Times New Roman" w:cs="Times New Roman"/>
          <w:sz w:val="24"/>
          <w:szCs w:val="24"/>
        </w:rPr>
        <w:t>rat</w:t>
      </w:r>
      <w:r w:rsidRPr="00FE7B91">
        <w:rPr>
          <w:rFonts w:ascii="Times New Roman" w:hAnsi="Times New Roman" w:cs="Times New Roman"/>
          <w:sz w:val="24"/>
          <w:szCs w:val="24"/>
        </w:rPr>
        <w:t>es to pay for the care of the body of their churches, but many different groups of people were liable for chancel repair. Most East Riding churches (with their chapels) had been appropriated in the twelfth or thirteenth centuries to a collegiate entity, whether local, or elsewhere in England or abroad, partly because Yorkshire contained more religious houses than anywhere else in Britain.</w:t>
      </w:r>
      <w:r w:rsidRPr="00FE7B91">
        <w:rPr>
          <w:rStyle w:val="FootnoteReference"/>
          <w:rFonts w:ascii="Times New Roman" w:hAnsi="Times New Roman" w:cs="Times New Roman"/>
          <w:sz w:val="24"/>
          <w:szCs w:val="24"/>
        </w:rPr>
        <w:footnoteReference w:id="9"/>
      </w:r>
      <w:r w:rsidRPr="00FE7B91">
        <w:rPr>
          <w:rFonts w:ascii="Times New Roman" w:hAnsi="Times New Roman" w:cs="Times New Roman"/>
          <w:sz w:val="24"/>
          <w:szCs w:val="24"/>
        </w:rPr>
        <w:t xml:space="preserve"> A vicarage had been ordained in most – but not all – such cases. About a quarter of rectories were owned by </w:t>
      </w:r>
      <w:r w:rsidRPr="00FE7B91">
        <w:rPr>
          <w:rFonts w:ascii="Times New Roman" w:hAnsi="Times New Roman" w:cs="Times New Roman"/>
          <w:sz w:val="24"/>
          <w:szCs w:val="24"/>
        </w:rPr>
        <w:lastRenderedPageBreak/>
        <w:t>ecclesiastical dignitaries.</w:t>
      </w:r>
      <w:r w:rsidRPr="00FE7B91">
        <w:rPr>
          <w:rStyle w:val="FootnoteReference"/>
          <w:rFonts w:ascii="Times New Roman" w:hAnsi="Times New Roman" w:cs="Times New Roman"/>
          <w:sz w:val="24"/>
          <w:szCs w:val="24"/>
        </w:rPr>
        <w:footnoteReference w:id="10"/>
      </w:r>
      <w:r w:rsidRPr="00FE7B91">
        <w:rPr>
          <w:rFonts w:ascii="Times New Roman" w:hAnsi="Times New Roman" w:cs="Times New Roman"/>
          <w:sz w:val="24"/>
          <w:szCs w:val="24"/>
        </w:rPr>
        <w:t xml:space="preserve"> Only some 25 churches – some 17% – were never appropriated.</w:t>
      </w:r>
      <w:r w:rsidRPr="00FE7B91">
        <w:rPr>
          <w:rStyle w:val="FootnoteReference"/>
          <w:rFonts w:ascii="Times New Roman" w:hAnsi="Times New Roman" w:cs="Times New Roman"/>
          <w:sz w:val="24"/>
          <w:szCs w:val="24"/>
        </w:rPr>
        <w:footnoteReference w:id="11"/>
      </w:r>
      <w:r w:rsidRPr="00FE7B91">
        <w:rPr>
          <w:rFonts w:ascii="Times New Roman" w:hAnsi="Times New Roman" w:cs="Times New Roman"/>
          <w:sz w:val="24"/>
          <w:szCs w:val="24"/>
        </w:rPr>
        <w:t xml:space="preserve"> Some communities retained the conventual church (or part of it) as their parish church, while others erected a new building which might better suit their needs . The East Riding also contains an unusually high number of peculiars, whose rectors fell into three categories: collegiate entities; the archbishop of York and the deans </w:t>
      </w:r>
      <w:r>
        <w:rPr>
          <w:rFonts w:ascii="Times New Roman" w:hAnsi="Times New Roman" w:cs="Times New Roman"/>
          <w:sz w:val="24"/>
          <w:szCs w:val="24"/>
        </w:rPr>
        <w:t xml:space="preserve">and chapters </w:t>
      </w:r>
      <w:r w:rsidRPr="00FE7B91">
        <w:rPr>
          <w:rFonts w:ascii="Times New Roman" w:hAnsi="Times New Roman" w:cs="Times New Roman"/>
          <w:sz w:val="24"/>
          <w:szCs w:val="24"/>
        </w:rPr>
        <w:t xml:space="preserve">of York Minster and Durham Cathedral; and other ecclesiastical dignitaries, including prebendaries. In addition, the archbishop of York had acquired a number of rectories which were not peculiars by a forced exchange with the Crown in 1545. </w:t>
      </w:r>
    </w:p>
    <w:p w:rsidR="00325B82" w:rsidRDefault="00325B82" w:rsidP="00325B82">
      <w:pPr>
        <w:spacing w:after="120" w:line="480" w:lineRule="auto"/>
        <w:jc w:val="both"/>
        <w:rPr>
          <w:rFonts w:ascii="Times New Roman" w:hAnsi="Times New Roman" w:cs="Times New Roman"/>
          <w:sz w:val="24"/>
          <w:szCs w:val="24"/>
        </w:rPr>
      </w:pPr>
      <w:r w:rsidRPr="00464BAA">
        <w:rPr>
          <w:rFonts w:ascii="Times New Roman" w:hAnsi="Times New Roman" w:cs="Times New Roman"/>
          <w:sz w:val="24"/>
          <w:szCs w:val="24"/>
        </w:rPr>
        <w:t xml:space="preserve">The Reformation did not alter </w:t>
      </w:r>
      <w:r>
        <w:rPr>
          <w:rFonts w:ascii="Times New Roman" w:hAnsi="Times New Roman" w:cs="Times New Roman"/>
          <w:sz w:val="24"/>
          <w:szCs w:val="24"/>
        </w:rPr>
        <w:t xml:space="preserve">the </w:t>
      </w:r>
      <w:r w:rsidRPr="00464BAA">
        <w:rPr>
          <w:rFonts w:ascii="Times New Roman" w:hAnsi="Times New Roman" w:cs="Times New Roman"/>
          <w:sz w:val="24"/>
          <w:szCs w:val="24"/>
        </w:rPr>
        <w:t>fact</w:t>
      </w:r>
      <w:r>
        <w:rPr>
          <w:rFonts w:ascii="Times New Roman" w:hAnsi="Times New Roman" w:cs="Times New Roman"/>
          <w:sz w:val="24"/>
          <w:szCs w:val="24"/>
        </w:rPr>
        <w:t xml:space="preserve"> that</w:t>
      </w:r>
      <w:r w:rsidRPr="00464BAA">
        <w:rPr>
          <w:rFonts w:ascii="Times New Roman" w:hAnsi="Times New Roman" w:cs="Times New Roman"/>
          <w:sz w:val="24"/>
          <w:szCs w:val="24"/>
        </w:rPr>
        <w:t xml:space="preserve"> the upkeep of church fabric was divided between </w:t>
      </w:r>
      <w:r>
        <w:rPr>
          <w:rFonts w:ascii="Times New Roman" w:hAnsi="Times New Roman" w:cs="Times New Roman"/>
          <w:sz w:val="24"/>
          <w:szCs w:val="24"/>
        </w:rPr>
        <w:t xml:space="preserve">laity </w:t>
      </w:r>
      <w:r w:rsidRPr="00464BAA">
        <w:rPr>
          <w:rFonts w:ascii="Times New Roman" w:hAnsi="Times New Roman" w:cs="Times New Roman"/>
          <w:sz w:val="24"/>
          <w:szCs w:val="24"/>
        </w:rPr>
        <w:t>and rector</w:t>
      </w:r>
      <w:r>
        <w:rPr>
          <w:rFonts w:ascii="Times New Roman" w:hAnsi="Times New Roman" w:cs="Times New Roman"/>
          <w:sz w:val="24"/>
          <w:szCs w:val="24"/>
        </w:rPr>
        <w:t>s</w:t>
      </w:r>
      <w:r w:rsidRPr="00464BAA">
        <w:rPr>
          <w:rFonts w:ascii="Times New Roman" w:hAnsi="Times New Roman" w:cs="Times New Roman"/>
          <w:sz w:val="24"/>
          <w:szCs w:val="24"/>
        </w:rPr>
        <w:t xml:space="preserve"> but in</w:t>
      </w:r>
      <w:r>
        <w:rPr>
          <w:rFonts w:ascii="Times New Roman" w:hAnsi="Times New Roman" w:cs="Times New Roman"/>
          <w:sz w:val="24"/>
          <w:szCs w:val="24"/>
        </w:rPr>
        <w:t xml:space="preserve"> East Yorkshire</w:t>
      </w:r>
      <w:r w:rsidRPr="00464BAA">
        <w:rPr>
          <w:rFonts w:ascii="Times New Roman" w:hAnsi="Times New Roman" w:cs="Times New Roman"/>
          <w:sz w:val="24"/>
          <w:szCs w:val="24"/>
        </w:rPr>
        <w:t xml:space="preserve"> it dramatically affected the fates of </w:t>
      </w:r>
      <w:r>
        <w:rPr>
          <w:rFonts w:ascii="Times New Roman" w:hAnsi="Times New Roman" w:cs="Times New Roman"/>
          <w:sz w:val="24"/>
          <w:szCs w:val="24"/>
        </w:rPr>
        <w:t>chancels, since</w:t>
      </w:r>
      <w:r w:rsidRPr="00464BAA">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FE7B91">
        <w:rPr>
          <w:rFonts w:ascii="Times New Roman" w:hAnsi="Times New Roman" w:cs="Times New Roman"/>
          <w:sz w:val="24"/>
          <w:szCs w:val="24"/>
        </w:rPr>
        <w:t xml:space="preserve">Dissolution caused ownership of most East Riding rectories (and, hence, liability to repair the chancel) and advowsons to pass to a wide range of individuals, who nonetheless shared the characteristic that they personally held that property. By contrast, tenure by religious houses was not personal to any one individual, but collective, and no one person had an unfettered right to dispose of any rectory or to decide how to treat the chancel. The Reformation also affected the disposition of rectories held by ecclesiastics by virtue of their office, because clerics could have legitimate children. Although they could not transfer rectories outright, they could grant leases for three lives on favourable terms to their relatives. Only those 25 rectories which fell outside those two categories were unaffected by the changes in types of owner. </w:t>
      </w:r>
      <w:r>
        <w:rPr>
          <w:rFonts w:ascii="Times New Roman" w:hAnsi="Times New Roman" w:cs="Times New Roman"/>
          <w:sz w:val="24"/>
          <w:szCs w:val="24"/>
        </w:rPr>
        <w:t xml:space="preserve">The supposition central to this thesis was that the care afforded to East Riding chancels post-Reformation depended on whether the rector was an ordained incumbent (and, if so, whether </w:t>
      </w:r>
      <w:r>
        <w:rPr>
          <w:rFonts w:ascii="Times New Roman" w:hAnsi="Times New Roman" w:cs="Times New Roman"/>
          <w:sz w:val="24"/>
          <w:szCs w:val="24"/>
        </w:rPr>
        <w:lastRenderedPageBreak/>
        <w:t xml:space="preserve">he was resident), an absentee ecclesiastical dignitary, or an impropriator, and it varied according to </w:t>
      </w:r>
      <w:r w:rsidRPr="00FE7B91">
        <w:rPr>
          <w:rFonts w:ascii="Times New Roman" w:hAnsi="Times New Roman" w:cs="Times New Roman"/>
          <w:sz w:val="24"/>
          <w:szCs w:val="24"/>
        </w:rPr>
        <w:t>the kinds of people</w:t>
      </w:r>
      <w:r>
        <w:rPr>
          <w:rFonts w:ascii="Times New Roman" w:hAnsi="Times New Roman" w:cs="Times New Roman"/>
          <w:sz w:val="24"/>
          <w:szCs w:val="24"/>
        </w:rPr>
        <w:t xml:space="preserve"> in these categories and </w:t>
      </w:r>
      <w:r w:rsidRPr="00FE7B91">
        <w:rPr>
          <w:rFonts w:ascii="Times New Roman" w:hAnsi="Times New Roman" w:cs="Times New Roman"/>
          <w:sz w:val="24"/>
          <w:szCs w:val="24"/>
        </w:rPr>
        <w:t>their lessees</w:t>
      </w:r>
      <w:r>
        <w:rPr>
          <w:rFonts w:ascii="Times New Roman" w:hAnsi="Times New Roman" w:cs="Times New Roman"/>
          <w:sz w:val="24"/>
          <w:szCs w:val="24"/>
        </w:rPr>
        <w:t>; to the number of impropriators of any one rectory; and to the extent of any connection between the holder and the parish whose rectory he held</w:t>
      </w:r>
      <w:r w:rsidRPr="00FE7B91">
        <w:rPr>
          <w:rFonts w:ascii="Times New Roman" w:hAnsi="Times New Roman" w:cs="Times New Roman"/>
          <w:sz w:val="24"/>
          <w:szCs w:val="24"/>
        </w:rPr>
        <w:t>.</w:t>
      </w:r>
      <w:r>
        <w:rPr>
          <w:rFonts w:ascii="Times New Roman" w:hAnsi="Times New Roman" w:cs="Times New Roman"/>
          <w:sz w:val="24"/>
          <w:szCs w:val="24"/>
        </w:rPr>
        <w:t xml:space="preserve"> My research (summarised below) has proved the hypothesis correct, and the conclusions may well apply to the rest of England.</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All rectories which had belonged to collegiate entities passed to the Crown on the Dissolution. Henry VIII </w:t>
      </w:r>
      <w:r>
        <w:rPr>
          <w:rFonts w:ascii="Times New Roman" w:hAnsi="Times New Roman" w:cs="Times New Roman"/>
          <w:sz w:val="24"/>
          <w:szCs w:val="24"/>
        </w:rPr>
        <w:t xml:space="preserve">included </w:t>
      </w:r>
      <w:r w:rsidRPr="00FE7B91">
        <w:rPr>
          <w:rFonts w:ascii="Times New Roman" w:hAnsi="Times New Roman" w:cs="Times New Roman"/>
          <w:sz w:val="24"/>
          <w:szCs w:val="24"/>
        </w:rPr>
        <w:t xml:space="preserve">a few in Howdenshire </w:t>
      </w:r>
      <w:r>
        <w:rPr>
          <w:rFonts w:ascii="Times New Roman" w:hAnsi="Times New Roman" w:cs="Times New Roman"/>
          <w:sz w:val="24"/>
          <w:szCs w:val="24"/>
        </w:rPr>
        <w:t xml:space="preserve">(but not Howden or its chapels) in his </w:t>
      </w:r>
      <w:r w:rsidRPr="00FE7B91">
        <w:rPr>
          <w:rFonts w:ascii="Times New Roman" w:hAnsi="Times New Roman" w:cs="Times New Roman"/>
          <w:sz w:val="24"/>
          <w:szCs w:val="24"/>
        </w:rPr>
        <w:t>endow</w:t>
      </w:r>
      <w:r>
        <w:rPr>
          <w:rFonts w:ascii="Times New Roman" w:hAnsi="Times New Roman" w:cs="Times New Roman"/>
          <w:sz w:val="24"/>
          <w:szCs w:val="24"/>
        </w:rPr>
        <w:t>ment of</w:t>
      </w:r>
      <w:r w:rsidRPr="00FE7B91">
        <w:rPr>
          <w:rFonts w:ascii="Times New Roman" w:hAnsi="Times New Roman" w:cs="Times New Roman"/>
          <w:sz w:val="24"/>
          <w:szCs w:val="24"/>
        </w:rPr>
        <w:t xml:space="preserve"> Durham Cathedral, but otherwise their fate may be summarised as follows. Henry granted some to laymen, but Queen Elizabeth preferred to lease them, until financial pressures drove her to grant more away, often to property dealers; James I sold most of the remainder, and during the latter’s reign many of these rectories changed hands, often with their advowsons. In this way the obligation to provide an incumbent and to maintain the chancel of most East Riding churches fell into the hands of laity. As to the rectories owned by ecclesiastics, no archbishop of York or dean of York Minster or Durham Cathedral ever acted as the incumbent of any of the livings which they owned by virtue of their office, whereas some ecclesiastics and prebendaries often did so, albeit with the aid of curates, and were often resident when their presence was not required by one of their posts elsewhere. All high-ranking ecclesiastics let out their rectories to laymen during our period, although increasingly on terms which required the tenant to discharge the duty to maintain the chancel, whereas impropriators did not usually impose such a condition on their farmers. Consequently, it is possible, and informative, to compare the treatment of chancels by these different categories of owners and lessees, one only being the direct consequence of the Dissolution, and, therefore, the Reformation, and thereby to assess the impact of the Reformation on East Riding churches.</w:t>
      </w:r>
    </w:p>
    <w:p w:rsidR="00325B82"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Moreover, the changes in the ownership of rectories summarised above also affected those who actually served, and sometimes lived in, the parishes. Prima facie the identity of the incumbent </w:t>
      </w:r>
      <w:r w:rsidRPr="00FE7B91">
        <w:rPr>
          <w:rFonts w:ascii="Times New Roman" w:hAnsi="Times New Roman" w:cs="Times New Roman"/>
          <w:sz w:val="24"/>
          <w:szCs w:val="24"/>
        </w:rPr>
        <w:lastRenderedPageBreak/>
        <w:t xml:space="preserve">depended on the choice of the patron, and post-Reformation patrons continued to appoint rectors. Sometimes </w:t>
      </w:r>
      <w:r>
        <w:rPr>
          <w:rFonts w:ascii="Times New Roman" w:hAnsi="Times New Roman" w:cs="Times New Roman"/>
          <w:sz w:val="24"/>
          <w:szCs w:val="24"/>
        </w:rPr>
        <w:t xml:space="preserve">the Crown retained the advowson; sometimes </w:t>
      </w:r>
      <w:r w:rsidRPr="00FE7B91">
        <w:rPr>
          <w:rFonts w:ascii="Times New Roman" w:hAnsi="Times New Roman" w:cs="Times New Roman"/>
          <w:sz w:val="24"/>
          <w:szCs w:val="24"/>
        </w:rPr>
        <w:t>impropriators</w:t>
      </w:r>
      <w:r>
        <w:rPr>
          <w:rFonts w:ascii="Times New Roman" w:hAnsi="Times New Roman" w:cs="Times New Roman"/>
          <w:sz w:val="24"/>
          <w:szCs w:val="24"/>
        </w:rPr>
        <w:t xml:space="preserve"> were patrons</w:t>
      </w:r>
      <w:r w:rsidRPr="00FE7B91">
        <w:rPr>
          <w:rFonts w:ascii="Times New Roman" w:hAnsi="Times New Roman" w:cs="Times New Roman"/>
          <w:sz w:val="24"/>
          <w:szCs w:val="24"/>
        </w:rPr>
        <w:t xml:space="preserve">; sometimes ecclesiastics who owned rectories by virtue of their post delegated the right to present to their lessees. </w:t>
      </w:r>
      <w:r>
        <w:rPr>
          <w:rFonts w:ascii="Times New Roman" w:hAnsi="Times New Roman" w:cs="Times New Roman"/>
          <w:sz w:val="24"/>
          <w:szCs w:val="24"/>
        </w:rPr>
        <w:t xml:space="preserve">After the Dissolution the East Riding had 34 perpetual curacies, 30 perpetual vicarages and 22 curacies in non-perpetual vicarages, and their situation also changed. Perpetual curates had no right to any stipend, and after the Dissolution either no financial provision was made for them, or such arrangements as were made were inadequate, except for </w:t>
      </w:r>
      <w:r>
        <w:rPr>
          <w:rFonts w:ascii="Times New Roman" w:eastAsia="Calibri" w:hAnsi="Times New Roman" w:cs="Times New Roman"/>
          <w:sz w:val="24"/>
          <w:szCs w:val="24"/>
        </w:rPr>
        <w:t>Beverley Minster and</w:t>
      </w:r>
      <w:r w:rsidRPr="00735C96">
        <w:rPr>
          <w:rFonts w:ascii="Times New Roman" w:hAnsi="Times New Roman" w:cs="Times New Roman"/>
          <w:sz w:val="24"/>
          <w:szCs w:val="24"/>
        </w:rPr>
        <w:t xml:space="preserve"> </w:t>
      </w:r>
      <w:r>
        <w:rPr>
          <w:rFonts w:ascii="Times New Roman" w:hAnsi="Times New Roman" w:cs="Times New Roman"/>
          <w:sz w:val="24"/>
          <w:szCs w:val="24"/>
        </w:rPr>
        <w:t xml:space="preserve">St Mary’s Lowgate, Hull. The stipends of perpetual vicars were fixed when their vicarages were ordained – usually in the thirteenth century – and usually had not been increased since; after the Dissolution no new appointments were made to six of these vicarages, and it became necessary for such vicars to hold two or more posts to survive financially. </w:t>
      </w:r>
      <w:r w:rsidRPr="00FE7B91">
        <w:rPr>
          <w:rFonts w:ascii="Times New Roman" w:hAnsi="Times New Roman" w:cs="Times New Roman"/>
          <w:sz w:val="24"/>
          <w:szCs w:val="24"/>
        </w:rPr>
        <w:t xml:space="preserve">After the Dissolution </w:t>
      </w:r>
      <w:r>
        <w:rPr>
          <w:rFonts w:ascii="Times New Roman" w:hAnsi="Times New Roman" w:cs="Times New Roman"/>
          <w:sz w:val="24"/>
          <w:szCs w:val="24"/>
        </w:rPr>
        <w:t xml:space="preserve">a pattern developed in 22 parishes whereby, although </w:t>
      </w:r>
      <w:r w:rsidRPr="00FE7B91">
        <w:rPr>
          <w:rFonts w:ascii="Times New Roman" w:hAnsi="Times New Roman" w:cs="Times New Roman"/>
          <w:sz w:val="24"/>
          <w:szCs w:val="24"/>
        </w:rPr>
        <w:t>a vicarage had been ordained, no vicar was presented, and instead a curate served the community.</w:t>
      </w:r>
      <w:r>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In these cases, the gap between vicars</w:t>
      </w:r>
      <w:r w:rsidRPr="000779C3">
        <w:rPr>
          <w:rFonts w:ascii="Times New Roman" w:hAnsi="Times New Roman" w:cs="Times New Roman"/>
          <w:sz w:val="24"/>
          <w:szCs w:val="24"/>
        </w:rPr>
        <w:t xml:space="preserve"> </w:t>
      </w:r>
      <w:r>
        <w:rPr>
          <w:rFonts w:ascii="Times New Roman" w:hAnsi="Times New Roman" w:cs="Times New Roman"/>
          <w:sz w:val="24"/>
          <w:szCs w:val="24"/>
        </w:rPr>
        <w:t xml:space="preserve">usually lasted about 150 years, and usually began c.1620-1640 or 1661-1666. </w:t>
      </w:r>
      <w:r w:rsidRPr="00FE7B91">
        <w:rPr>
          <w:rFonts w:ascii="Times New Roman" w:hAnsi="Times New Roman" w:cs="Times New Roman"/>
          <w:sz w:val="24"/>
          <w:szCs w:val="24"/>
        </w:rPr>
        <w:t xml:space="preserve">This practice increased after the Restoration, and became more frequent between 1690 and 1730. In </w:t>
      </w:r>
      <w:r>
        <w:rPr>
          <w:rFonts w:ascii="Times New Roman" w:hAnsi="Times New Roman" w:cs="Times New Roman"/>
          <w:sz w:val="24"/>
          <w:szCs w:val="24"/>
        </w:rPr>
        <w:t xml:space="preserve">such </w:t>
      </w:r>
      <w:r w:rsidRPr="00FE7B91">
        <w:rPr>
          <w:rFonts w:ascii="Times New Roman" w:hAnsi="Times New Roman" w:cs="Times New Roman"/>
          <w:sz w:val="24"/>
          <w:szCs w:val="24"/>
        </w:rPr>
        <w:t>cases incumbents in these parishes were usually appointed and paid by impropriators</w:t>
      </w:r>
      <w:r>
        <w:rPr>
          <w:rFonts w:ascii="Times New Roman" w:hAnsi="Times New Roman" w:cs="Times New Roman"/>
          <w:sz w:val="24"/>
          <w:szCs w:val="24"/>
        </w:rPr>
        <w:t>,</w:t>
      </w:r>
      <w:r w:rsidRPr="00FE7B91">
        <w:rPr>
          <w:rFonts w:ascii="Times New Roman" w:hAnsi="Times New Roman" w:cs="Times New Roman"/>
          <w:sz w:val="24"/>
          <w:szCs w:val="24"/>
        </w:rPr>
        <w:t xml:space="preserve"> ecclesiastics</w:t>
      </w:r>
      <w:r>
        <w:rPr>
          <w:rFonts w:ascii="Times New Roman" w:hAnsi="Times New Roman" w:cs="Times New Roman"/>
          <w:sz w:val="24"/>
          <w:szCs w:val="24"/>
        </w:rPr>
        <w:t>, or the latter</w:t>
      </w:r>
      <w:r w:rsidRPr="00FE7B91">
        <w:rPr>
          <w:rFonts w:ascii="Times New Roman" w:hAnsi="Times New Roman" w:cs="Times New Roman"/>
          <w:sz w:val="24"/>
          <w:szCs w:val="24"/>
        </w:rPr>
        <w:t>s</w:t>
      </w:r>
      <w:r>
        <w:rPr>
          <w:rFonts w:ascii="Times New Roman" w:hAnsi="Times New Roman" w:cs="Times New Roman"/>
          <w:sz w:val="24"/>
          <w:szCs w:val="24"/>
        </w:rPr>
        <w:t>’</w:t>
      </w:r>
      <w:r w:rsidRPr="00FE7B91">
        <w:rPr>
          <w:rFonts w:ascii="Times New Roman" w:hAnsi="Times New Roman" w:cs="Times New Roman"/>
          <w:sz w:val="24"/>
          <w:szCs w:val="24"/>
        </w:rPr>
        <w:t xml:space="preserve"> lessees. The condition of the fabric of churches might well be affected by the different circumstances of such clergy, in contrast to those who were presented by patrons and received the rectorial or vicarial tithes to which they were entitled. The range of livings and incumbents in the East Riding would enable, and has enabled, instructive comparisons to be made.</w:t>
      </w:r>
    </w:p>
    <w:p w:rsidR="00325B82" w:rsidRPr="00FE7B91" w:rsidRDefault="00325B82" w:rsidP="00325B8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Implicit in the points adumbrated above is the extent to which the problems of church maintenance were systemic, and inherent in the laws of property and ownership which survived </w:t>
      </w:r>
      <w:r>
        <w:rPr>
          <w:rFonts w:ascii="Times New Roman" w:hAnsi="Times New Roman" w:cs="Times New Roman"/>
          <w:sz w:val="24"/>
          <w:szCs w:val="24"/>
        </w:rPr>
        <w:lastRenderedPageBreak/>
        <w:t>the Reformation; and the relative importance of the rôles played by poverty, non-conformity and recusancy in non-compliance, especially by parishioners. The events of the period 1547 to 1730 took place against the background of these issues, which affected all English parishes.</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This thesis might have restricted its ambit to matters which were immediately identifiable as the consequence of the Reformation, such as the abandoning of chantry chapels and their re-casting for some other function, such as a family vault; desertion of chancels or reduction in their size; and insistence on the provision of pulpits and communion cups of adequate size for the congregation. Instead, it seeks to address the state of the fabric of all parts of the churches, including their furnishings, which are important elements in the equipping of the building for Protestant worship. Attitudes to all parts of the building are relevant when considering the impact of the Reformation. Moreover, disparity between the condition of the chancel and the nave is itself significant. Serious decay in the chancel was not generally accompanied by dilapidation elsewhere between 1547 and 1730, although minor defects were often cited with chancel neglect. That disparity is often related to the fact that different people were responsible for the two areas, but it may indicate a growing sense that the chancel was liturgically redundant, whereas the nave was not, as at Lowthorpe. </w:t>
      </w:r>
      <w:r>
        <w:rPr>
          <w:rFonts w:ascii="Times New Roman" w:hAnsi="Times New Roman" w:cs="Times New Roman"/>
          <w:sz w:val="24"/>
          <w:szCs w:val="24"/>
        </w:rPr>
        <w:t>However, such a notion probably did not take hold until after the Restoration, when it ceased to be mandatory to accompany every wedding with holy communion.</w:t>
      </w:r>
      <w:r>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The pre-Laudian spread of seating into the chancel demonstrates that the chancel fulfilled a liturgical, as well as a didactic,</w:t>
      </w:r>
      <w:r>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function for congregations, as did the changes required by Cosin and Neile and the continued post-Reformation importance of communion.</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Moreover</w:t>
      </w:r>
      <w:r w:rsidRPr="00FE7B91">
        <w:rPr>
          <w:rFonts w:ascii="Times New Roman" w:hAnsi="Times New Roman" w:cs="Times New Roman"/>
          <w:sz w:val="24"/>
          <w:szCs w:val="24"/>
        </w:rPr>
        <w:t xml:space="preserve">, clearer indications of the </w:t>
      </w:r>
      <w:r>
        <w:rPr>
          <w:rFonts w:ascii="Times New Roman" w:hAnsi="Times New Roman" w:cs="Times New Roman"/>
          <w:sz w:val="24"/>
          <w:szCs w:val="24"/>
        </w:rPr>
        <w:t xml:space="preserve">notion that the chancel was partially redundant </w:t>
      </w:r>
      <w:r w:rsidRPr="00FE7B91">
        <w:rPr>
          <w:rFonts w:ascii="Times New Roman" w:hAnsi="Times New Roman" w:cs="Times New Roman"/>
          <w:sz w:val="24"/>
          <w:szCs w:val="24"/>
        </w:rPr>
        <w:t xml:space="preserve">do not appear until 1731, when Settrington’s chancel was reduced by half its length; 1765, when Bessingby obtained a faculty to cut its length from 51 </w:t>
      </w:r>
      <w:r w:rsidRPr="00FE7B91">
        <w:rPr>
          <w:rFonts w:ascii="Times New Roman" w:hAnsi="Times New Roman" w:cs="Times New Roman"/>
          <w:sz w:val="24"/>
          <w:szCs w:val="24"/>
        </w:rPr>
        <w:lastRenderedPageBreak/>
        <w:t>feet to 31 feet; and the 1770s, when Folkton’s chancel was likewise shortened, and Lowthorpe’s abandoned chancel was walled off from the nave.</w:t>
      </w:r>
      <w:r w:rsidRPr="00FE7B91">
        <w:rPr>
          <w:rStyle w:val="FootnoteReference"/>
          <w:rFonts w:ascii="Times New Roman" w:hAnsi="Times New Roman" w:cs="Times New Roman"/>
          <w:sz w:val="24"/>
          <w:szCs w:val="24"/>
        </w:rPr>
        <w:footnoteReference w:id="16"/>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There are two main areas relevant to this thesis which I have not sought to cover. The first is the Protestant rejection of the concept of purgatory coupled with the extension of the sacrament of penance so as to permit other activity to be substituted for personal deprivation (such as pilgrimage), and the substitution of activity by another (such as prayer by a priest) to atone for sins.</w:t>
      </w:r>
      <w:r w:rsidRPr="00FE7B91">
        <w:rPr>
          <w:rStyle w:val="FootnoteReference"/>
          <w:rFonts w:ascii="Times New Roman" w:hAnsi="Times New Roman" w:cs="Times New Roman"/>
          <w:sz w:val="24"/>
          <w:szCs w:val="24"/>
        </w:rPr>
        <w:footnoteReference w:id="17"/>
      </w:r>
      <w:r w:rsidRPr="00FE7B91">
        <w:rPr>
          <w:rFonts w:ascii="Times New Roman" w:hAnsi="Times New Roman" w:cs="Times New Roman"/>
          <w:sz w:val="24"/>
          <w:szCs w:val="24"/>
        </w:rPr>
        <w:t xml:space="preserve"> According to Le Goff, the twelfth century saw a rapid development in the doctrine of purgatory which culminated by the end of that century in a belief in it as a distinct place; the theology of purgatory evolved during the thirteenth century and by its end had become established as part of generally accepted dogma.</w:t>
      </w:r>
      <w:r w:rsidRPr="00FE7B91">
        <w:rPr>
          <w:rStyle w:val="FootnoteReference"/>
          <w:rFonts w:ascii="Times New Roman" w:hAnsi="Times New Roman" w:cs="Times New Roman"/>
          <w:sz w:val="24"/>
          <w:szCs w:val="24"/>
        </w:rPr>
        <w:footnoteReference w:id="18"/>
      </w:r>
      <w:r w:rsidRPr="00FE7B91">
        <w:rPr>
          <w:rFonts w:ascii="Times New Roman" w:hAnsi="Times New Roman" w:cs="Times New Roman"/>
          <w:sz w:val="24"/>
          <w:szCs w:val="24"/>
        </w:rPr>
        <w:t xml:space="preserve"> </w:t>
      </w:r>
    </w:p>
    <w:p w:rsidR="00325B82"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A rough proxy for the degree to which purgatory and extended penance was acknowledged in East </w:t>
      </w:r>
      <w:r>
        <w:rPr>
          <w:rFonts w:ascii="Times New Roman" w:hAnsi="Times New Roman" w:cs="Times New Roman"/>
          <w:sz w:val="24"/>
          <w:szCs w:val="24"/>
        </w:rPr>
        <w:t>Yorkshire</w:t>
      </w:r>
      <w:r w:rsidRPr="00FE7B91">
        <w:rPr>
          <w:rFonts w:ascii="Times New Roman" w:hAnsi="Times New Roman" w:cs="Times New Roman"/>
          <w:sz w:val="24"/>
          <w:szCs w:val="24"/>
        </w:rPr>
        <w:t xml:space="preserve"> (at least among the well-off) between 1100 and 1550 may be found in the dates by which religious houses and chantries were founded there during those centuries, which are set out in Charts 1 and 2 respectively.</w:t>
      </w:r>
      <w:r w:rsidRPr="00FE7B91">
        <w:rPr>
          <w:rStyle w:val="FootnoteReference"/>
          <w:rFonts w:ascii="Times New Roman" w:hAnsi="Times New Roman" w:cs="Times New Roman"/>
          <w:sz w:val="24"/>
          <w:szCs w:val="24"/>
        </w:rPr>
        <w:footnoteReference w:id="19"/>
      </w:r>
      <w:r w:rsidRPr="00FE7B91">
        <w:rPr>
          <w:rFonts w:ascii="Times New Roman" w:hAnsi="Times New Roman" w:cs="Times New Roman"/>
          <w:sz w:val="24"/>
          <w:szCs w:val="24"/>
        </w:rPr>
        <w:t xml:space="preserve"> </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noProof/>
          <w:sz w:val="24"/>
          <w:szCs w:val="24"/>
          <w:lang w:eastAsia="en-GB"/>
        </w:rPr>
        <w:lastRenderedPageBreak/>
        <w:drawing>
          <wp:inline distT="0" distB="0" distL="0" distR="0" wp14:anchorId="476896CD" wp14:editId="126E053A">
            <wp:extent cx="5698541" cy="3200400"/>
            <wp:effectExtent l="0" t="0" r="1651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25B82" w:rsidRPr="00FE7B91" w:rsidRDefault="00325B82" w:rsidP="00325B82">
      <w:pPr>
        <w:spacing w:after="120" w:line="480" w:lineRule="auto"/>
        <w:jc w:val="both"/>
        <w:rPr>
          <w:rFonts w:ascii="Times New Roman" w:hAnsi="Times New Roman" w:cs="Times New Roman"/>
          <w:sz w:val="24"/>
          <w:szCs w:val="24"/>
        </w:rPr>
      </w:pPr>
      <w:r w:rsidRPr="00FE7B91">
        <w:rPr>
          <w:noProof/>
          <w:u w:val="single"/>
          <w:lang w:eastAsia="en-GB"/>
        </w:rPr>
        <w:drawing>
          <wp:inline distT="0" distB="0" distL="0" distR="0" wp14:anchorId="21CB31E0" wp14:editId="0B4533DF">
            <wp:extent cx="5705856" cy="3094330"/>
            <wp:effectExtent l="0" t="0" r="9525" b="1143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Chart 1 shows a peak in founding religious houses in the late twelfth century and then a reduction until 1350, after whi</w:t>
      </w:r>
      <w:r>
        <w:rPr>
          <w:rFonts w:ascii="Times New Roman" w:hAnsi="Times New Roman" w:cs="Times New Roman"/>
          <w:sz w:val="24"/>
          <w:szCs w:val="24"/>
        </w:rPr>
        <w:t>ch no more were established in</w:t>
      </w:r>
      <w:r w:rsidRPr="00FE7B91">
        <w:rPr>
          <w:rFonts w:ascii="Times New Roman" w:hAnsi="Times New Roman" w:cs="Times New Roman"/>
          <w:sz w:val="24"/>
          <w:szCs w:val="24"/>
        </w:rPr>
        <w:t xml:space="preserve"> East </w:t>
      </w:r>
      <w:r>
        <w:rPr>
          <w:rFonts w:ascii="Times New Roman" w:hAnsi="Times New Roman" w:cs="Times New Roman"/>
          <w:sz w:val="24"/>
          <w:szCs w:val="24"/>
        </w:rPr>
        <w:t>Yorkshire</w:t>
      </w:r>
      <w:r w:rsidRPr="00FE7B91">
        <w:rPr>
          <w:rFonts w:ascii="Times New Roman" w:hAnsi="Times New Roman" w:cs="Times New Roman"/>
          <w:sz w:val="24"/>
          <w:szCs w:val="24"/>
        </w:rPr>
        <w:t>. Chart 2 shows a sharp rise in the endowment of chantries – a practice which directly addressed both penance and purgatory – until the fourteenth century and th</w:t>
      </w:r>
      <w:r>
        <w:rPr>
          <w:rFonts w:ascii="Times New Roman" w:hAnsi="Times New Roman" w:cs="Times New Roman"/>
          <w:sz w:val="24"/>
          <w:szCs w:val="24"/>
        </w:rPr>
        <w:t xml:space="preserve">ereafter a gradual tailing off. </w:t>
      </w:r>
      <w:r w:rsidRPr="00FE7B91">
        <w:rPr>
          <w:rFonts w:ascii="Times New Roman" w:hAnsi="Times New Roman" w:cs="Times New Roman"/>
          <w:sz w:val="24"/>
          <w:szCs w:val="24"/>
        </w:rPr>
        <w:t xml:space="preserve">Taken together, these profiles reflect the rise in the building and re-building of East Riding parish churches </w:t>
      </w:r>
      <w:r w:rsidRPr="00FE7B91">
        <w:rPr>
          <w:rFonts w:ascii="Times New Roman" w:hAnsi="Times New Roman" w:cs="Times New Roman"/>
          <w:sz w:val="24"/>
          <w:szCs w:val="24"/>
        </w:rPr>
        <w:lastRenderedPageBreak/>
        <w:t>over the same period</w:t>
      </w:r>
      <w:r>
        <w:rPr>
          <w:rFonts w:ascii="Times New Roman" w:hAnsi="Times New Roman" w:cs="Times New Roman"/>
          <w:sz w:val="24"/>
          <w:szCs w:val="24"/>
        </w:rPr>
        <w:t>, while the fifteenth century saw a transfer of bequests from monasteries to parish churches, and considerable work on the latter until the early sixteenth century</w:t>
      </w:r>
      <w:r w:rsidRPr="00FE7B91">
        <w:rPr>
          <w:rFonts w:ascii="Times New Roman" w:hAnsi="Times New Roman" w:cs="Times New Roman"/>
          <w:sz w:val="24"/>
          <w:szCs w:val="24"/>
        </w:rPr>
        <w:t>.</w:t>
      </w:r>
      <w:r>
        <w:rPr>
          <w:rStyle w:val="FootnoteReference"/>
          <w:rFonts w:ascii="Times New Roman" w:hAnsi="Times New Roman" w:cs="Times New Roman"/>
          <w:sz w:val="24"/>
          <w:szCs w:val="24"/>
        </w:rPr>
        <w:footnoteReference w:id="20"/>
      </w:r>
      <w:r w:rsidRPr="00FE7B91">
        <w:rPr>
          <w:rFonts w:ascii="Times New Roman" w:hAnsi="Times New Roman" w:cs="Times New Roman"/>
          <w:sz w:val="24"/>
          <w:szCs w:val="24"/>
        </w:rPr>
        <w:t xml:space="preserve"> </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These twin doctrines themselves probably spurred the building and repair of churches in the Middle Ages. From the eleventh century, churches were built and monasteries founded as a form of penance. For example, in order to obtain papal recognition of their marriage and to expiate the sins allegedly committed by their union, William the Conqueror and his wife each built and endowed monastic houses in Caen.</w:t>
      </w:r>
      <w:r w:rsidRPr="00FE7B91">
        <w:rPr>
          <w:rStyle w:val="FootnoteReference"/>
          <w:rFonts w:ascii="Times New Roman" w:hAnsi="Times New Roman" w:cs="Times New Roman"/>
          <w:sz w:val="24"/>
          <w:szCs w:val="24"/>
        </w:rPr>
        <w:footnoteReference w:id="21"/>
      </w:r>
      <w:r w:rsidRPr="00FE7B91">
        <w:rPr>
          <w:rFonts w:ascii="Times New Roman" w:hAnsi="Times New Roman" w:cs="Times New Roman"/>
          <w:sz w:val="24"/>
          <w:szCs w:val="24"/>
        </w:rPr>
        <w:t xml:space="preserve"> In 1070, Bishop Ermenfrid imposed a Penitentiary on all those who had fought at Hastings which permitted the commutation of penance by building a church.</w:t>
      </w:r>
      <w:r w:rsidRPr="00FE7B91">
        <w:rPr>
          <w:rStyle w:val="FootnoteReference"/>
          <w:rFonts w:ascii="Times New Roman" w:hAnsi="Times New Roman" w:cs="Times New Roman"/>
          <w:sz w:val="24"/>
          <w:szCs w:val="24"/>
        </w:rPr>
        <w:footnoteReference w:id="22"/>
      </w:r>
      <w:r w:rsidRPr="00FE7B91">
        <w:rPr>
          <w:rFonts w:ascii="Times New Roman" w:hAnsi="Times New Roman" w:cs="Times New Roman"/>
          <w:sz w:val="24"/>
          <w:szCs w:val="24"/>
        </w:rPr>
        <w:t xml:space="preserve"> In 1089, Pope Urban II asserted that contributing to the reconstruction of Tarragona’s cathedral church was a form of crusade; and, in the twelfth century, Gratian specifically identified the sinner’s presence at the dedication of a church or on the anniversary of that dedication as a form of penance.</w:t>
      </w:r>
      <w:r w:rsidRPr="00FE7B91">
        <w:rPr>
          <w:rStyle w:val="FootnoteReference"/>
          <w:rFonts w:ascii="Times New Roman" w:hAnsi="Times New Roman" w:cs="Times New Roman"/>
          <w:sz w:val="24"/>
          <w:szCs w:val="24"/>
        </w:rPr>
        <w:footnoteReference w:id="23"/>
      </w:r>
      <w:r w:rsidRPr="00FE7B91">
        <w:rPr>
          <w:rFonts w:ascii="Times New Roman" w:hAnsi="Times New Roman" w:cs="Times New Roman"/>
          <w:sz w:val="24"/>
          <w:szCs w:val="24"/>
        </w:rPr>
        <w:t xml:space="preserve"> According to the mid-thirteenth century Pontifical of William Durandus, an indulgence might be granted at the very outset of building works to sinners present during the ceremony of laying the first stone. In the mid twelfth century, after confessing their faults and having obtained absolution, in northern France men worked like beasts of burden on the sites where churches were being built.</w:t>
      </w:r>
      <w:r w:rsidRPr="00FE7B91">
        <w:rPr>
          <w:rStyle w:val="FootnoteReference"/>
          <w:rFonts w:ascii="Times New Roman" w:hAnsi="Times New Roman" w:cs="Times New Roman"/>
          <w:sz w:val="24"/>
          <w:szCs w:val="24"/>
        </w:rPr>
        <w:footnoteReference w:id="24"/>
      </w:r>
      <w:r w:rsidRPr="00FE7B91">
        <w:rPr>
          <w:rFonts w:ascii="Times New Roman" w:hAnsi="Times New Roman" w:cs="Times New Roman"/>
          <w:sz w:val="24"/>
          <w:szCs w:val="24"/>
        </w:rPr>
        <w:t xml:space="preserve"> Thereafter, indulgences were granted from time to time for those who contributed financially to the repair or rebuilding of churches: Drypool in 1428 and Barmby Moor in 1480 are two examples in the archdeaconry.</w:t>
      </w:r>
      <w:r w:rsidRPr="00FE7B91">
        <w:rPr>
          <w:rStyle w:val="FootnoteReference"/>
          <w:rFonts w:ascii="Times New Roman" w:hAnsi="Times New Roman" w:cs="Times New Roman"/>
          <w:sz w:val="24"/>
          <w:szCs w:val="24"/>
        </w:rPr>
        <w:footnoteReference w:id="25"/>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lastRenderedPageBreak/>
        <w:t xml:space="preserve">The removal of such doctrinal and financial incentives to the construction and repair of churches probably played a significant part in post-Reformation attitudes to the building and restoration of ecclesiastical edifices. However, investigating the extent to which the removal and absence of those incentives affected the building and repair of East Riding churches would have </w:t>
      </w:r>
      <w:r>
        <w:rPr>
          <w:rFonts w:ascii="Times New Roman" w:hAnsi="Times New Roman" w:cs="Times New Roman"/>
          <w:sz w:val="24"/>
          <w:szCs w:val="24"/>
        </w:rPr>
        <w:t xml:space="preserve">been </w:t>
      </w:r>
      <w:r w:rsidRPr="00FE7B91">
        <w:rPr>
          <w:rFonts w:ascii="Times New Roman" w:hAnsi="Times New Roman" w:cs="Times New Roman"/>
          <w:sz w:val="24"/>
          <w:szCs w:val="24"/>
        </w:rPr>
        <w:t>impracticabl</w:t>
      </w:r>
      <w:r>
        <w:rPr>
          <w:rFonts w:ascii="Times New Roman" w:hAnsi="Times New Roman" w:cs="Times New Roman"/>
          <w:sz w:val="24"/>
          <w:szCs w:val="24"/>
        </w:rPr>
        <w:t>e</w:t>
      </w:r>
      <w:r w:rsidRPr="00FE7B91">
        <w:rPr>
          <w:rFonts w:ascii="Times New Roman" w:hAnsi="Times New Roman" w:cs="Times New Roman"/>
          <w:sz w:val="24"/>
          <w:szCs w:val="24"/>
        </w:rPr>
        <w:t xml:space="preserve">. The same difficulties precluded consideration of a second area: the extent to which </w:t>
      </w:r>
      <w:r>
        <w:rPr>
          <w:rFonts w:ascii="Times New Roman" w:hAnsi="Times New Roman" w:cs="Times New Roman"/>
          <w:sz w:val="24"/>
          <w:szCs w:val="24"/>
        </w:rPr>
        <w:t xml:space="preserve">(if at all) </w:t>
      </w:r>
      <w:r w:rsidRPr="00FE7B91">
        <w:rPr>
          <w:rFonts w:ascii="Times New Roman" w:hAnsi="Times New Roman" w:cs="Times New Roman"/>
          <w:sz w:val="24"/>
          <w:szCs w:val="24"/>
        </w:rPr>
        <w:t xml:space="preserve">English Protestantism in our period was more a faith of interiority than was pre-Reformation Catholicism, and was therefore less concerned with church fabric. </w:t>
      </w:r>
    </w:p>
    <w:p w:rsidR="00325B82" w:rsidRPr="00B1082D" w:rsidRDefault="00325B82" w:rsidP="00325B82">
      <w:pPr>
        <w:pStyle w:val="Style2"/>
        <w:spacing w:before="0" w:line="480" w:lineRule="auto"/>
        <w:rPr>
          <w:sz w:val="32"/>
          <w:szCs w:val="32"/>
        </w:rPr>
      </w:pPr>
      <w:bookmarkStart w:id="12" w:name="_Toc84273604"/>
      <w:r w:rsidRPr="00B1082D">
        <w:rPr>
          <w:sz w:val="32"/>
          <w:szCs w:val="32"/>
        </w:rPr>
        <w:t>Historiography</w:t>
      </w:r>
      <w:bookmarkEnd w:id="12"/>
    </w:p>
    <w:p w:rsidR="00325B82" w:rsidRDefault="00325B82" w:rsidP="00325B8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The last thirty years have seen much debate on what is meant by ‘the Reformation’, and when it was established. The very title of Spurr’s book, </w:t>
      </w:r>
      <w:r>
        <w:rPr>
          <w:rFonts w:ascii="Times New Roman" w:hAnsi="Times New Roman" w:cs="Times New Roman"/>
          <w:i/>
          <w:sz w:val="24"/>
          <w:szCs w:val="24"/>
        </w:rPr>
        <w:t>The Post-Reformation: 1603-1714</w:t>
      </w:r>
      <w:r>
        <w:rPr>
          <w:rFonts w:ascii="Times New Roman" w:hAnsi="Times New Roman" w:cs="Times New Roman"/>
          <w:sz w:val="24"/>
          <w:szCs w:val="24"/>
        </w:rPr>
        <w:t xml:space="preserve"> presupposes that the Reformation in England was complete by 1603, but by 2002 he apparently accepts that a more appropriate date might be ‘somewhere between 1660 and 1760’. Marshall espouses 1640, while Tyacke argued for 1800, because ‘the deep divisions among Protestants…resulted during the seventeenth century in the temporary destruction of the Elizabethan “settlement of religion”, with the Puritans and their Dissenter successors claiming to be the true heirs of the Reformation – a conflict of interpretation which the 1689 Toleration Act only served to institutionalise’.</w:t>
      </w:r>
      <w:r>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However, there is much to be said for choosing a date or time-frame within which the essential character of the English Reformation can (in hindsight) be seen to have been settled, for at least a century, and we reach that point in about 1700. By then the implications of the Toleration Act had been worked out and the character of the English Reformation had been fixed as that ordained by the terms implemented in 1661-62, coupled </w:t>
      </w:r>
      <w:r>
        <w:rPr>
          <w:rFonts w:ascii="Times New Roman" w:hAnsi="Times New Roman" w:cs="Times New Roman"/>
          <w:sz w:val="24"/>
          <w:szCs w:val="24"/>
        </w:rPr>
        <w:lastRenderedPageBreak/>
        <w:t>with the conditions of the Act imposed on dissenters and the restrictions on Catholics retained, as it remained until the nineteenth century.</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An enquiry into the state of East Riding churches in 1547 and thereafter to 1730 was logically prior to considering the impact of the Reformation on the building and repair of those edifices, but </w:t>
      </w:r>
      <w:r>
        <w:rPr>
          <w:rFonts w:ascii="Times New Roman" w:hAnsi="Times New Roman" w:cs="Times New Roman"/>
          <w:sz w:val="24"/>
          <w:szCs w:val="24"/>
        </w:rPr>
        <w:t>published work</w:t>
      </w:r>
      <w:r w:rsidRPr="00FE7B91">
        <w:rPr>
          <w:rFonts w:ascii="Times New Roman" w:hAnsi="Times New Roman" w:cs="Times New Roman"/>
          <w:sz w:val="24"/>
          <w:szCs w:val="24"/>
        </w:rPr>
        <w:t xml:space="preserve"> on this is limited to the Victoria County History, Canon Purvis’ 31-page account covering 500 years and to histories of a few individual churches. Again, I have not discovered any research on the types of persons who or entities which owned rectories or on the correlation (if any) between such types and the extent of maintenance of the relevant chancels.</w:t>
      </w:r>
      <w:r>
        <w:rPr>
          <w:rFonts w:ascii="Times New Roman" w:hAnsi="Times New Roman" w:cs="Times New Roman"/>
          <w:sz w:val="24"/>
          <w:szCs w:val="24"/>
        </w:rPr>
        <w:t xml:space="preserve"> However, Hamilton Thompson states that the reason for the general disparity in condition in the fifteenth century between chancels and naves was the fact that different people were responsible for each and implies that the circumstances of mediaeval rectors were usually relevant to the state of the fabric.</w:t>
      </w:r>
      <w:r>
        <w:rPr>
          <w:rStyle w:val="FootnoteReference"/>
          <w:rFonts w:ascii="Times New Roman" w:hAnsi="Times New Roman" w:cs="Times New Roman"/>
          <w:sz w:val="24"/>
          <w:szCs w:val="24"/>
        </w:rPr>
        <w:footnoteReference w:id="27"/>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Nor have I found any </w:t>
      </w:r>
      <w:r>
        <w:rPr>
          <w:rFonts w:ascii="Times New Roman" w:hAnsi="Times New Roman" w:cs="Times New Roman"/>
          <w:sz w:val="24"/>
          <w:szCs w:val="24"/>
        </w:rPr>
        <w:t>studies</w:t>
      </w:r>
      <w:r w:rsidRPr="00FE7B91">
        <w:rPr>
          <w:rFonts w:ascii="Times New Roman" w:hAnsi="Times New Roman" w:cs="Times New Roman"/>
          <w:sz w:val="24"/>
          <w:szCs w:val="24"/>
        </w:rPr>
        <w:t xml:space="preserve"> specifically on the impact of the Reformation on the building and repair of churches, but there is considerable research on many themes relevant to the topic. Perhaps the most important of these concerns changes to the architectural setting of worship – whether in mediaeval churches or in the design of churches constructed post-Reformation – brought about by the adoption of Protestantism, as opposed to the maintenance and repair of existing buildings. In 1547 England had a substantial stock of mediaeval churches. Very few new Protestant churches were built in England between 1547 and 1730. Andrew Spicer lists 72 new consecrations in England between 1600 and 1649, of which only </w:t>
      </w:r>
      <w:r>
        <w:rPr>
          <w:rFonts w:ascii="Times New Roman" w:hAnsi="Times New Roman" w:cs="Times New Roman"/>
          <w:sz w:val="24"/>
          <w:szCs w:val="24"/>
        </w:rPr>
        <w:t>fourteen</w:t>
      </w:r>
      <w:r w:rsidRPr="00FE7B91">
        <w:rPr>
          <w:rFonts w:ascii="Times New Roman" w:hAnsi="Times New Roman" w:cs="Times New Roman"/>
          <w:sz w:val="24"/>
          <w:szCs w:val="24"/>
        </w:rPr>
        <w:t xml:space="preserve"> were of parish </w:t>
      </w:r>
      <w:r w:rsidRPr="00FE7B91">
        <w:rPr>
          <w:rFonts w:ascii="Times New Roman" w:hAnsi="Times New Roman" w:cs="Times New Roman"/>
          <w:sz w:val="24"/>
          <w:szCs w:val="24"/>
        </w:rPr>
        <w:lastRenderedPageBreak/>
        <w:t>churches.</w:t>
      </w:r>
      <w:r w:rsidRPr="00FE7B91">
        <w:rPr>
          <w:rFonts w:ascii="Times New Roman" w:hAnsi="Times New Roman" w:cs="Times New Roman"/>
          <w:sz w:val="24"/>
          <w:szCs w:val="24"/>
          <w:vertAlign w:val="superscript"/>
        </w:rPr>
        <w:footnoteReference w:id="28"/>
      </w:r>
      <w:r>
        <w:rPr>
          <w:rFonts w:ascii="Times New Roman" w:hAnsi="Times New Roman" w:cs="Times New Roman"/>
          <w:sz w:val="24"/>
          <w:szCs w:val="24"/>
        </w:rPr>
        <w:t xml:space="preserve"> </w:t>
      </w:r>
      <w:r w:rsidRPr="00FE7B91">
        <w:rPr>
          <w:rFonts w:ascii="Times New Roman" w:hAnsi="Times New Roman" w:cs="Times New Roman"/>
          <w:sz w:val="24"/>
          <w:szCs w:val="24"/>
        </w:rPr>
        <w:t>The East Riding provides only Harwooddale, built in 1634,</w:t>
      </w:r>
      <w:r w:rsidRPr="00FE7B91">
        <w:rPr>
          <w:rFonts w:ascii="Times New Roman" w:hAnsi="Times New Roman" w:cs="Times New Roman"/>
          <w:sz w:val="24"/>
          <w:szCs w:val="24"/>
          <w:vertAlign w:val="superscript"/>
        </w:rPr>
        <w:footnoteReference w:id="29"/>
      </w:r>
      <w:r w:rsidRPr="00FE7B91">
        <w:rPr>
          <w:rFonts w:ascii="Times New Roman" w:hAnsi="Times New Roman" w:cs="Times New Roman"/>
          <w:sz w:val="24"/>
          <w:szCs w:val="24"/>
        </w:rPr>
        <w:t xml:space="preserve"> and possibly Watton.</w:t>
      </w:r>
      <w:r w:rsidRPr="00FE7B91">
        <w:rPr>
          <w:rFonts w:ascii="Times New Roman" w:hAnsi="Times New Roman" w:cs="Times New Roman"/>
          <w:sz w:val="24"/>
          <w:szCs w:val="24"/>
          <w:vertAlign w:val="superscript"/>
        </w:rPr>
        <w:footnoteReference w:id="30"/>
      </w:r>
    </w:p>
    <w:p w:rsidR="00325B82"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The core of mediaeval church a</w:t>
      </w:r>
      <w:r>
        <w:rPr>
          <w:rFonts w:ascii="Times New Roman" w:hAnsi="Times New Roman" w:cs="Times New Roman"/>
          <w:sz w:val="24"/>
          <w:szCs w:val="24"/>
        </w:rPr>
        <w:t>rchitecture was a two-cell unit</w:t>
      </w:r>
      <w:r w:rsidRPr="00FE7B91">
        <w:rPr>
          <w:rFonts w:ascii="Times New Roman" w:hAnsi="Times New Roman" w:cs="Times New Roman"/>
          <w:sz w:val="24"/>
          <w:szCs w:val="24"/>
        </w:rPr>
        <w:t xml:space="preserve"> – the nave for the laity and the chancel for the clergy, which was deemed holier than the nave</w:t>
      </w:r>
      <w:r>
        <w:rPr>
          <w:rFonts w:ascii="Times New Roman" w:hAnsi="Times New Roman" w:cs="Times New Roman"/>
          <w:sz w:val="24"/>
          <w:szCs w:val="24"/>
        </w:rPr>
        <w:t xml:space="preserve"> </w:t>
      </w:r>
      <w:r w:rsidRPr="00FE7B91">
        <w:rPr>
          <w:rFonts w:ascii="Times New Roman" w:hAnsi="Times New Roman" w:cs="Times New Roman"/>
          <w:sz w:val="24"/>
          <w:szCs w:val="24"/>
        </w:rPr>
        <w:t xml:space="preserve">– </w:t>
      </w:r>
      <w:r>
        <w:rPr>
          <w:rFonts w:ascii="Times New Roman" w:hAnsi="Times New Roman" w:cs="Times New Roman"/>
          <w:sz w:val="24"/>
          <w:szCs w:val="24"/>
        </w:rPr>
        <w:t>to which was later added a third cell (the choir),</w:t>
      </w:r>
      <w:r w:rsidRPr="00FE7B91">
        <w:rPr>
          <w:rFonts w:ascii="Times New Roman" w:hAnsi="Times New Roman" w:cs="Times New Roman"/>
          <w:sz w:val="24"/>
          <w:szCs w:val="24"/>
        </w:rPr>
        <w:t xml:space="preserve"> </w:t>
      </w:r>
      <w:r>
        <w:rPr>
          <w:rFonts w:ascii="Times New Roman" w:hAnsi="Times New Roman" w:cs="Times New Roman"/>
          <w:sz w:val="24"/>
          <w:szCs w:val="24"/>
        </w:rPr>
        <w:t>of intermediate sanctity.</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Barred from</w:t>
      </w:r>
      <w:r w:rsidRPr="00FE7B91">
        <w:rPr>
          <w:rFonts w:ascii="Times New Roman" w:hAnsi="Times New Roman" w:cs="Times New Roman"/>
          <w:sz w:val="24"/>
          <w:szCs w:val="24"/>
        </w:rPr>
        <w:t xml:space="preserve"> </w:t>
      </w:r>
      <w:r>
        <w:rPr>
          <w:rFonts w:ascii="Times New Roman" w:hAnsi="Times New Roman" w:cs="Times New Roman"/>
          <w:sz w:val="24"/>
          <w:szCs w:val="24"/>
        </w:rPr>
        <w:t xml:space="preserve">monastic </w:t>
      </w:r>
      <w:r w:rsidRPr="00FE7B91">
        <w:rPr>
          <w:rFonts w:ascii="Times New Roman" w:hAnsi="Times New Roman" w:cs="Times New Roman"/>
          <w:sz w:val="24"/>
          <w:szCs w:val="24"/>
        </w:rPr>
        <w:t>chancel</w:t>
      </w:r>
      <w:r>
        <w:rPr>
          <w:rFonts w:ascii="Times New Roman" w:hAnsi="Times New Roman" w:cs="Times New Roman"/>
          <w:sz w:val="24"/>
          <w:szCs w:val="24"/>
        </w:rPr>
        <w:t>s</w:t>
      </w:r>
      <w:r w:rsidRPr="00FE7B91">
        <w:rPr>
          <w:rFonts w:ascii="Times New Roman" w:hAnsi="Times New Roman" w:cs="Times New Roman"/>
          <w:sz w:val="24"/>
          <w:szCs w:val="24"/>
        </w:rPr>
        <w:t>,</w:t>
      </w:r>
      <w:r>
        <w:rPr>
          <w:rFonts w:ascii="Times New Roman" w:hAnsi="Times New Roman" w:cs="Times New Roman"/>
          <w:sz w:val="24"/>
          <w:szCs w:val="24"/>
        </w:rPr>
        <w:t xml:space="preserve"> laymen were seldom permitted within parochial church chancels</w:t>
      </w:r>
      <w:r w:rsidRPr="00FE7B91">
        <w:rPr>
          <w:rFonts w:ascii="Times New Roman" w:hAnsi="Times New Roman" w:cs="Times New Roman"/>
          <w:sz w:val="24"/>
          <w:szCs w:val="24"/>
        </w:rPr>
        <w:t>.</w:t>
      </w:r>
      <w:r>
        <w:rPr>
          <w:rStyle w:val="FootnoteReference"/>
          <w:rFonts w:ascii="Times New Roman" w:hAnsi="Times New Roman" w:cs="Times New Roman"/>
          <w:sz w:val="24"/>
          <w:szCs w:val="24"/>
        </w:rPr>
        <w:footnoteReference w:id="32"/>
      </w:r>
      <w:r w:rsidRPr="00FE7B91">
        <w:rPr>
          <w:rFonts w:ascii="Times New Roman" w:hAnsi="Times New Roman" w:cs="Times New Roman"/>
          <w:sz w:val="24"/>
          <w:szCs w:val="24"/>
        </w:rPr>
        <w:t xml:space="preserve"> </w:t>
      </w:r>
      <w:r>
        <w:rPr>
          <w:rFonts w:ascii="Times New Roman" w:hAnsi="Times New Roman" w:cs="Times New Roman"/>
          <w:sz w:val="24"/>
          <w:szCs w:val="24"/>
        </w:rPr>
        <w:t xml:space="preserve">Such was the view of Durandus, who in the thirteenth century wrote an enormously influential treatise on the symbolism of church architecture and liturgy: </w:t>
      </w:r>
    </w:p>
    <w:p w:rsidR="00325B82" w:rsidRDefault="00325B82" w:rsidP="00325B82">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‘dispositio Ecclesiae triplicem statum in Ecclesia salvandorum significat: ordinem virginum, chorus continentium, corpus conjugatorum. Strictius est enim sanctuarium, quam chorus, et chorus quam corpus, quia pauciores sunt virgines, quam continentes, et isti quam conjugati. Sanctior quoque est locus sanctuarii, quam chorus, et chorus, quam corpus, quia dignior est ordo virginum quam continentium. Et illorum quam conjugatorum…Cancelli vero quibus altare a choro dividitur</w:t>
      </w:r>
      <w:r w:rsidRPr="00FE7B91">
        <w:rPr>
          <w:rFonts w:ascii="Times New Roman" w:hAnsi="Times New Roman" w:cs="Times New Roman"/>
          <w:sz w:val="24"/>
          <w:szCs w:val="24"/>
        </w:rPr>
        <w:t xml:space="preserve"> </w:t>
      </w:r>
      <w:r>
        <w:rPr>
          <w:rFonts w:ascii="Times New Roman" w:hAnsi="Times New Roman" w:cs="Times New Roman"/>
          <w:sz w:val="24"/>
          <w:szCs w:val="24"/>
        </w:rPr>
        <w:t>separationem coelestium significant a terrenis’.</w:t>
      </w:r>
      <w:r>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Many churches were cruciform; </w:t>
      </w:r>
      <w:r>
        <w:rPr>
          <w:rFonts w:ascii="Times New Roman" w:hAnsi="Times New Roman" w:cs="Times New Roman"/>
          <w:sz w:val="24"/>
          <w:szCs w:val="24"/>
        </w:rPr>
        <w:t xml:space="preserve">all </w:t>
      </w:r>
      <w:r w:rsidRPr="00FE7B91">
        <w:rPr>
          <w:rFonts w:ascii="Times New Roman" w:hAnsi="Times New Roman" w:cs="Times New Roman"/>
          <w:sz w:val="24"/>
          <w:szCs w:val="24"/>
        </w:rPr>
        <w:t>had fonts, usually at the west end of the nave</w:t>
      </w:r>
      <w:r>
        <w:rPr>
          <w:rFonts w:ascii="Times New Roman" w:hAnsi="Times New Roman" w:cs="Times New Roman"/>
          <w:sz w:val="24"/>
          <w:szCs w:val="24"/>
        </w:rPr>
        <w:t>;</w:t>
      </w:r>
      <w:r w:rsidRPr="00FE7B91">
        <w:rPr>
          <w:rFonts w:ascii="Times New Roman" w:hAnsi="Times New Roman" w:cs="Times New Roman"/>
          <w:sz w:val="24"/>
          <w:szCs w:val="24"/>
        </w:rPr>
        <w:t xml:space="preserve"> many had aisles with altars at each east end; </w:t>
      </w:r>
      <w:r>
        <w:rPr>
          <w:rFonts w:ascii="Times New Roman" w:hAnsi="Times New Roman" w:cs="Times New Roman"/>
          <w:sz w:val="24"/>
          <w:szCs w:val="24"/>
        </w:rPr>
        <w:t xml:space="preserve">and </w:t>
      </w:r>
      <w:r w:rsidRPr="00FE7B91">
        <w:rPr>
          <w:rFonts w:ascii="Times New Roman" w:hAnsi="Times New Roman" w:cs="Times New Roman"/>
          <w:sz w:val="24"/>
          <w:szCs w:val="24"/>
        </w:rPr>
        <w:t xml:space="preserve">some had chantry chapels. Protestants in England had to adjust the structure, furnishings and functions of these different areas of mediaeval churches to meet new doctrinal and liturgical requirements, and interpretations of what was needed varied over our period. All involved redefining ‘the holy’, and the extent to which any one area was peculiarly the province of either the priest or the laity, and was visibly marked as such, although </w:t>
      </w:r>
      <w:r w:rsidRPr="00FE7B91">
        <w:rPr>
          <w:rFonts w:ascii="Times New Roman" w:hAnsi="Times New Roman" w:cs="Times New Roman"/>
          <w:sz w:val="24"/>
          <w:szCs w:val="24"/>
        </w:rPr>
        <w:lastRenderedPageBreak/>
        <w:t xml:space="preserve">chancels and naves remained distinct areas. Thus, in the early 1550s, the priest was to conduct services from the chancel, but laymen were to enter it to take communion, whereas under the Elizabethan Settlement the minister was to read the offices from the nave, while communion was to be administered in the chancel, around a covered table which was to be brought into the chancel’s centre table-wise for that purpose from its usual altar-wise position at the east end. Soon the communion table was placed table-wise invariably, and at all times either at the west end of the chancel or near it within the nave. Chancels were often fitted with seating along all three sides. Parishes were compelled to acquire cups of sufficient size to match their congregations, bibles in the latest translation and (in England) copies of the Book of Common Prayer. Rood-lofts were to be removed, but not rood-screens. Fonts were sometimes re-sited to the east end of the nave so as to ensure the congregation could see baptisms. Chantry chapels were either disused or repurposed, often as family burial chapels. </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In the late sixteenth and early seventeenth centuries Protestant logo-centricism led to the addition of substantial pulpits and reading desks within the nave, and of much unregulated fixed seating, including galleries, sometimes by churchwardens and sometimes by individuals, both in the nave and in the chancel. </w:t>
      </w:r>
      <w:r>
        <w:rPr>
          <w:rFonts w:ascii="Times New Roman" w:hAnsi="Times New Roman" w:cs="Times New Roman"/>
          <w:sz w:val="24"/>
          <w:szCs w:val="24"/>
        </w:rPr>
        <w:t>Psalm</w:t>
      </w:r>
      <w:r w:rsidRPr="00FE7B91">
        <w:rPr>
          <w:rFonts w:ascii="Times New Roman" w:hAnsi="Times New Roman" w:cs="Times New Roman"/>
          <w:sz w:val="24"/>
          <w:szCs w:val="24"/>
        </w:rPr>
        <w:t>-singing became an important part of worship</w:t>
      </w:r>
      <w:r>
        <w:rPr>
          <w:rFonts w:ascii="Times New Roman" w:hAnsi="Times New Roman" w:cs="Times New Roman"/>
          <w:sz w:val="24"/>
          <w:szCs w:val="24"/>
        </w:rPr>
        <w:t xml:space="preserve"> in larger churches</w:t>
      </w:r>
      <w:r w:rsidRPr="00FE7B91">
        <w:rPr>
          <w:rFonts w:ascii="Times New Roman" w:hAnsi="Times New Roman" w:cs="Times New Roman"/>
          <w:sz w:val="24"/>
          <w:szCs w:val="24"/>
        </w:rPr>
        <w:t xml:space="preserve">, supported by organs whose siting was no longer restricted to the nave’s west end. In York diocese in the 1620s and 1630s avant-garde conformists sought to ascribe greater holiness to the chancel than to the nave, and to accord primacy in worship to the eucharist, by emphasising its separation from the latter through raising the chancel’s floor level relative to the nave; by ordering the erection of rails around the altar; by ensuring that at all times the congregation could see it even if this meant the removal or alteration of pews or galleries recently installed; and by forbidding lay use of the chancel for anything other than communion. For the same reason they also redefined it as the peculiar province of the clergy by requiring the removal of seating at the east end of the chancel, the communion table to be sited against </w:t>
      </w:r>
      <w:r w:rsidRPr="00FE7B91">
        <w:rPr>
          <w:rFonts w:ascii="Times New Roman" w:hAnsi="Times New Roman" w:cs="Times New Roman"/>
          <w:sz w:val="24"/>
          <w:szCs w:val="24"/>
        </w:rPr>
        <w:lastRenderedPageBreak/>
        <w:t xml:space="preserve">the east end, and the minister to conduct services from within the chancel. They also sought to convey the sanctity of the entire building by ordering repairs, improvements and adornments. The Restoration saw comparable efforts in the East Riding to enforce ecclesiastical repairs and the re-equipping of churches for Anglican worship, as did the period between 1690 and 1730. </w:t>
      </w:r>
    </w:p>
    <w:p w:rsidR="00325B82"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These changes in English churches were charted first by Addleshaw and Etchells, followed by </w:t>
      </w:r>
      <w:r>
        <w:rPr>
          <w:rFonts w:ascii="Times New Roman" w:hAnsi="Times New Roman" w:cs="Times New Roman"/>
          <w:sz w:val="24"/>
          <w:szCs w:val="24"/>
        </w:rPr>
        <w:t>George Hay</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and Ian Lindsay,</w:t>
      </w:r>
      <w:r>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both on Scottish churches, and then by </w:t>
      </w:r>
      <w:r w:rsidRPr="00FE7B91">
        <w:rPr>
          <w:rFonts w:ascii="Times New Roman" w:hAnsi="Times New Roman" w:cs="Times New Roman"/>
          <w:sz w:val="24"/>
          <w:szCs w:val="24"/>
        </w:rPr>
        <w:t>James White, who considered adaptations of existing buildings and also designs for new ones, both in England and elsewhere.</w:t>
      </w:r>
      <w:r w:rsidRPr="00FE7B91">
        <w:rPr>
          <w:rFonts w:ascii="Times New Roman" w:hAnsi="Times New Roman" w:cs="Times New Roman"/>
          <w:sz w:val="24"/>
          <w:szCs w:val="24"/>
          <w:vertAlign w:val="superscript"/>
        </w:rPr>
        <w:footnoteReference w:id="36"/>
      </w:r>
      <w:r>
        <w:rPr>
          <w:rFonts w:ascii="Times New Roman" w:hAnsi="Times New Roman" w:cs="Times New Roman"/>
          <w:sz w:val="24"/>
          <w:szCs w:val="24"/>
        </w:rPr>
        <w:t xml:space="preserve"> Horton Davies summarised the rival contemporary theologies behind the changes.</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w:t>
      </w:r>
      <w:r w:rsidRPr="00FE7B91">
        <w:rPr>
          <w:rFonts w:ascii="Times New Roman" w:hAnsi="Times New Roman" w:cs="Times New Roman"/>
          <w:sz w:val="24"/>
          <w:szCs w:val="24"/>
        </w:rPr>
        <w:t xml:space="preserve">Mark Chatfield recorded fifty </w:t>
      </w:r>
      <w:r>
        <w:rPr>
          <w:rFonts w:ascii="Times New Roman" w:hAnsi="Times New Roman" w:cs="Times New Roman"/>
          <w:sz w:val="24"/>
          <w:szCs w:val="24"/>
        </w:rPr>
        <w:t xml:space="preserve">surviving </w:t>
      </w:r>
      <w:r w:rsidRPr="00FE7B91">
        <w:rPr>
          <w:rFonts w:ascii="Times New Roman" w:hAnsi="Times New Roman" w:cs="Times New Roman"/>
          <w:sz w:val="24"/>
          <w:szCs w:val="24"/>
        </w:rPr>
        <w:t>English ‘Prayer-Book’ churches.</w:t>
      </w:r>
      <w:r w:rsidRPr="00FE7B91">
        <w:rPr>
          <w:rFonts w:ascii="Times New Roman" w:hAnsi="Times New Roman" w:cs="Times New Roman"/>
          <w:sz w:val="24"/>
          <w:szCs w:val="24"/>
          <w:vertAlign w:val="superscript"/>
        </w:rPr>
        <w:footnoteReference w:id="38"/>
      </w:r>
      <w:r w:rsidRPr="00FE7B91">
        <w:rPr>
          <w:rFonts w:ascii="Times New Roman" w:hAnsi="Times New Roman" w:cs="Times New Roman"/>
          <w:sz w:val="24"/>
          <w:szCs w:val="24"/>
        </w:rPr>
        <w:t xml:space="preserve"> In </w:t>
      </w:r>
      <w:r w:rsidRPr="00FE7B91">
        <w:rPr>
          <w:rFonts w:ascii="Times New Roman" w:hAnsi="Times New Roman" w:cs="Times New Roman"/>
          <w:i/>
          <w:sz w:val="24"/>
          <w:szCs w:val="24"/>
        </w:rPr>
        <w:t>The Stripping of the Altars</w:t>
      </w:r>
      <w:r w:rsidRPr="00FE7B91">
        <w:rPr>
          <w:rFonts w:ascii="Times New Roman" w:hAnsi="Times New Roman" w:cs="Times New Roman"/>
          <w:sz w:val="24"/>
          <w:szCs w:val="24"/>
        </w:rPr>
        <w:t>, Eamon Duffy explored changes in church furnishings and permitted forms of worship in England from the Reformation to the 1570s.</w:t>
      </w:r>
      <w:r w:rsidRPr="00FE7B91">
        <w:rPr>
          <w:rFonts w:ascii="Times New Roman" w:hAnsi="Times New Roman" w:cs="Times New Roman"/>
          <w:sz w:val="24"/>
          <w:szCs w:val="24"/>
          <w:vertAlign w:val="superscript"/>
        </w:rPr>
        <w:footnoteReference w:id="39"/>
      </w:r>
      <w:r w:rsidRPr="00FE7B91">
        <w:rPr>
          <w:rFonts w:ascii="Times New Roman" w:hAnsi="Times New Roman" w:cs="Times New Roman"/>
          <w:sz w:val="24"/>
          <w:szCs w:val="24"/>
        </w:rPr>
        <w:t xml:space="preserve"> His book was complemented by </w:t>
      </w:r>
      <w:r w:rsidRPr="00FE7B91">
        <w:rPr>
          <w:rFonts w:ascii="Times New Roman" w:hAnsi="Times New Roman" w:cs="Times New Roman"/>
          <w:i/>
          <w:sz w:val="24"/>
          <w:szCs w:val="24"/>
        </w:rPr>
        <w:t>Altars Restored</w:t>
      </w:r>
      <w:r w:rsidRPr="00FE7B91">
        <w:rPr>
          <w:rFonts w:ascii="Times New Roman" w:hAnsi="Times New Roman" w:cs="Times New Roman"/>
          <w:sz w:val="24"/>
          <w:szCs w:val="24"/>
        </w:rPr>
        <w:t>, in which Kenneth Fincham and Nicholas Tyacke examined the changing face of English religious worship from 1547 to 1700. Fincham summarised the developments in ‘The Protestant Church and its Churches’ and Trevor Cooper discussed them in ‘The Interior Planning of the English Parish Church, 1559-c.1640’.</w:t>
      </w:r>
      <w:r w:rsidRPr="00FE7B91">
        <w:rPr>
          <w:rFonts w:ascii="Times New Roman" w:hAnsi="Times New Roman" w:cs="Times New Roman"/>
          <w:sz w:val="24"/>
          <w:szCs w:val="24"/>
          <w:vertAlign w:val="superscript"/>
        </w:rPr>
        <w:footnoteReference w:id="40"/>
      </w:r>
      <w:r w:rsidRPr="00FE7B91">
        <w:rPr>
          <w:rFonts w:ascii="Times New Roman" w:hAnsi="Times New Roman" w:cs="Times New Roman"/>
          <w:sz w:val="24"/>
          <w:szCs w:val="24"/>
        </w:rPr>
        <w:t xml:space="preserve"> The years 1620 to 1640 and the impact of avant-garde conformi</w:t>
      </w:r>
      <w:r>
        <w:rPr>
          <w:rFonts w:ascii="Times New Roman" w:hAnsi="Times New Roman" w:cs="Times New Roman"/>
          <w:sz w:val="24"/>
          <w:szCs w:val="24"/>
        </w:rPr>
        <w:t>ty</w:t>
      </w:r>
      <w:r w:rsidRPr="00FE7B91">
        <w:rPr>
          <w:rFonts w:ascii="Times New Roman" w:hAnsi="Times New Roman" w:cs="Times New Roman"/>
          <w:sz w:val="24"/>
          <w:szCs w:val="24"/>
        </w:rPr>
        <w:t xml:space="preserve"> have attracted particular attention, from Julian Davies,</w:t>
      </w:r>
      <w:r w:rsidRPr="00FE7B91">
        <w:rPr>
          <w:rFonts w:ascii="Times New Roman" w:hAnsi="Times New Roman" w:cs="Times New Roman"/>
          <w:sz w:val="24"/>
          <w:szCs w:val="24"/>
          <w:vertAlign w:val="superscript"/>
        </w:rPr>
        <w:footnoteReference w:id="41"/>
      </w:r>
      <w:r w:rsidRPr="00FE7B91">
        <w:rPr>
          <w:rFonts w:ascii="Times New Roman" w:hAnsi="Times New Roman" w:cs="Times New Roman"/>
          <w:sz w:val="24"/>
          <w:szCs w:val="24"/>
        </w:rPr>
        <w:t xml:space="preserve"> Andrew Foster,</w:t>
      </w:r>
      <w:r w:rsidRPr="00FE7B91">
        <w:rPr>
          <w:rFonts w:ascii="Times New Roman" w:hAnsi="Times New Roman" w:cs="Times New Roman"/>
          <w:sz w:val="24"/>
          <w:szCs w:val="24"/>
          <w:vertAlign w:val="superscript"/>
        </w:rPr>
        <w:footnoteReference w:id="42"/>
      </w:r>
      <w:r w:rsidRPr="00FE7B91">
        <w:rPr>
          <w:rFonts w:ascii="Times New Roman" w:hAnsi="Times New Roman" w:cs="Times New Roman"/>
          <w:sz w:val="24"/>
          <w:szCs w:val="24"/>
        </w:rPr>
        <w:t xml:space="preserve"> Graham Parry,</w:t>
      </w:r>
      <w:r w:rsidRPr="00FE7B91">
        <w:rPr>
          <w:rFonts w:ascii="Times New Roman" w:hAnsi="Times New Roman" w:cs="Times New Roman"/>
          <w:sz w:val="24"/>
          <w:szCs w:val="24"/>
          <w:vertAlign w:val="superscript"/>
        </w:rPr>
        <w:footnoteReference w:id="43"/>
      </w:r>
      <w:r w:rsidRPr="00FE7B91">
        <w:rPr>
          <w:rFonts w:ascii="Times New Roman" w:hAnsi="Times New Roman" w:cs="Times New Roman"/>
          <w:sz w:val="24"/>
          <w:szCs w:val="24"/>
        </w:rPr>
        <w:t xml:space="preserve"> and contributors to </w:t>
      </w:r>
      <w:r w:rsidRPr="00FE7B91">
        <w:rPr>
          <w:rFonts w:ascii="Times New Roman" w:hAnsi="Times New Roman" w:cs="Times New Roman"/>
          <w:i/>
          <w:sz w:val="24"/>
          <w:szCs w:val="24"/>
        </w:rPr>
        <w:t>The Early Stuart Church 1603-1642</w:t>
      </w:r>
      <w:r w:rsidRPr="00FE7B91">
        <w:rPr>
          <w:rFonts w:ascii="Times New Roman" w:hAnsi="Times New Roman" w:cs="Times New Roman"/>
          <w:sz w:val="24"/>
          <w:szCs w:val="24"/>
        </w:rPr>
        <w:t>.</w:t>
      </w:r>
      <w:r w:rsidRPr="00FE7B91">
        <w:rPr>
          <w:rFonts w:ascii="Times New Roman" w:hAnsi="Times New Roman" w:cs="Times New Roman"/>
          <w:sz w:val="24"/>
          <w:szCs w:val="24"/>
          <w:vertAlign w:val="superscript"/>
        </w:rPr>
        <w:footnoteReference w:id="44"/>
      </w:r>
      <w:r>
        <w:rPr>
          <w:rFonts w:ascii="Times New Roman" w:hAnsi="Times New Roman" w:cs="Times New Roman"/>
          <w:sz w:val="24"/>
          <w:szCs w:val="24"/>
        </w:rPr>
        <w:t xml:space="preserve"> </w:t>
      </w:r>
      <w:r w:rsidRPr="00FE7B91">
        <w:rPr>
          <w:rFonts w:ascii="Times New Roman" w:hAnsi="Times New Roman" w:cs="Times New Roman"/>
          <w:sz w:val="24"/>
          <w:szCs w:val="24"/>
        </w:rPr>
        <w:lastRenderedPageBreak/>
        <w:t xml:space="preserve">Contributions to </w:t>
      </w:r>
      <w:r w:rsidRPr="00FE7B91">
        <w:rPr>
          <w:rFonts w:ascii="Times New Roman" w:hAnsi="Times New Roman" w:cs="Times New Roman"/>
          <w:i/>
          <w:sz w:val="24"/>
          <w:szCs w:val="24"/>
        </w:rPr>
        <w:t>Chancel Screens since the Reformation</w:t>
      </w:r>
      <w:r>
        <w:rPr>
          <w:rFonts w:ascii="Times New Roman" w:hAnsi="Times New Roman" w:cs="Times New Roman"/>
          <w:i/>
          <w:sz w:val="24"/>
          <w:szCs w:val="24"/>
        </w:rPr>
        <w:t xml:space="preserve"> </w:t>
      </w:r>
      <w:r w:rsidRPr="00FE7B91">
        <w:rPr>
          <w:rFonts w:ascii="Times New Roman" w:hAnsi="Times New Roman" w:cs="Times New Roman"/>
          <w:sz w:val="24"/>
          <w:szCs w:val="24"/>
        </w:rPr>
        <w:t>provide useful analyses of screens throughout our period.</w:t>
      </w:r>
      <w:r w:rsidRPr="00FE7B91">
        <w:rPr>
          <w:rFonts w:ascii="Times New Roman" w:hAnsi="Times New Roman" w:cs="Times New Roman"/>
          <w:sz w:val="24"/>
          <w:szCs w:val="24"/>
          <w:vertAlign w:val="superscript"/>
        </w:rPr>
        <w:footnoteReference w:id="45"/>
      </w:r>
      <w:r w:rsidRPr="00FE7B91">
        <w:rPr>
          <w:rFonts w:ascii="Times New Roman" w:hAnsi="Times New Roman" w:cs="Times New Roman"/>
          <w:sz w:val="24"/>
          <w:szCs w:val="24"/>
        </w:rPr>
        <w:t xml:space="preserve"> However, the work of Andrew Drummond</w:t>
      </w:r>
      <w:r w:rsidRPr="00FE7B91">
        <w:rPr>
          <w:rFonts w:ascii="Times New Roman" w:hAnsi="Times New Roman" w:cs="Times New Roman"/>
          <w:sz w:val="24"/>
          <w:szCs w:val="24"/>
          <w:vertAlign w:val="superscript"/>
        </w:rPr>
        <w:footnoteReference w:id="46"/>
      </w:r>
      <w:r w:rsidRPr="00FE7B91">
        <w:rPr>
          <w:rFonts w:ascii="Times New Roman" w:hAnsi="Times New Roman" w:cs="Times New Roman"/>
          <w:sz w:val="24"/>
          <w:szCs w:val="24"/>
        </w:rPr>
        <w:t xml:space="preserve"> and of Nigel Yates</w:t>
      </w:r>
      <w:r w:rsidRPr="00FE7B91">
        <w:rPr>
          <w:rFonts w:ascii="Times New Roman" w:hAnsi="Times New Roman" w:cs="Times New Roman"/>
          <w:sz w:val="24"/>
          <w:szCs w:val="24"/>
          <w:vertAlign w:val="superscript"/>
        </w:rPr>
        <w:footnoteReference w:id="47"/>
      </w:r>
      <w:r w:rsidRPr="00FE7B91">
        <w:rPr>
          <w:rFonts w:ascii="Times New Roman" w:hAnsi="Times New Roman" w:cs="Times New Roman"/>
          <w:sz w:val="24"/>
          <w:szCs w:val="24"/>
        </w:rPr>
        <w:t xml:space="preserve"> on liturgy and architecture concentrates on developments after 1730. </w:t>
      </w:r>
    </w:p>
    <w:p w:rsidR="00325B82"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Diarmaid MacCulloch has suggested that there was “a minor ‘building revolution’ in churches that gathered momentum from the last years of the sixteenth century: an heroic effort to reequip Catholic worship spaces for Protestant use” which “significantly predated the Laudian campaigns for church restoration from the late 1620s, [which] had different priorities from the Laudian programme”, and that seating erected shortly before the implementation of that programme was evidence of pre-Laudian activity. He also claimed that such work implied “a reasonable level of maintenance in church fabrics”. His supposition appears justified so far as concerns the elements for which the laity was responsible, especial</w:t>
      </w:r>
      <w:r>
        <w:rPr>
          <w:rFonts w:ascii="Times New Roman" w:hAnsi="Times New Roman" w:cs="Times New Roman"/>
          <w:sz w:val="24"/>
          <w:szCs w:val="24"/>
        </w:rPr>
        <w:t>ly</w:t>
      </w:r>
      <w:r w:rsidRPr="00FE7B91">
        <w:rPr>
          <w:rFonts w:ascii="Times New Roman" w:hAnsi="Times New Roman" w:cs="Times New Roman"/>
          <w:sz w:val="24"/>
          <w:szCs w:val="24"/>
        </w:rPr>
        <w:t xml:space="preserve"> in respect of church interiors, but less so in respect of chancels. Julia Merritt established that there was a sustained revival of church building and beautification in London (which later spread to the provinces) well before Laud’s emergence.</w:t>
      </w:r>
      <w:r w:rsidRPr="00FE7B91">
        <w:rPr>
          <w:rFonts w:ascii="Times New Roman" w:hAnsi="Times New Roman" w:cs="Times New Roman"/>
          <w:sz w:val="24"/>
          <w:szCs w:val="24"/>
          <w:vertAlign w:val="superscript"/>
        </w:rPr>
        <w:footnoteReference w:id="48"/>
      </w:r>
      <w:r>
        <w:rPr>
          <w:rFonts w:ascii="Times New Roman" w:hAnsi="Times New Roman" w:cs="Times New Roman"/>
          <w:sz w:val="24"/>
          <w:szCs w:val="24"/>
        </w:rPr>
        <w:t xml:space="preserve"> Fincham and Tyacke note much church-building and church repairs and re-furnishings between 1590 and 1625</w:t>
      </w:r>
      <w:r w:rsidRPr="007E1E73">
        <w:rPr>
          <w:rFonts w:ascii="Times New Roman" w:hAnsi="Times New Roman" w:cs="Times New Roman"/>
          <w:sz w:val="24"/>
          <w:szCs w:val="24"/>
        </w:rPr>
        <w:t xml:space="preserve"> </w:t>
      </w:r>
      <w:r>
        <w:rPr>
          <w:rFonts w:ascii="Times New Roman" w:hAnsi="Times New Roman" w:cs="Times New Roman"/>
          <w:sz w:val="24"/>
          <w:szCs w:val="24"/>
        </w:rPr>
        <w:t>countrywide, and especially in London and Durham, some (but not all) being signs of avant-garde conformity. Not until 1617 were the communion tables in Gloucester and Durham cathedrals moved against the east wall altarwise. This arrangement was not required in a parish church until 1630; not until 1632 was seating at the east end of the chancel</w:t>
      </w:r>
      <w:r w:rsidRPr="00E32067">
        <w:rPr>
          <w:rFonts w:ascii="Times New Roman" w:hAnsi="Times New Roman" w:cs="Times New Roman"/>
          <w:sz w:val="24"/>
          <w:szCs w:val="24"/>
        </w:rPr>
        <w:t xml:space="preserve"> </w:t>
      </w:r>
      <w:r>
        <w:rPr>
          <w:rFonts w:ascii="Times New Roman" w:hAnsi="Times New Roman" w:cs="Times New Roman"/>
          <w:sz w:val="24"/>
          <w:szCs w:val="24"/>
        </w:rPr>
        <w:t xml:space="preserve">condemned; only in 1633 were parishes required to surround their </w:t>
      </w:r>
      <w:r>
        <w:rPr>
          <w:rFonts w:ascii="Times New Roman" w:hAnsi="Times New Roman" w:cs="Times New Roman"/>
          <w:sz w:val="24"/>
          <w:szCs w:val="24"/>
        </w:rPr>
        <w:lastRenderedPageBreak/>
        <w:t>altars with rails. Notwithstanding Cosin’s personal enthusiasm for chancel screens, MacCulloch has demonstrated that Arminianism did not entail the erection or retention of ‘partitions’.</w:t>
      </w:r>
      <w:r>
        <w:rPr>
          <w:rStyle w:val="FootnoteReference"/>
          <w:rFonts w:ascii="Times New Roman" w:hAnsi="Times New Roman" w:cs="Times New Roman"/>
          <w:sz w:val="24"/>
          <w:szCs w:val="24"/>
        </w:rPr>
        <w:footnoteReference w:id="49"/>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An important aspect of the changes in the ordering and furnishing of existing churches driven by the Reformation is the concept of sacred space in early modern Europe, on which Will Coster</w:t>
      </w:r>
      <w:r>
        <w:rPr>
          <w:rFonts w:ascii="Times New Roman" w:hAnsi="Times New Roman" w:cs="Times New Roman"/>
          <w:sz w:val="24"/>
          <w:szCs w:val="24"/>
        </w:rPr>
        <w:t>, Penny Roberts</w:t>
      </w:r>
      <w:r w:rsidRPr="00FE7B91">
        <w:rPr>
          <w:rFonts w:ascii="Times New Roman" w:hAnsi="Times New Roman" w:cs="Times New Roman"/>
          <w:sz w:val="24"/>
          <w:szCs w:val="24"/>
        </w:rPr>
        <w:t xml:space="preserve"> and Andrew Spicer have published significant research.</w:t>
      </w:r>
      <w:r w:rsidRPr="00FE7B91">
        <w:rPr>
          <w:rFonts w:ascii="Times New Roman" w:hAnsi="Times New Roman" w:cs="Times New Roman"/>
          <w:sz w:val="24"/>
          <w:szCs w:val="24"/>
          <w:vertAlign w:val="superscript"/>
        </w:rPr>
        <w:footnoteReference w:id="50"/>
      </w:r>
      <w:r w:rsidRPr="00FE7B91">
        <w:rPr>
          <w:rFonts w:ascii="Times New Roman" w:hAnsi="Times New Roman" w:cs="Times New Roman"/>
          <w:sz w:val="24"/>
          <w:szCs w:val="24"/>
        </w:rPr>
        <w:t xml:space="preserve"> The topic is implicit in the writings on iconoclasm of Margaret Aston</w:t>
      </w:r>
      <w:r w:rsidRPr="00FE7B91">
        <w:rPr>
          <w:rFonts w:ascii="Times New Roman" w:hAnsi="Times New Roman" w:cs="Times New Roman"/>
          <w:sz w:val="24"/>
          <w:szCs w:val="24"/>
          <w:vertAlign w:val="superscript"/>
        </w:rPr>
        <w:footnoteReference w:id="51"/>
      </w:r>
      <w:r w:rsidRPr="00FE7B91">
        <w:rPr>
          <w:rFonts w:ascii="Times New Roman" w:hAnsi="Times New Roman" w:cs="Times New Roman"/>
          <w:sz w:val="24"/>
          <w:szCs w:val="24"/>
        </w:rPr>
        <w:t xml:space="preserve"> and Julie Spraggon.</w:t>
      </w:r>
      <w:r w:rsidRPr="00FE7B91">
        <w:rPr>
          <w:rFonts w:ascii="Times New Roman" w:hAnsi="Times New Roman" w:cs="Times New Roman"/>
          <w:sz w:val="24"/>
          <w:szCs w:val="24"/>
          <w:vertAlign w:val="superscript"/>
        </w:rPr>
        <w:footnoteReference w:id="52"/>
      </w:r>
      <w:r w:rsidRPr="00FE7B91">
        <w:rPr>
          <w:rFonts w:ascii="Times New Roman" w:hAnsi="Times New Roman" w:cs="Times New Roman"/>
          <w:sz w:val="24"/>
          <w:szCs w:val="24"/>
        </w:rPr>
        <w:t xml:space="preserve"> Anne-Françoise Morel analyses the concept in the context of the culture of church building in Stuart England through the lens of consecration sermons.</w:t>
      </w:r>
      <w:r w:rsidRPr="00FE7B91">
        <w:rPr>
          <w:rFonts w:ascii="Times New Roman" w:hAnsi="Times New Roman" w:cs="Times New Roman"/>
          <w:sz w:val="24"/>
          <w:szCs w:val="24"/>
          <w:vertAlign w:val="superscript"/>
        </w:rPr>
        <w:footnoteReference w:id="53"/>
      </w:r>
      <w:r w:rsidRPr="00FE7B91">
        <w:rPr>
          <w:rFonts w:ascii="Times New Roman" w:hAnsi="Times New Roman" w:cs="Times New Roman"/>
          <w:sz w:val="24"/>
          <w:szCs w:val="24"/>
        </w:rPr>
        <w:t xml:space="preserve"> </w:t>
      </w:r>
    </w:p>
    <w:p w:rsidR="00325B82"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The research summarised above is invaluable in determining what changes were made to the interiors of existing English churches in response to the Reformation and the beliefs which led to those alterations. However, none directly addresses the issue of how the Reformation affected the extent to which English churches were built or repaired between 1647 and 1730. Indirectly they are relevant, because (as MacCulloch points out) one might expect parishes which spend money on such changes to ensure the building was weather-proof, and expenditure on the former may affect the availability of funds for the latter. Moreover, the extent to which parishioners and rectors of all kinds regarded the building itself as sacred probably affected willingness to maintain it.</w:t>
      </w:r>
      <w:r>
        <w:rPr>
          <w:rFonts w:ascii="Times New Roman" w:hAnsi="Times New Roman" w:cs="Times New Roman"/>
          <w:sz w:val="24"/>
          <w:szCs w:val="24"/>
        </w:rPr>
        <w:t xml:space="preserve"> </w:t>
      </w:r>
    </w:p>
    <w:p w:rsidR="00325B82" w:rsidRDefault="00325B82" w:rsidP="00325B82">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Recent relevant research includes Miles Kerr-Peterson’s interesting study on the impact of the Reformation on the architecture of some Scottish churches and on patrons’ emerging obligation to repair them,</w:t>
      </w:r>
      <w:r>
        <w:rPr>
          <w:rStyle w:val="FootnoteReference"/>
          <w:rFonts w:ascii="Times New Roman" w:hAnsi="Times New Roman" w:cs="Times New Roman"/>
          <w:sz w:val="24"/>
          <w:szCs w:val="24"/>
        </w:rPr>
        <w:footnoteReference w:id="54"/>
      </w:r>
      <w:r>
        <w:rPr>
          <w:rFonts w:ascii="Times New Roman" w:hAnsi="Times New Roman" w:cs="Times New Roman"/>
          <w:sz w:val="24"/>
          <w:szCs w:val="24"/>
        </w:rPr>
        <w:t xml:space="preserve"> and Bess Rhodes’ analysis of its impact on the ecclesiastical finances of St Andrew’s.</w:t>
      </w:r>
      <w:r>
        <w:rPr>
          <w:rStyle w:val="FootnoteReference"/>
          <w:rFonts w:ascii="Times New Roman" w:hAnsi="Times New Roman" w:cs="Times New Roman"/>
          <w:sz w:val="24"/>
          <w:szCs w:val="24"/>
        </w:rPr>
        <w:footnoteReference w:id="55"/>
      </w:r>
      <w:r>
        <w:rPr>
          <w:rFonts w:ascii="Times New Roman" w:hAnsi="Times New Roman" w:cs="Times New Roman"/>
          <w:sz w:val="24"/>
          <w:szCs w:val="24"/>
        </w:rPr>
        <w:t xml:space="preserve"> However, in the only work known to me which touches, albeit tangentially, on the topic of my research, Lucy Kaufman argues that the majority of impropriators sustained rather than undermined the nascent English church and that the laity became more closely tied to the church</w:t>
      </w:r>
      <w:r w:rsidRPr="00BB7962">
        <w:rPr>
          <w:rFonts w:ascii="Times New Roman" w:hAnsi="Times New Roman" w:cs="Times New Roman"/>
          <w:sz w:val="24"/>
          <w:szCs w:val="24"/>
        </w:rPr>
        <w:t xml:space="preserve"> </w:t>
      </w:r>
      <w:r>
        <w:rPr>
          <w:rFonts w:ascii="Times New Roman" w:hAnsi="Times New Roman" w:cs="Times New Roman"/>
          <w:sz w:val="24"/>
          <w:szCs w:val="24"/>
        </w:rPr>
        <w:t>post-Reformation.</w:t>
      </w:r>
      <w:r>
        <w:rPr>
          <w:rStyle w:val="FootnoteReference"/>
          <w:rFonts w:ascii="Times New Roman" w:hAnsi="Times New Roman" w:cs="Times New Roman"/>
          <w:sz w:val="24"/>
          <w:szCs w:val="24"/>
        </w:rPr>
        <w:footnoteReference w:id="56"/>
      </w:r>
      <w:r>
        <w:rPr>
          <w:rFonts w:ascii="Times New Roman" w:hAnsi="Times New Roman" w:cs="Times New Roman"/>
          <w:sz w:val="24"/>
          <w:szCs w:val="24"/>
        </w:rPr>
        <w:t xml:space="preserve"> So far as concerns East Yorkshire, her conclusions are fatally vitiated by the apparent failure to study any of the buildings themselves or representations or descriptions of them, or any archives other than those whose transcriptions have been published (with isolated exceptions), reliance on unwarranted assumptions, and discounting evidence contrary to her hypotheses. For example, the idea that ‘impropriations were also a mechanism that tied the better sort to the welfare of the parish’ simply assumes what it asserts;</w:t>
      </w:r>
      <w:r>
        <w:rPr>
          <w:rStyle w:val="FootnoteReference"/>
          <w:rFonts w:ascii="Times New Roman" w:hAnsi="Times New Roman" w:cs="Times New Roman"/>
          <w:sz w:val="24"/>
          <w:szCs w:val="24"/>
        </w:rPr>
        <w:footnoteReference w:id="57"/>
      </w:r>
      <w:r>
        <w:rPr>
          <w:rFonts w:ascii="Times New Roman" w:hAnsi="Times New Roman" w:cs="Times New Roman"/>
          <w:sz w:val="24"/>
          <w:szCs w:val="24"/>
        </w:rPr>
        <w:t xml:space="preserve"> and the view that impropriation was an evil responsible for much damage to church fabric and for unacceptably low clergy pay was not restricted to the Elizabethan godly.</w:t>
      </w:r>
      <w:r>
        <w:rPr>
          <w:rStyle w:val="FootnoteReference"/>
          <w:rFonts w:ascii="Times New Roman" w:hAnsi="Times New Roman" w:cs="Times New Roman"/>
          <w:sz w:val="24"/>
          <w:szCs w:val="24"/>
        </w:rPr>
        <w:footnoteReference w:id="58"/>
      </w:r>
      <w:r>
        <w:rPr>
          <w:rFonts w:ascii="Times New Roman" w:hAnsi="Times New Roman" w:cs="Times New Roman"/>
          <w:sz w:val="24"/>
          <w:szCs w:val="24"/>
        </w:rPr>
        <w:t xml:space="preserve"> She fails to explain the many complaints made of impropriation in contemporary literature or to undermine Hill’s analysis of the harm which impropriators wrought.</w:t>
      </w:r>
      <w:r>
        <w:rPr>
          <w:rStyle w:val="FootnoteReference"/>
          <w:rFonts w:ascii="Times New Roman" w:hAnsi="Times New Roman" w:cs="Times New Roman"/>
          <w:sz w:val="24"/>
          <w:szCs w:val="24"/>
        </w:rPr>
        <w:footnoteReference w:id="59"/>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Thus, my thesis is the first work to address the topic of the impact of the Reformation on the building and repair of churches</w:t>
      </w:r>
      <w:r>
        <w:rPr>
          <w:rFonts w:ascii="Times New Roman" w:hAnsi="Times New Roman" w:cs="Times New Roman"/>
          <w:sz w:val="24"/>
          <w:szCs w:val="24"/>
        </w:rPr>
        <w:t>, and I devote detailed attention to an entire corpus of ecclesiastical buildings over an extended period of time</w:t>
      </w:r>
      <w:r w:rsidRPr="00FE7B91">
        <w:rPr>
          <w:rFonts w:ascii="Times New Roman" w:hAnsi="Times New Roman" w:cs="Times New Roman"/>
          <w:sz w:val="24"/>
          <w:szCs w:val="24"/>
        </w:rPr>
        <w:t>.</w:t>
      </w:r>
    </w:p>
    <w:p w:rsidR="00325B82" w:rsidRPr="00B1082D" w:rsidRDefault="00325B82" w:rsidP="00325B82">
      <w:pPr>
        <w:pStyle w:val="Style2"/>
        <w:spacing w:before="0" w:line="480" w:lineRule="auto"/>
        <w:rPr>
          <w:sz w:val="32"/>
          <w:szCs w:val="32"/>
        </w:rPr>
      </w:pPr>
      <w:bookmarkStart w:id="13" w:name="_Toc84273605"/>
      <w:r w:rsidRPr="00B1082D">
        <w:rPr>
          <w:sz w:val="32"/>
          <w:szCs w:val="32"/>
        </w:rPr>
        <w:lastRenderedPageBreak/>
        <w:t>The main primary sources</w:t>
      </w:r>
      <w:bookmarkEnd w:id="13"/>
      <w:r w:rsidRPr="00B1082D">
        <w:rPr>
          <w:sz w:val="32"/>
          <w:szCs w:val="32"/>
        </w:rPr>
        <w:t xml:space="preserve"> </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In this research I have used many original documents, most of which are partly written in short-hand ecclesiastical Latin.</w:t>
      </w:r>
      <w:r>
        <w:rPr>
          <w:rFonts w:ascii="Times New Roman" w:hAnsi="Times New Roman" w:cs="Times New Roman"/>
          <w:sz w:val="24"/>
          <w:szCs w:val="24"/>
        </w:rPr>
        <w:t xml:space="preserve"> </w:t>
      </w:r>
      <w:r w:rsidRPr="00FE7B91">
        <w:rPr>
          <w:rFonts w:ascii="Times New Roman" w:hAnsi="Times New Roman" w:cs="Times New Roman"/>
          <w:sz w:val="24"/>
          <w:szCs w:val="24"/>
        </w:rPr>
        <w:t xml:space="preserve">The archiepiscopal and archidiaconal visitation court books which relate to the East Riding are of critical importance. The former survive sporadically from 1567-8 to 1730; after 1674 only those for 1693-94 contain significant material on the state of ecclesiastical fabric. Extant reports of the annual general East Riding archidiaconal visitations run from 1663 to 1730, with the exception of the years 1664, 1690 and 1692-3: after 1670 these shed limited light on the condition of churches. The court books of the High Commission Court survive from 1562 to 1641, with gaps between 1603 and 1607 and between 1634 and 1638. The reports of the chancery and audience, and exchequer and prerogative, courts of the archbishop of York are virtually complete, but for a major gap between 1640 and 1667 in the former. </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Few relevant records of peculiar jurisdictions survive, except the register of visitations by the dean of York in 1568, 1570, 1590-1596 and 1598-1602. Archidiaconal visitations naturally do not cover peculiars except the archdeacon’s own. Consequently, there is much more evidence about churches (and their incumbents) within the archdeacon’s jurisdiction than about peculiars. It has been possible to address this difficulty by the use of the Victoria County History volumes for Durham and the East Riding, insofar as the latter encompass the area. Unfortunately, while they cover all of Holderness, they consider only parts of Buckrose and Dickering and a small part of Harthill, and those volumes do not include any of the important peculiars of Bishop Wilton, Brantingham and its chapel Ellerker, Bugthorpe, </w:t>
      </w:r>
      <w:r w:rsidRPr="006922B8">
        <w:rPr>
          <w:rFonts w:ascii="Times New Roman" w:hAnsi="Times New Roman" w:cs="Times New Roman"/>
          <w:strike/>
          <w:sz w:val="24"/>
          <w:szCs w:val="24"/>
        </w:rPr>
        <w:t xml:space="preserve">and </w:t>
      </w:r>
      <w:r w:rsidRPr="00FE7B91">
        <w:rPr>
          <w:rFonts w:ascii="Times New Roman" w:hAnsi="Times New Roman" w:cs="Times New Roman"/>
          <w:sz w:val="24"/>
          <w:szCs w:val="24"/>
        </w:rPr>
        <w:t>Market Weighton and Pocklington. This is a serious lacuna. The classic histories of the area do not assist, because Drake only wrote about York; Oliver, about Beverley; Poulson, about Beverley and Holderness</w:t>
      </w:r>
      <w:r>
        <w:rPr>
          <w:rFonts w:ascii="Times New Roman" w:hAnsi="Times New Roman" w:cs="Times New Roman"/>
          <w:sz w:val="24"/>
          <w:szCs w:val="24"/>
        </w:rPr>
        <w:t>; and</w:t>
      </w:r>
      <w:r w:rsidRPr="00A6059B">
        <w:rPr>
          <w:rFonts w:ascii="Times New Roman" w:hAnsi="Times New Roman" w:cs="Times New Roman"/>
          <w:sz w:val="24"/>
          <w:szCs w:val="24"/>
        </w:rPr>
        <w:t xml:space="preserve"> </w:t>
      </w:r>
      <w:r>
        <w:rPr>
          <w:rFonts w:ascii="Times New Roman" w:hAnsi="Times New Roman" w:cs="Times New Roman"/>
          <w:sz w:val="24"/>
          <w:szCs w:val="24"/>
        </w:rPr>
        <w:t>de la Pryme, chiefly about Hull churches</w:t>
      </w:r>
      <w:r w:rsidRPr="00FE7B91">
        <w:rPr>
          <w:rFonts w:ascii="Times New Roman" w:hAnsi="Times New Roman" w:cs="Times New Roman"/>
          <w:sz w:val="24"/>
          <w:szCs w:val="24"/>
        </w:rPr>
        <w:t xml:space="preserve">. Those who cover the geographical area – Allen, </w:t>
      </w:r>
      <w:r>
        <w:rPr>
          <w:rFonts w:ascii="Times New Roman" w:hAnsi="Times New Roman" w:cs="Times New Roman"/>
          <w:sz w:val="24"/>
          <w:szCs w:val="24"/>
        </w:rPr>
        <w:t xml:space="preserve">Gent, </w:t>
      </w:r>
      <w:r w:rsidRPr="00FE7B91">
        <w:rPr>
          <w:rFonts w:ascii="Times New Roman" w:hAnsi="Times New Roman" w:cs="Times New Roman"/>
          <w:sz w:val="24"/>
          <w:szCs w:val="24"/>
        </w:rPr>
        <w:t xml:space="preserve">Sheahan and Whellan – do not address the issues of this thesis, </w:t>
      </w:r>
      <w:r w:rsidRPr="00FE7B91">
        <w:rPr>
          <w:rFonts w:ascii="Times New Roman" w:hAnsi="Times New Roman" w:cs="Times New Roman"/>
          <w:sz w:val="24"/>
          <w:szCs w:val="24"/>
        </w:rPr>
        <w:lastRenderedPageBreak/>
        <w:t>although they provide some useful evidence on the state of church fabric.</w:t>
      </w:r>
      <w:r>
        <w:rPr>
          <w:rStyle w:val="FootnoteReference"/>
          <w:rFonts w:ascii="Times New Roman" w:hAnsi="Times New Roman" w:cs="Times New Roman"/>
          <w:sz w:val="24"/>
          <w:szCs w:val="24"/>
        </w:rPr>
        <w:footnoteReference w:id="60"/>
      </w:r>
      <w:r>
        <w:rPr>
          <w:rFonts w:ascii="Times New Roman" w:hAnsi="Times New Roman" w:cs="Times New Roman"/>
          <w:sz w:val="24"/>
          <w:szCs w:val="24"/>
        </w:rPr>
        <w:t xml:space="preserve"> </w:t>
      </w:r>
      <w:r w:rsidRPr="00FE7B91">
        <w:rPr>
          <w:rFonts w:ascii="Times New Roman" w:hAnsi="Times New Roman" w:cs="Times New Roman"/>
          <w:sz w:val="24"/>
          <w:szCs w:val="24"/>
        </w:rPr>
        <w:t>Howdenshire poses two particular problems. Pre-Reformation it was a peculiar of Durham</w:t>
      </w:r>
      <w:r>
        <w:rPr>
          <w:rFonts w:ascii="Times New Roman" w:hAnsi="Times New Roman" w:cs="Times New Roman"/>
          <w:sz w:val="24"/>
          <w:szCs w:val="24"/>
        </w:rPr>
        <w:t xml:space="preserve"> priory</w:t>
      </w:r>
      <w:r w:rsidRPr="00FE7B91">
        <w:rPr>
          <w:rFonts w:ascii="Times New Roman" w:hAnsi="Times New Roman" w:cs="Times New Roman"/>
          <w:sz w:val="24"/>
          <w:szCs w:val="24"/>
        </w:rPr>
        <w:t>,</w:t>
      </w:r>
      <w:r>
        <w:rPr>
          <w:rStyle w:val="FootnoteReference"/>
          <w:rFonts w:ascii="Times New Roman" w:hAnsi="Times New Roman" w:cs="Times New Roman"/>
          <w:sz w:val="24"/>
          <w:szCs w:val="24"/>
        </w:rPr>
        <w:footnoteReference w:id="61"/>
      </w:r>
      <w:r w:rsidRPr="00FE7B91">
        <w:rPr>
          <w:rFonts w:ascii="Times New Roman" w:hAnsi="Times New Roman" w:cs="Times New Roman"/>
          <w:sz w:val="24"/>
          <w:szCs w:val="24"/>
        </w:rPr>
        <w:t xml:space="preserve"> but the extent of supervision by Durham was limited because of the distances involved: in practice there are no documents at Durham relevant to Howdenshire churches other than those on ownership of the rectories and advowsons and the leases. </w:t>
      </w:r>
      <w:r>
        <w:rPr>
          <w:rFonts w:ascii="Times New Roman" w:hAnsi="Times New Roman" w:cs="Times New Roman"/>
          <w:sz w:val="24"/>
          <w:szCs w:val="24"/>
        </w:rPr>
        <w:t xml:space="preserve">The </w:t>
      </w:r>
      <w:r w:rsidRPr="00FE7B91">
        <w:rPr>
          <w:rFonts w:ascii="Times New Roman" w:hAnsi="Times New Roman" w:cs="Times New Roman"/>
          <w:sz w:val="24"/>
          <w:szCs w:val="24"/>
        </w:rPr>
        <w:t xml:space="preserve">legal status </w:t>
      </w:r>
      <w:r>
        <w:rPr>
          <w:rFonts w:ascii="Times New Roman" w:hAnsi="Times New Roman" w:cs="Times New Roman"/>
          <w:sz w:val="24"/>
          <w:szCs w:val="24"/>
        </w:rPr>
        <w:t xml:space="preserve">of </w:t>
      </w:r>
      <w:r w:rsidRPr="00FE7B91">
        <w:rPr>
          <w:rFonts w:ascii="Times New Roman" w:hAnsi="Times New Roman" w:cs="Times New Roman"/>
          <w:sz w:val="24"/>
          <w:szCs w:val="24"/>
        </w:rPr>
        <w:t xml:space="preserve">Howden and its chapels differed from </w:t>
      </w:r>
      <w:r>
        <w:rPr>
          <w:rFonts w:ascii="Times New Roman" w:hAnsi="Times New Roman" w:cs="Times New Roman"/>
          <w:sz w:val="24"/>
          <w:szCs w:val="24"/>
        </w:rPr>
        <w:t xml:space="preserve">those </w:t>
      </w:r>
      <w:r w:rsidRPr="00FE7B91">
        <w:rPr>
          <w:rFonts w:ascii="Times New Roman" w:hAnsi="Times New Roman" w:cs="Times New Roman"/>
          <w:sz w:val="24"/>
          <w:szCs w:val="24"/>
        </w:rPr>
        <w:t>Howdenshire rectories returned to Durham. Hutchinson’s classic history of Durham provides some assistance.</w:t>
      </w:r>
      <w:r>
        <w:rPr>
          <w:rStyle w:val="FootnoteReference"/>
          <w:rFonts w:ascii="Times New Roman" w:hAnsi="Times New Roman" w:cs="Times New Roman"/>
          <w:sz w:val="24"/>
          <w:szCs w:val="24"/>
        </w:rPr>
        <w:footnoteReference w:id="62"/>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The kinds of data produced by the Parliamentary Survey have been outlined above. </w:t>
      </w:r>
      <w:r>
        <w:rPr>
          <w:rFonts w:ascii="Times New Roman" w:hAnsi="Times New Roman" w:cs="Times New Roman"/>
          <w:sz w:val="24"/>
          <w:szCs w:val="24"/>
        </w:rPr>
        <w:t>The Compton Census affords data on dissent in 1676.</w:t>
      </w:r>
      <w:r>
        <w:rPr>
          <w:rStyle w:val="FootnoteReference"/>
          <w:rFonts w:ascii="Times New Roman" w:hAnsi="Times New Roman" w:cs="Times New Roman"/>
          <w:sz w:val="24"/>
          <w:szCs w:val="24"/>
        </w:rPr>
        <w:footnoteReference w:id="63"/>
      </w:r>
      <w:r>
        <w:rPr>
          <w:rFonts w:ascii="Times New Roman" w:hAnsi="Times New Roman" w:cs="Times New Roman"/>
          <w:sz w:val="24"/>
          <w:szCs w:val="24"/>
        </w:rPr>
        <w:t xml:space="preserve"> </w:t>
      </w:r>
      <w:r w:rsidRPr="00FE7B91">
        <w:rPr>
          <w:rFonts w:ascii="Times New Roman" w:hAnsi="Times New Roman" w:cs="Times New Roman"/>
          <w:sz w:val="24"/>
          <w:szCs w:val="24"/>
        </w:rPr>
        <w:t xml:space="preserve">James Torre’s research </w:t>
      </w:r>
      <w:r>
        <w:rPr>
          <w:rFonts w:ascii="Times New Roman" w:hAnsi="Times New Roman" w:cs="Times New Roman"/>
          <w:sz w:val="24"/>
          <w:szCs w:val="24"/>
        </w:rPr>
        <w:t xml:space="preserve">undertaken </w:t>
      </w:r>
      <w:r w:rsidRPr="00FE7B91">
        <w:rPr>
          <w:rFonts w:ascii="Times New Roman" w:hAnsi="Times New Roman" w:cs="Times New Roman"/>
          <w:sz w:val="24"/>
          <w:szCs w:val="24"/>
        </w:rPr>
        <w:t>in the late seventeenth century provides scholarly and invaluable summaries of an immense amount of information on the churches of the East Riding, the sources for which he cites: of these, about a third of the originals have since been lost. Archbishop Sharp’s survey of his diocese was compiled chiefly between 1691 and 1694 with the aid of Torre’s work, but with annotations in 1706-7 and in 1717-18 after his death: it contains little on fabric</w:t>
      </w:r>
      <w:r>
        <w:rPr>
          <w:rFonts w:ascii="Times New Roman" w:hAnsi="Times New Roman" w:cs="Times New Roman"/>
          <w:sz w:val="24"/>
          <w:szCs w:val="24"/>
        </w:rPr>
        <w:t>,</w:t>
      </w:r>
      <w:r w:rsidRPr="00FE7B91">
        <w:rPr>
          <w:rFonts w:ascii="Times New Roman" w:hAnsi="Times New Roman" w:cs="Times New Roman"/>
          <w:sz w:val="24"/>
          <w:szCs w:val="24"/>
        </w:rPr>
        <w:t xml:space="preserve"> but much on the value of the livings, the clergy and the impropriators. Dering’s reports on 163 churches from 1720 to 1725 supplement records on church fabric both for those and for earlier years, but exclude most peculiars, hence, omitting 50 buildings. The returns of archbishop Herring’s visitation in 1743 supply material on population, Protestant and Catholic dissent, licensed meeting houses, schools, alms-houses, charitable endowments, property </w:t>
      </w:r>
      <w:r>
        <w:rPr>
          <w:rFonts w:ascii="Times New Roman" w:hAnsi="Times New Roman" w:cs="Times New Roman"/>
          <w:sz w:val="24"/>
          <w:szCs w:val="24"/>
        </w:rPr>
        <w:t>bequeathed</w:t>
      </w:r>
      <w:r w:rsidRPr="00FE7B91">
        <w:rPr>
          <w:rFonts w:ascii="Times New Roman" w:hAnsi="Times New Roman" w:cs="Times New Roman"/>
          <w:sz w:val="24"/>
          <w:szCs w:val="24"/>
        </w:rPr>
        <w:t xml:space="preserve"> for the repair of the church, residence, curates and their stipend. The most useful of the cause papers </w:t>
      </w:r>
      <w:r w:rsidRPr="00FE7B91">
        <w:rPr>
          <w:rFonts w:ascii="Times New Roman" w:hAnsi="Times New Roman" w:cs="Times New Roman"/>
          <w:sz w:val="24"/>
          <w:szCs w:val="24"/>
        </w:rPr>
        <w:lastRenderedPageBreak/>
        <w:t>for the period relate to church dilapidation or tithes, but many are incomplete, often lacking the court’s decision.</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One must enter a caveat as to the value of the evidence provided by the written sources and to the extent to which inferences may validly be drawn from them. One can reasonably take the reports of disrepair as evidence of actual disrepair (although its extent and n</w:t>
      </w:r>
      <w:r>
        <w:rPr>
          <w:rFonts w:ascii="Times New Roman" w:hAnsi="Times New Roman" w:cs="Times New Roman"/>
          <w:sz w:val="24"/>
          <w:szCs w:val="24"/>
        </w:rPr>
        <w:t>ature may be unclear); and perhaps reports</w:t>
      </w:r>
      <w:r w:rsidRPr="00FE7B91">
        <w:rPr>
          <w:rFonts w:ascii="Times New Roman" w:hAnsi="Times New Roman" w:cs="Times New Roman"/>
          <w:sz w:val="24"/>
          <w:szCs w:val="24"/>
        </w:rPr>
        <w:t xml:space="preserve"> that the work has been done as evidence to that effect, and even that the chancel was in good repair on the completion of the operation. One cannot assume that reports of neglect led to orders to remedy the damage, nor that those against whom such orders were made complied with them. Nor should one infer that chancels were in a satisfactory state from the absence of complaints, not least because their records may be lost. Furthermore, the reports are by no means a perfect proxy for the state of the relevant chancels. Their accuracy depends upon the willingness and ability of the churchwardens to present chancel decay at all, and to describe the condition of the fabric impartially. Some accounts plainly exaggerate the defects; and </w:t>
      </w:r>
      <w:r>
        <w:rPr>
          <w:rFonts w:ascii="Times New Roman" w:hAnsi="Times New Roman" w:cs="Times New Roman"/>
          <w:sz w:val="24"/>
          <w:szCs w:val="24"/>
        </w:rPr>
        <w:t xml:space="preserve">the mendacity of </w:t>
      </w:r>
      <w:r w:rsidRPr="00FE7B91">
        <w:rPr>
          <w:rFonts w:ascii="Times New Roman" w:hAnsi="Times New Roman" w:cs="Times New Roman"/>
          <w:sz w:val="24"/>
          <w:szCs w:val="24"/>
        </w:rPr>
        <w:t>some report</w:t>
      </w:r>
      <w:r>
        <w:rPr>
          <w:rFonts w:ascii="Times New Roman" w:hAnsi="Times New Roman" w:cs="Times New Roman"/>
          <w:sz w:val="24"/>
          <w:szCs w:val="24"/>
        </w:rPr>
        <w:t>s of</w:t>
      </w:r>
      <w:r w:rsidRPr="00FE7B91">
        <w:rPr>
          <w:rFonts w:ascii="Times New Roman" w:hAnsi="Times New Roman" w:cs="Times New Roman"/>
          <w:sz w:val="24"/>
          <w:szCs w:val="24"/>
        </w:rPr>
        <w:t xml:space="preserve"> repairs </w:t>
      </w:r>
      <w:r>
        <w:rPr>
          <w:rFonts w:ascii="Times New Roman" w:hAnsi="Times New Roman" w:cs="Times New Roman"/>
          <w:sz w:val="24"/>
          <w:szCs w:val="24"/>
        </w:rPr>
        <w:t xml:space="preserve">is exposed by </w:t>
      </w:r>
      <w:r w:rsidRPr="00FE7B91">
        <w:rPr>
          <w:rFonts w:ascii="Times New Roman" w:hAnsi="Times New Roman" w:cs="Times New Roman"/>
          <w:sz w:val="24"/>
          <w:szCs w:val="24"/>
        </w:rPr>
        <w:t xml:space="preserve">subsequent presentments. Moreover, it is impossible to gauge the time which must have passed between the neglect and its consequences, so as to identify the culprit(s). Nonetheless, these records are invaluable. The purpose of </w:t>
      </w:r>
      <w:r>
        <w:rPr>
          <w:rFonts w:ascii="Times New Roman" w:hAnsi="Times New Roman" w:cs="Times New Roman"/>
          <w:sz w:val="24"/>
          <w:szCs w:val="24"/>
        </w:rPr>
        <w:t>the P</w:t>
      </w:r>
      <w:r w:rsidRPr="00FE7B91">
        <w:rPr>
          <w:rFonts w:ascii="Times New Roman" w:hAnsi="Times New Roman" w:cs="Times New Roman"/>
          <w:sz w:val="24"/>
          <w:szCs w:val="24"/>
        </w:rPr>
        <w:t xml:space="preserve">arliamentary </w:t>
      </w:r>
      <w:r>
        <w:rPr>
          <w:rFonts w:ascii="Times New Roman" w:hAnsi="Times New Roman" w:cs="Times New Roman"/>
          <w:sz w:val="24"/>
          <w:szCs w:val="24"/>
        </w:rPr>
        <w:t>S</w:t>
      </w:r>
      <w:r w:rsidRPr="00FE7B91">
        <w:rPr>
          <w:rFonts w:ascii="Times New Roman" w:hAnsi="Times New Roman" w:cs="Times New Roman"/>
          <w:sz w:val="24"/>
          <w:szCs w:val="24"/>
        </w:rPr>
        <w:t xml:space="preserve">urveys was not to address the state of church fabric, and there is no equivalent to visitation court papers to fill the void between 1640 and </w:t>
      </w:r>
      <w:r>
        <w:rPr>
          <w:rFonts w:ascii="Times New Roman" w:hAnsi="Times New Roman" w:cs="Times New Roman"/>
          <w:sz w:val="24"/>
          <w:szCs w:val="24"/>
        </w:rPr>
        <w:t>1662-6</w:t>
      </w:r>
      <w:r w:rsidRPr="00FE7B91">
        <w:rPr>
          <w:rFonts w:ascii="Times New Roman" w:hAnsi="Times New Roman" w:cs="Times New Roman"/>
          <w:sz w:val="24"/>
          <w:szCs w:val="24"/>
        </w:rPr>
        <w:t xml:space="preserve">3. However, one may infer that a chancel required substantial restoration by the end of the period if complaints of disrepair had been made over several decades. It would also be reasonable to suppose that the ecclesiastical courts in the late sixteenth and early seventeenth centuries were unwilling to order ecclesiastical dignitaries or their farmers to repair chancels for which they were liable when their neglect was repeatedly cited to no effect, especially in respect of several chancels for which the same dignitary was responsible. </w:t>
      </w:r>
    </w:p>
    <w:p w:rsidR="00325B82" w:rsidRPr="00FE7B91" w:rsidRDefault="00325B82" w:rsidP="00325B82">
      <w:pPr>
        <w:spacing w:after="120" w:line="480" w:lineRule="auto"/>
        <w:jc w:val="both"/>
        <w:rPr>
          <w:rFonts w:ascii="Times New Roman" w:hAnsi="Times New Roman" w:cs="Times New Roman"/>
          <w:sz w:val="24"/>
          <w:szCs w:val="24"/>
        </w:rPr>
      </w:pPr>
      <w:r w:rsidRPr="00FE7B91">
        <w:rPr>
          <w:rFonts w:ascii="Times New Roman" w:eastAsia="Times New Roman" w:hAnsi="Times New Roman" w:cs="Times New Roman"/>
          <w:iCs/>
          <w:sz w:val="24"/>
          <w:szCs w:val="24"/>
          <w:lang w:eastAsia="en-GB"/>
        </w:rPr>
        <w:lastRenderedPageBreak/>
        <w:t xml:space="preserve">The main primary sources for </w:t>
      </w:r>
      <w:r w:rsidRPr="00FE7B91">
        <w:rPr>
          <w:rFonts w:ascii="Times New Roman" w:hAnsi="Times New Roman" w:cs="Times New Roman"/>
          <w:sz w:val="24"/>
          <w:szCs w:val="24"/>
        </w:rPr>
        <w:t xml:space="preserve">information on grants and leases by the Crown from the 1530s to 1603 of assets (in particular, rectories) which had belonged to religious houses before their dissolution </w:t>
      </w:r>
      <w:r>
        <w:rPr>
          <w:rFonts w:ascii="Times New Roman" w:hAnsi="Times New Roman" w:cs="Times New Roman"/>
          <w:sz w:val="24"/>
          <w:szCs w:val="24"/>
        </w:rPr>
        <w:t xml:space="preserve">are to be found in published form in </w:t>
      </w:r>
      <w:r w:rsidRPr="00FE7B91">
        <w:rPr>
          <w:rFonts w:ascii="Times New Roman" w:eastAsia="Times New Roman" w:hAnsi="Times New Roman" w:cs="Times New Roman"/>
          <w:i/>
          <w:iCs/>
          <w:sz w:val="24"/>
          <w:szCs w:val="24"/>
          <w:lang w:eastAsia="en-GB"/>
        </w:rPr>
        <w:t>Letters and Papers, Foreign and Domestic, Henry VIII</w:t>
      </w:r>
      <w:r w:rsidRPr="00FE7B91">
        <w:rPr>
          <w:rFonts w:ascii="Times New Roman" w:eastAsia="Times New Roman" w:hAnsi="Times New Roman" w:cs="Times New Roman"/>
          <w:iCs/>
          <w:sz w:val="24"/>
          <w:szCs w:val="24"/>
          <w:lang w:eastAsia="en-GB"/>
        </w:rPr>
        <w:t xml:space="preserve"> and</w:t>
      </w:r>
      <w:r w:rsidRPr="00FE7B91">
        <w:rPr>
          <w:rFonts w:ascii="Times New Roman" w:eastAsia="Times New Roman" w:hAnsi="Times New Roman" w:cs="Times New Roman"/>
          <w:i/>
          <w:iCs/>
          <w:sz w:val="24"/>
          <w:szCs w:val="24"/>
          <w:lang w:eastAsia="en-GB"/>
        </w:rPr>
        <w:t xml:space="preserve"> </w:t>
      </w:r>
      <w:r w:rsidRPr="00FE7B91">
        <w:rPr>
          <w:rFonts w:ascii="Times New Roman" w:eastAsia="Times New Roman" w:hAnsi="Times New Roman" w:cs="Times New Roman"/>
          <w:iCs/>
          <w:sz w:val="24"/>
          <w:szCs w:val="24"/>
          <w:lang w:eastAsia="en-GB"/>
        </w:rPr>
        <w:t>t</w:t>
      </w:r>
      <w:r w:rsidRPr="00FE7B91">
        <w:rPr>
          <w:rFonts w:ascii="Times New Roman" w:hAnsi="Times New Roman" w:cs="Times New Roman"/>
          <w:sz w:val="24"/>
          <w:szCs w:val="24"/>
        </w:rPr>
        <w:t xml:space="preserve">he </w:t>
      </w:r>
      <w:r w:rsidRPr="00FE7B91">
        <w:rPr>
          <w:rFonts w:ascii="Times New Roman" w:hAnsi="Times New Roman" w:cs="Times New Roman"/>
          <w:i/>
          <w:sz w:val="24"/>
          <w:szCs w:val="24"/>
        </w:rPr>
        <w:t>Calendar of the Patent Rolls</w:t>
      </w:r>
      <w:r w:rsidRPr="00FE7B91">
        <w:rPr>
          <w:rFonts w:ascii="Times New Roman" w:hAnsi="Times New Roman" w:cs="Times New Roman"/>
          <w:sz w:val="24"/>
          <w:szCs w:val="24"/>
        </w:rPr>
        <w:t>. Sales thereafter of such property (and of other rectories and advowsons) were tracked through the conveyancing documents of the Tudor and Stuart periods, and records in the Borthwick Institute, Hull History Centre,</w:t>
      </w:r>
      <w:r>
        <w:rPr>
          <w:rFonts w:ascii="Times New Roman" w:hAnsi="Times New Roman" w:cs="Times New Roman"/>
          <w:sz w:val="24"/>
          <w:szCs w:val="24"/>
        </w:rPr>
        <w:t xml:space="preserve"> and the East Riding Archives and Local Studies, Beverley</w:t>
      </w:r>
      <w:r w:rsidRPr="00FE7B91">
        <w:rPr>
          <w:rFonts w:ascii="Times New Roman" w:hAnsi="Times New Roman" w:cs="Times New Roman"/>
          <w:sz w:val="24"/>
          <w:szCs w:val="24"/>
        </w:rPr>
        <w:t>. Leases by ecclesiastical dignitaries were traced from 1547 to 1730 through a combination o</w:t>
      </w:r>
      <w:r>
        <w:rPr>
          <w:rFonts w:ascii="Times New Roman" w:hAnsi="Times New Roman" w:cs="Times New Roman"/>
          <w:sz w:val="24"/>
          <w:szCs w:val="24"/>
        </w:rPr>
        <w:t>f those three archives, and those at</w:t>
      </w:r>
      <w:r w:rsidRPr="00FE7B91">
        <w:rPr>
          <w:rFonts w:ascii="Times New Roman" w:hAnsi="Times New Roman" w:cs="Times New Roman"/>
          <w:sz w:val="24"/>
          <w:szCs w:val="24"/>
        </w:rPr>
        <w:t xml:space="preserve"> Durham Cathedral, Lambeth Palace, the National Ar</w:t>
      </w:r>
      <w:r>
        <w:rPr>
          <w:rFonts w:ascii="Times New Roman" w:hAnsi="Times New Roman" w:cs="Times New Roman"/>
          <w:sz w:val="24"/>
          <w:szCs w:val="24"/>
        </w:rPr>
        <w:t>chives and York Minster</w:t>
      </w:r>
      <w:r w:rsidRPr="00FE7B91">
        <w:rPr>
          <w:rFonts w:ascii="Times New Roman" w:hAnsi="Times New Roman" w:cs="Times New Roman"/>
          <w:sz w:val="24"/>
          <w:szCs w:val="24"/>
        </w:rPr>
        <w:t xml:space="preserve">. Inevitably there are lacunae in these patchworks, but enough primary evidence survives to permit one, aided by secondary sources, to discern the pattern of such grants, leases and sales, and to elicit much critical data about the impropriators, the ecclesiastic lessors and the lessees of both groups. The lack of a printed edition of calendar of patent rolls after 1603 or feet of fines after 1625 has hampered the research somewhat. The East Riding Register of Deeds was not established until 1708 and therefore contains no document before that date. The same primary sources were used for </w:t>
      </w:r>
      <w:r>
        <w:rPr>
          <w:rFonts w:ascii="Times New Roman" w:hAnsi="Times New Roman" w:cs="Times New Roman"/>
          <w:sz w:val="24"/>
          <w:szCs w:val="24"/>
        </w:rPr>
        <w:t>identifying and discovering the backgrounds of impropriators, their lessees and tenants of ecclesiastics</w:t>
      </w:r>
      <w:r w:rsidRPr="00FE7B91">
        <w:rPr>
          <w:rFonts w:ascii="Times New Roman" w:hAnsi="Times New Roman" w:cs="Times New Roman"/>
          <w:sz w:val="24"/>
          <w:szCs w:val="24"/>
        </w:rPr>
        <w:t>, chiefly supplemented by the genealogies of Clay</w:t>
      </w:r>
      <w:r>
        <w:rPr>
          <w:rFonts w:ascii="Times New Roman" w:hAnsi="Times New Roman" w:cs="Times New Roman"/>
          <w:sz w:val="24"/>
          <w:szCs w:val="24"/>
        </w:rPr>
        <w:t>,</w:t>
      </w:r>
      <w:r w:rsidRPr="00FE7B91">
        <w:rPr>
          <w:rFonts w:ascii="Times New Roman" w:hAnsi="Times New Roman" w:cs="Times New Roman"/>
          <w:sz w:val="24"/>
          <w:szCs w:val="24"/>
        </w:rPr>
        <w:t xml:space="preserve"> Dugdale</w:t>
      </w:r>
      <w:r>
        <w:rPr>
          <w:rFonts w:ascii="Times New Roman" w:hAnsi="Times New Roman" w:cs="Times New Roman"/>
          <w:sz w:val="24"/>
          <w:szCs w:val="24"/>
        </w:rPr>
        <w:t>,</w:t>
      </w:r>
      <w:r w:rsidRPr="00FE7B91">
        <w:rPr>
          <w:rFonts w:ascii="Times New Roman" w:hAnsi="Times New Roman" w:cs="Times New Roman"/>
          <w:sz w:val="24"/>
          <w:szCs w:val="24"/>
        </w:rPr>
        <w:t xml:space="preserve"> Foster, </w:t>
      </w:r>
      <w:r>
        <w:rPr>
          <w:rFonts w:ascii="Times New Roman" w:hAnsi="Times New Roman" w:cs="Times New Roman"/>
          <w:sz w:val="24"/>
          <w:szCs w:val="24"/>
        </w:rPr>
        <w:t>Glover and St. George</w:t>
      </w:r>
      <w:r w:rsidRPr="00FE7B91">
        <w:rPr>
          <w:rFonts w:ascii="Times New Roman" w:hAnsi="Times New Roman" w:cs="Times New Roman"/>
          <w:sz w:val="24"/>
          <w:szCs w:val="24"/>
        </w:rPr>
        <w:t>; the Oxford Dictionary of National Biography; the History of Parliament (unfortunately the volume 1640-1660 is not yet published); the Yorkshire Royalist Composition Papers; a 1662 valuation of wealthy East Riding estates; and the East Riding hearth tax returns. Inevitably, it has not been possible to identify every impropriator or lessee of every rectory between 1547 and 1730 or to determine the category into which each falls, but most have been successfully identified and placed in context.</w:t>
      </w:r>
    </w:p>
    <w:p w:rsidR="00325B82" w:rsidRDefault="00325B82" w:rsidP="00325B82">
      <w:pPr>
        <w:spacing w:after="120" w:line="480" w:lineRule="auto"/>
        <w:jc w:val="both"/>
        <w:rPr>
          <w:rFonts w:ascii="Times New Roman" w:hAnsi="Times New Roman" w:cs="Times New Roman"/>
          <w:sz w:val="24"/>
          <w:szCs w:val="24"/>
        </w:rPr>
      </w:pPr>
      <w:r w:rsidRPr="00FE7B91">
        <w:rPr>
          <w:rFonts w:ascii="Times New Roman" w:hAnsi="Times New Roman" w:cs="Times New Roman"/>
          <w:sz w:val="24"/>
          <w:szCs w:val="24"/>
        </w:rPr>
        <w:t xml:space="preserve">There are significant gaps in the primary sources about dissent between 1547 and 1730. The visitation court books identify many Catholics, and Aveling’s work on post-Reformation </w:t>
      </w:r>
      <w:r w:rsidRPr="00FE7B91">
        <w:rPr>
          <w:rFonts w:ascii="Times New Roman" w:hAnsi="Times New Roman" w:cs="Times New Roman"/>
          <w:sz w:val="24"/>
          <w:szCs w:val="24"/>
        </w:rPr>
        <w:lastRenderedPageBreak/>
        <w:t xml:space="preserve">Catholicism in East Yorkshire supplements gaps. Quaker records go back to 1652. The visitation court books do not always </w:t>
      </w:r>
      <w:r>
        <w:rPr>
          <w:rFonts w:ascii="Times New Roman" w:hAnsi="Times New Roman" w:cs="Times New Roman"/>
          <w:sz w:val="24"/>
          <w:szCs w:val="24"/>
        </w:rPr>
        <w:t>distinguish</w:t>
      </w:r>
      <w:r w:rsidRPr="00FE7B91">
        <w:rPr>
          <w:rFonts w:ascii="Times New Roman" w:hAnsi="Times New Roman" w:cs="Times New Roman"/>
          <w:sz w:val="24"/>
          <w:szCs w:val="24"/>
        </w:rPr>
        <w:t xml:space="preserve"> Protestant from Catholic dissent, nor one type of protestant dissent from another, and there is no national list of Friends for our period. However, the records of Quaker meetings</w:t>
      </w:r>
      <w:r>
        <w:rPr>
          <w:rFonts w:ascii="Times New Roman" w:hAnsi="Times New Roman" w:cs="Times New Roman"/>
          <w:sz w:val="24"/>
          <w:szCs w:val="24"/>
        </w:rPr>
        <w:t xml:space="preserve"> and sufferings</w:t>
      </w:r>
      <w:r w:rsidRPr="00FE7B91">
        <w:rPr>
          <w:rFonts w:ascii="Times New Roman" w:hAnsi="Times New Roman" w:cs="Times New Roman"/>
          <w:sz w:val="24"/>
          <w:szCs w:val="24"/>
        </w:rPr>
        <w:t xml:space="preserve">, and of their births, marriages and deaths, and </w:t>
      </w:r>
      <w:r>
        <w:rPr>
          <w:rFonts w:ascii="Times New Roman" w:hAnsi="Times New Roman" w:cs="Times New Roman"/>
          <w:sz w:val="24"/>
          <w:szCs w:val="24"/>
        </w:rPr>
        <w:t>the</w:t>
      </w:r>
      <w:r w:rsidRPr="00FE7B91">
        <w:rPr>
          <w:rFonts w:ascii="Times New Roman" w:hAnsi="Times New Roman" w:cs="Times New Roman"/>
          <w:sz w:val="24"/>
          <w:szCs w:val="24"/>
        </w:rPr>
        <w:t xml:space="preserve"> collection of their sufferings </w:t>
      </w:r>
      <w:r>
        <w:rPr>
          <w:rFonts w:ascii="Times New Roman" w:hAnsi="Times New Roman" w:cs="Times New Roman"/>
          <w:sz w:val="24"/>
          <w:szCs w:val="24"/>
        </w:rPr>
        <w:t xml:space="preserve">by Joseph Besse </w:t>
      </w:r>
      <w:r w:rsidRPr="00FE7B91">
        <w:rPr>
          <w:rFonts w:ascii="Times New Roman" w:hAnsi="Times New Roman" w:cs="Times New Roman"/>
          <w:sz w:val="24"/>
          <w:szCs w:val="24"/>
        </w:rPr>
        <w:t>are invaluable. The earliest records of other Protestant non-conformists appear much later: the registers of Cottingham Hallgate Zion Independent begin in 1681; those of Bridlington’s Baptists and Bridlington’s Zion Chapel (Independent) start in 1698; and those of Scarborough’s Independents commence in 1703.</w:t>
      </w:r>
    </w:p>
    <w:p w:rsidR="00454EE1" w:rsidRDefault="00325B82" w:rsidP="00325B82">
      <w:r>
        <w:rPr>
          <w:rFonts w:ascii="Times New Roman" w:hAnsi="Times New Roman" w:cs="Times New Roman"/>
          <w:sz w:val="24"/>
          <w:szCs w:val="24"/>
        </w:rPr>
        <w:br w:type="page"/>
      </w:r>
    </w:p>
    <w:sectPr w:rsidR="00454EE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7BDF" w:rsidRDefault="00DD7BDF" w:rsidP="00325B82">
      <w:pPr>
        <w:spacing w:after="0" w:line="240" w:lineRule="auto"/>
      </w:pPr>
      <w:r>
        <w:separator/>
      </w:r>
    </w:p>
  </w:endnote>
  <w:endnote w:type="continuationSeparator" w:id="0">
    <w:p w:rsidR="00DD7BDF" w:rsidRDefault="00DD7BDF" w:rsidP="00325B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7BDF" w:rsidRDefault="00DD7BDF" w:rsidP="00325B82">
      <w:pPr>
        <w:spacing w:after="0" w:line="240" w:lineRule="auto"/>
      </w:pPr>
      <w:r>
        <w:separator/>
      </w:r>
    </w:p>
  </w:footnote>
  <w:footnote w:type="continuationSeparator" w:id="0">
    <w:p w:rsidR="00DD7BDF" w:rsidRDefault="00DD7BDF" w:rsidP="00325B82">
      <w:pPr>
        <w:spacing w:after="0" w:line="240" w:lineRule="auto"/>
      </w:pPr>
      <w:r>
        <w:continuationSeparator/>
      </w:r>
    </w:p>
  </w:footnote>
  <w:footnote w:id="1">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I use ‘church’ to include chapels where the sense requires, and ‘collegiate entity’ or ‘monastery’ or ‘religious house’ to include all places the province of any college of canons, </w:t>
      </w:r>
      <w:r>
        <w:rPr>
          <w:rFonts w:cstheme="minorHAnsi"/>
        </w:rPr>
        <w:t>monks or nuns</w:t>
      </w:r>
      <w:r w:rsidRPr="00033141">
        <w:rPr>
          <w:rFonts w:cstheme="minorHAnsi"/>
        </w:rPr>
        <w:t>, and ‘monastic’ and ‘conventual’ interchangeably (subject to contextual demands).</w:t>
      </w:r>
    </w:p>
  </w:footnote>
  <w:footnote w:id="2">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See Patrick Collinson, ‘Comment on Eamon Duffy’s Neale Lecture and the Colloquium’, 71-86, Eamon Duffy, ‘The Long Reformation: Catholicism, Protestantism and the multitude’, 33-70, Tyacke, ‘Introduction’, 1-32, in Tyacke, </w:t>
      </w:r>
      <w:r w:rsidRPr="00033141">
        <w:rPr>
          <w:rFonts w:cstheme="minorHAnsi"/>
          <w:i/>
        </w:rPr>
        <w:t>Long Reformation</w:t>
      </w:r>
      <w:r w:rsidRPr="00033141">
        <w:rPr>
          <w:rFonts w:cstheme="minorHAnsi"/>
        </w:rPr>
        <w:t xml:space="preserve">. </w:t>
      </w:r>
    </w:p>
  </w:footnote>
  <w:footnote w:id="3">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The geographical area covered by this thesis is the archdeaconry of the East Riding as it stood in 1547. I use the phrases ‘the archdeaconry’, ‘the East Riding’ and ‘East Yorkshire’ interchangeably to mean ‘the archdeaconry of the East Riding as it stood in 1547’, unless the context requires a different meaning. See Appendix 1 for a map of the archdeaconry and Appendix 2 for a list of parishes and deaneries.</w:t>
      </w:r>
    </w:p>
  </w:footnote>
  <w:footnote w:id="4">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T.E. Tomlins, ed., </w:t>
      </w:r>
      <w:r w:rsidRPr="00033141">
        <w:rPr>
          <w:rFonts w:cstheme="minorHAnsi"/>
          <w:i/>
        </w:rPr>
        <w:t>Statutes of the Realm</w:t>
      </w:r>
      <w:r w:rsidRPr="00033141">
        <w:rPr>
          <w:rFonts w:cstheme="minorHAnsi"/>
        </w:rPr>
        <w:t xml:space="preserve">, vol. </w:t>
      </w:r>
      <w:r w:rsidRPr="00033141">
        <w:rPr>
          <w:rFonts w:cstheme="minorHAnsi"/>
          <w:i/>
        </w:rPr>
        <w:t xml:space="preserve">IV </w:t>
      </w:r>
      <w:r w:rsidRPr="00033141">
        <w:rPr>
          <w:rFonts w:cstheme="minorHAnsi"/>
        </w:rPr>
        <w:t>(London, 1819), 24.</w:t>
      </w:r>
    </w:p>
  </w:footnote>
  <w:footnote w:id="5">
    <w:p w:rsidR="00325B82" w:rsidRPr="00033141" w:rsidRDefault="00325B82" w:rsidP="00325B82">
      <w:pPr>
        <w:spacing w:after="0" w:line="240" w:lineRule="auto"/>
        <w:ind w:left="357" w:hanging="357"/>
        <w:jc w:val="both"/>
        <w:rPr>
          <w:rFonts w:cstheme="minorHAnsi"/>
          <w:sz w:val="20"/>
          <w:szCs w:val="20"/>
        </w:rPr>
      </w:pPr>
      <w:r w:rsidRPr="00033141">
        <w:rPr>
          <w:rStyle w:val="FootnoteReference"/>
          <w:rFonts w:cstheme="minorHAnsi"/>
          <w:sz w:val="20"/>
          <w:szCs w:val="20"/>
        </w:rPr>
        <w:footnoteRef/>
      </w:r>
      <w:r w:rsidRPr="00033141">
        <w:rPr>
          <w:rFonts w:cstheme="minorHAnsi"/>
          <w:sz w:val="20"/>
          <w:szCs w:val="20"/>
        </w:rPr>
        <w:t xml:space="preserve"> K.A., MacMahon, ed., </w:t>
      </w:r>
      <w:r w:rsidRPr="00033141">
        <w:rPr>
          <w:rFonts w:cstheme="minorHAnsi"/>
          <w:i/>
          <w:sz w:val="20"/>
          <w:szCs w:val="20"/>
        </w:rPr>
        <w:t>Beverley Corporation Minute Books 1707-1835</w:t>
      </w:r>
      <w:r w:rsidRPr="00033141">
        <w:rPr>
          <w:rFonts w:cstheme="minorHAnsi"/>
          <w:sz w:val="20"/>
          <w:szCs w:val="20"/>
        </w:rPr>
        <w:t xml:space="preserve"> (</w:t>
      </w:r>
      <w:r w:rsidRPr="00033141">
        <w:rPr>
          <w:rFonts w:cstheme="minorHAnsi"/>
          <w:i/>
          <w:sz w:val="20"/>
          <w:szCs w:val="20"/>
        </w:rPr>
        <w:t>YASRS</w:t>
      </w:r>
      <w:r w:rsidRPr="00033141">
        <w:rPr>
          <w:rFonts w:cstheme="minorHAnsi"/>
          <w:sz w:val="20"/>
          <w:szCs w:val="20"/>
        </w:rPr>
        <w:t>, vol.</w:t>
      </w:r>
      <w:r w:rsidRPr="00033141">
        <w:rPr>
          <w:rFonts w:cstheme="minorHAnsi"/>
          <w:i/>
          <w:sz w:val="20"/>
          <w:szCs w:val="20"/>
        </w:rPr>
        <w:t xml:space="preserve"> CXXII</w:t>
      </w:r>
      <w:r w:rsidRPr="00033141">
        <w:rPr>
          <w:rFonts w:cstheme="minorHAnsi"/>
          <w:sz w:val="20"/>
          <w:szCs w:val="20"/>
        </w:rPr>
        <w:t xml:space="preserve">) (London and Hull, 1956), 6; </w:t>
      </w:r>
      <w:r>
        <w:rPr>
          <w:rFonts w:eastAsia="Times New Roman" w:cstheme="minorHAnsi"/>
          <w:sz w:val="20"/>
          <w:szCs w:val="20"/>
          <w:lang w:eastAsia="en-GB"/>
        </w:rPr>
        <w:t>Pevsner</w:t>
      </w:r>
      <w:r w:rsidRPr="00033141">
        <w:rPr>
          <w:rFonts w:eastAsia="Times New Roman" w:cstheme="minorHAnsi"/>
          <w:sz w:val="20"/>
          <w:szCs w:val="20"/>
          <w:lang w:eastAsia="en-GB"/>
        </w:rPr>
        <w:t xml:space="preserve">, </w:t>
      </w:r>
      <w:r w:rsidRPr="00033141">
        <w:rPr>
          <w:rFonts w:eastAsia="Times New Roman" w:cstheme="minorHAnsi"/>
          <w:i/>
          <w:sz w:val="20"/>
          <w:szCs w:val="20"/>
          <w:lang w:eastAsia="en-GB"/>
        </w:rPr>
        <w:t>ER,</w:t>
      </w:r>
      <w:r w:rsidRPr="00033141">
        <w:rPr>
          <w:rFonts w:cstheme="minorHAnsi"/>
          <w:sz w:val="20"/>
          <w:szCs w:val="20"/>
        </w:rPr>
        <w:t xml:space="preserve"> 285, 485.</w:t>
      </w:r>
    </w:p>
  </w:footnote>
  <w:footnote w:id="6">
    <w:p w:rsidR="00325B82" w:rsidRPr="00033141" w:rsidRDefault="00325B82" w:rsidP="00325B82">
      <w:pPr>
        <w:spacing w:after="0" w:line="240" w:lineRule="auto"/>
        <w:ind w:left="357" w:hanging="357"/>
        <w:jc w:val="both"/>
        <w:rPr>
          <w:rFonts w:cstheme="minorHAnsi"/>
          <w:sz w:val="20"/>
          <w:szCs w:val="20"/>
        </w:rPr>
      </w:pPr>
      <w:r w:rsidRPr="00033141">
        <w:rPr>
          <w:rStyle w:val="FootnoteReference"/>
          <w:rFonts w:cstheme="minorHAnsi"/>
          <w:sz w:val="20"/>
          <w:szCs w:val="20"/>
        </w:rPr>
        <w:footnoteRef/>
      </w:r>
      <w:r w:rsidRPr="00033141">
        <w:rPr>
          <w:rFonts w:cstheme="minorHAnsi"/>
          <w:sz w:val="20"/>
          <w:szCs w:val="20"/>
        </w:rPr>
        <w:t xml:space="preserve"> </w:t>
      </w:r>
      <w:r w:rsidRPr="00033141">
        <w:rPr>
          <w:rFonts w:eastAsia="Times New Roman" w:cstheme="minorHAnsi"/>
          <w:i/>
          <w:sz w:val="20"/>
          <w:szCs w:val="20"/>
          <w:lang w:eastAsia="en-GB"/>
        </w:rPr>
        <w:t>VCHDII</w:t>
      </w:r>
      <w:r w:rsidRPr="00033141">
        <w:rPr>
          <w:rFonts w:eastAsia="Times New Roman" w:cstheme="minorHAnsi"/>
          <w:sz w:val="20"/>
          <w:szCs w:val="20"/>
          <w:lang w:eastAsia="en-GB"/>
        </w:rPr>
        <w:t>,</w:t>
      </w:r>
      <w:r w:rsidRPr="00033141">
        <w:rPr>
          <w:rFonts w:cstheme="minorHAnsi"/>
          <w:sz w:val="20"/>
          <w:szCs w:val="20"/>
        </w:rPr>
        <w:t xml:space="preserve"> 32; </w:t>
      </w:r>
      <w:r w:rsidRPr="00033141">
        <w:rPr>
          <w:rFonts w:eastAsia="Times New Roman" w:cstheme="minorHAnsi"/>
          <w:i/>
          <w:sz w:val="20"/>
          <w:szCs w:val="20"/>
          <w:lang w:eastAsia="en-GB"/>
        </w:rPr>
        <w:t>VCHERVI</w:t>
      </w:r>
      <w:r w:rsidRPr="00033141">
        <w:rPr>
          <w:rFonts w:eastAsia="Times New Roman" w:cstheme="minorHAnsi"/>
          <w:sz w:val="20"/>
          <w:szCs w:val="20"/>
          <w:lang w:eastAsia="en-GB"/>
        </w:rPr>
        <w:t>,</w:t>
      </w:r>
      <w:r w:rsidRPr="00033141">
        <w:rPr>
          <w:rFonts w:cstheme="minorHAnsi"/>
          <w:sz w:val="20"/>
          <w:szCs w:val="20"/>
        </w:rPr>
        <w:t xml:space="preserve"> 77.</w:t>
      </w:r>
    </w:p>
  </w:footnote>
  <w:footnote w:id="7">
    <w:p w:rsidR="00325B82" w:rsidRPr="00033141" w:rsidRDefault="00325B82" w:rsidP="00325B82">
      <w:pPr>
        <w:spacing w:after="0" w:line="240" w:lineRule="auto"/>
        <w:ind w:left="357" w:hanging="357"/>
        <w:jc w:val="both"/>
        <w:rPr>
          <w:rFonts w:eastAsia="Times New Roman" w:cstheme="minorHAnsi"/>
          <w:sz w:val="20"/>
          <w:szCs w:val="20"/>
          <w:lang w:eastAsia="en-GB"/>
        </w:rPr>
      </w:pPr>
      <w:r w:rsidRPr="00033141">
        <w:rPr>
          <w:rStyle w:val="FootnoteReference"/>
          <w:rFonts w:cstheme="minorHAnsi"/>
          <w:sz w:val="20"/>
          <w:szCs w:val="20"/>
        </w:rPr>
        <w:footnoteRef/>
      </w:r>
      <w:r w:rsidRPr="00033141">
        <w:rPr>
          <w:rFonts w:cstheme="minorHAnsi"/>
          <w:sz w:val="20"/>
          <w:szCs w:val="20"/>
        </w:rPr>
        <w:t xml:space="preserve"> </w:t>
      </w:r>
      <w:r w:rsidRPr="00033141">
        <w:rPr>
          <w:rFonts w:cstheme="minorHAnsi"/>
          <w:i/>
          <w:sz w:val="20"/>
          <w:szCs w:val="20"/>
        </w:rPr>
        <w:t>VCHER</w:t>
      </w:r>
      <w:r w:rsidRPr="00033141">
        <w:rPr>
          <w:rFonts w:eastAsia="Times New Roman" w:cstheme="minorHAnsi"/>
          <w:i/>
          <w:sz w:val="20"/>
          <w:szCs w:val="20"/>
          <w:lang w:eastAsia="en-GB"/>
        </w:rPr>
        <w:t>VI</w:t>
      </w:r>
      <w:r w:rsidRPr="00033141">
        <w:rPr>
          <w:rFonts w:cstheme="minorHAnsi"/>
          <w:sz w:val="20"/>
          <w:szCs w:val="20"/>
        </w:rPr>
        <w:t>, 239.</w:t>
      </w:r>
    </w:p>
  </w:footnote>
  <w:footnote w:id="8">
    <w:p w:rsidR="00325B82" w:rsidRPr="00033141" w:rsidRDefault="00325B82" w:rsidP="00325B82">
      <w:pPr>
        <w:spacing w:after="0" w:line="240" w:lineRule="auto"/>
        <w:ind w:left="357" w:hanging="357"/>
        <w:jc w:val="both"/>
        <w:rPr>
          <w:rFonts w:cstheme="minorHAnsi"/>
          <w:sz w:val="20"/>
          <w:szCs w:val="20"/>
        </w:rPr>
      </w:pPr>
      <w:r w:rsidRPr="00033141">
        <w:rPr>
          <w:rStyle w:val="FootnoteReference"/>
          <w:rFonts w:cstheme="minorHAnsi"/>
          <w:sz w:val="20"/>
          <w:szCs w:val="20"/>
        </w:rPr>
        <w:footnoteRef/>
      </w:r>
      <w:r w:rsidRPr="00033141">
        <w:rPr>
          <w:rFonts w:cstheme="minorHAnsi"/>
          <w:sz w:val="20"/>
          <w:szCs w:val="20"/>
        </w:rPr>
        <w:t xml:space="preserve"> </w:t>
      </w:r>
      <w:r w:rsidRPr="00033141">
        <w:rPr>
          <w:rFonts w:eastAsia="Times New Roman" w:cstheme="minorHAnsi"/>
          <w:sz w:val="20"/>
          <w:szCs w:val="20"/>
          <w:lang w:eastAsia="en-GB"/>
        </w:rPr>
        <w:t xml:space="preserve">Hinderwell, </w:t>
      </w:r>
      <w:r w:rsidRPr="00033141">
        <w:rPr>
          <w:rFonts w:eastAsia="Times New Roman" w:cstheme="minorHAnsi"/>
          <w:i/>
          <w:sz w:val="20"/>
          <w:szCs w:val="20"/>
          <w:lang w:eastAsia="en-GB"/>
        </w:rPr>
        <w:t>Scarborough</w:t>
      </w:r>
      <w:r w:rsidRPr="00033141">
        <w:rPr>
          <w:rFonts w:cstheme="minorHAnsi"/>
          <w:sz w:val="20"/>
          <w:szCs w:val="20"/>
        </w:rPr>
        <w:t>, 90-91.</w:t>
      </w:r>
    </w:p>
  </w:footnote>
  <w:footnote w:id="9">
    <w:p w:rsidR="00325B82" w:rsidRPr="00033141" w:rsidRDefault="00325B82" w:rsidP="00325B82">
      <w:pPr>
        <w:spacing w:after="0" w:line="240" w:lineRule="auto"/>
        <w:ind w:left="357" w:hanging="357"/>
        <w:jc w:val="both"/>
        <w:rPr>
          <w:rFonts w:cstheme="minorHAnsi"/>
          <w:sz w:val="20"/>
          <w:szCs w:val="20"/>
        </w:rPr>
      </w:pPr>
      <w:r w:rsidRPr="00033141">
        <w:rPr>
          <w:rStyle w:val="FootnoteReference"/>
          <w:rFonts w:cstheme="minorHAnsi"/>
          <w:sz w:val="20"/>
          <w:szCs w:val="20"/>
        </w:rPr>
        <w:footnoteRef/>
      </w:r>
      <w:r w:rsidRPr="00033141">
        <w:rPr>
          <w:rFonts w:cstheme="minorHAnsi"/>
          <w:sz w:val="20"/>
          <w:szCs w:val="20"/>
        </w:rPr>
        <w:t xml:space="preserve"> </w:t>
      </w:r>
      <w:r w:rsidRPr="00033141">
        <w:rPr>
          <w:rFonts w:eastAsia="Times New Roman" w:cstheme="minorHAnsi"/>
          <w:sz w:val="20"/>
          <w:szCs w:val="20"/>
          <w:lang w:eastAsia="en-GB"/>
        </w:rPr>
        <w:t xml:space="preserve">Knowles, </w:t>
      </w:r>
      <w:r w:rsidRPr="00033141">
        <w:rPr>
          <w:rFonts w:eastAsia="Times New Roman" w:cstheme="minorHAnsi"/>
          <w:i/>
          <w:sz w:val="20"/>
          <w:szCs w:val="20"/>
          <w:lang w:eastAsia="en-GB"/>
        </w:rPr>
        <w:t>Medieval Religious Houses</w:t>
      </w:r>
      <w:r w:rsidRPr="00033141">
        <w:rPr>
          <w:rFonts w:cstheme="minorHAnsi"/>
          <w:sz w:val="20"/>
          <w:szCs w:val="20"/>
        </w:rPr>
        <w:t>, 498-565.</w:t>
      </w:r>
    </w:p>
  </w:footnote>
  <w:footnote w:id="10">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I use “rectory” and “vicarage” in their technical sense to mean the rights and obligations of a rector and vicar respectively. I use the phrase “ecclesiastical dignitaries” to include archbishops, bishops, deans and other members of chapters, as well as prebendaries, the precise sense to be determined from its context. </w:t>
      </w:r>
    </w:p>
  </w:footnote>
  <w:footnote w:id="11">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Where the gift is doubtful or very short-lived such cases have been included as never having been appropriated. According to Thompson, at least 392 (or 63%) of 622 late mediaeval Yorkshire parish churches were appropriated: </w:t>
      </w:r>
      <w:r w:rsidRPr="00033141">
        <w:rPr>
          <w:rFonts w:cstheme="minorHAnsi"/>
          <w:i/>
        </w:rPr>
        <w:t xml:space="preserve">English </w:t>
      </w:r>
      <w:r>
        <w:rPr>
          <w:rFonts w:cstheme="minorHAnsi"/>
          <w:i/>
        </w:rPr>
        <w:t>C</w:t>
      </w:r>
      <w:r w:rsidRPr="00033141">
        <w:rPr>
          <w:rFonts w:cstheme="minorHAnsi"/>
          <w:i/>
        </w:rPr>
        <w:t>lergy</w:t>
      </w:r>
      <w:r w:rsidRPr="00033141">
        <w:rPr>
          <w:rFonts w:cstheme="minorHAnsi"/>
        </w:rPr>
        <w:t>, 115. The numbers and proportions in 1649</w:t>
      </w:r>
      <w:r>
        <w:rPr>
          <w:rFonts w:cstheme="minorHAnsi"/>
        </w:rPr>
        <w:t>-</w:t>
      </w:r>
      <w:r w:rsidRPr="00033141">
        <w:rPr>
          <w:rFonts w:cstheme="minorHAnsi"/>
        </w:rPr>
        <w:t xml:space="preserve">50 are set out in Figure </w:t>
      </w:r>
      <w:r>
        <w:rPr>
          <w:rFonts w:cstheme="minorHAnsi"/>
        </w:rPr>
        <w:t>1</w:t>
      </w:r>
      <w:r w:rsidRPr="00033141">
        <w:rPr>
          <w:rFonts w:cstheme="minorHAnsi"/>
        </w:rPr>
        <w:t xml:space="preserve"> at page 13</w:t>
      </w:r>
      <w:r>
        <w:rPr>
          <w:rFonts w:cstheme="minorHAnsi"/>
        </w:rPr>
        <w:t>3</w:t>
      </w:r>
      <w:r w:rsidRPr="00033141">
        <w:rPr>
          <w:rFonts w:cstheme="minorHAnsi"/>
        </w:rPr>
        <w:t xml:space="preserve">: footnote </w:t>
      </w:r>
      <w:r>
        <w:rPr>
          <w:rFonts w:cstheme="minorHAnsi"/>
        </w:rPr>
        <w:t>399</w:t>
      </w:r>
      <w:r w:rsidRPr="00033141">
        <w:rPr>
          <w:rFonts w:cstheme="minorHAnsi"/>
        </w:rPr>
        <w:t xml:space="preserve"> and </w:t>
      </w:r>
      <w:r w:rsidRPr="00F57462">
        <w:rPr>
          <w:rFonts w:cstheme="minorHAnsi"/>
        </w:rPr>
        <w:t>Appendices 9 and 17</w:t>
      </w:r>
      <w:r w:rsidRPr="00033141">
        <w:rPr>
          <w:rFonts w:cstheme="minorHAnsi"/>
        </w:rPr>
        <w:t>.</w:t>
      </w:r>
    </w:p>
  </w:footnote>
  <w:footnote w:id="12">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Such is the effect of </w:t>
      </w:r>
      <w:r w:rsidRPr="00033141">
        <w:rPr>
          <w:rFonts w:cstheme="minorHAnsi"/>
          <w:i/>
        </w:rPr>
        <w:t xml:space="preserve">Appropriation of Churches and of Vicars in the same </w:t>
      </w:r>
      <w:r w:rsidRPr="00033141">
        <w:rPr>
          <w:rFonts w:cstheme="minorHAnsi"/>
        </w:rPr>
        <w:t xml:space="preserve">(15 Ric II c 6: 1391) and </w:t>
      </w:r>
      <w:r w:rsidRPr="00033141">
        <w:rPr>
          <w:rFonts w:cstheme="minorHAnsi"/>
          <w:i/>
        </w:rPr>
        <w:t xml:space="preserve">Enforcement of 15 Ric II c 6 </w:t>
      </w:r>
      <w:r w:rsidRPr="00033141">
        <w:rPr>
          <w:rFonts w:cstheme="minorHAnsi"/>
        </w:rPr>
        <w:t xml:space="preserve">(4 Hen IV c 12: 1402): Luders, </w:t>
      </w:r>
      <w:r w:rsidRPr="00033141">
        <w:rPr>
          <w:rFonts w:cstheme="minorHAnsi"/>
          <w:i/>
        </w:rPr>
        <w:t>SRII</w:t>
      </w:r>
      <w:r w:rsidRPr="00033141">
        <w:rPr>
          <w:rFonts w:cstheme="minorHAnsi"/>
        </w:rPr>
        <w:t xml:space="preserve">, 78, 136; J.S. Purvis, </w:t>
      </w:r>
      <w:r w:rsidRPr="00033141">
        <w:rPr>
          <w:rFonts w:cstheme="minorHAnsi"/>
          <w:i/>
        </w:rPr>
        <w:t xml:space="preserve">Dictionary of Ecclesiastical Terms </w:t>
      </w:r>
      <w:r w:rsidRPr="00033141">
        <w:rPr>
          <w:rFonts w:cstheme="minorHAnsi"/>
        </w:rPr>
        <w:t xml:space="preserve">(London, 1962), 145. </w:t>
      </w:r>
    </w:p>
  </w:footnote>
  <w:footnote w:id="13">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I owe th</w:t>
      </w:r>
      <w:r>
        <w:rPr>
          <w:rFonts w:cstheme="minorHAnsi"/>
        </w:rPr>
        <w:t>e</w:t>
      </w:r>
      <w:r w:rsidRPr="00033141">
        <w:rPr>
          <w:rFonts w:cstheme="minorHAnsi"/>
        </w:rPr>
        <w:t xml:space="preserve"> point </w:t>
      </w:r>
      <w:r>
        <w:rPr>
          <w:rFonts w:cstheme="minorHAnsi"/>
        </w:rPr>
        <w:t xml:space="preserve">on obligatory communion </w:t>
      </w:r>
      <w:r w:rsidRPr="00033141">
        <w:rPr>
          <w:rFonts w:cstheme="minorHAnsi"/>
        </w:rPr>
        <w:t>to Diarmaid MacCulloch.</w:t>
      </w:r>
    </w:p>
  </w:footnote>
  <w:footnote w:id="14">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TNA, SP16/259/78, f.4.</w:t>
      </w:r>
    </w:p>
  </w:footnote>
  <w:footnote w:id="15">
    <w:p w:rsidR="00325B82" w:rsidRPr="00033141" w:rsidRDefault="00325B82" w:rsidP="00325B82">
      <w:pPr>
        <w:spacing w:after="0" w:line="240" w:lineRule="auto"/>
        <w:ind w:left="357" w:hanging="357"/>
        <w:jc w:val="both"/>
        <w:rPr>
          <w:rFonts w:cstheme="minorHAnsi"/>
          <w:sz w:val="20"/>
          <w:szCs w:val="20"/>
        </w:rPr>
      </w:pPr>
      <w:r w:rsidRPr="00033141">
        <w:rPr>
          <w:rStyle w:val="FootnoteReference"/>
          <w:rFonts w:cstheme="minorHAnsi"/>
          <w:sz w:val="20"/>
          <w:szCs w:val="20"/>
        </w:rPr>
        <w:footnoteRef/>
      </w:r>
      <w:r w:rsidRPr="00033141">
        <w:rPr>
          <w:rFonts w:cstheme="minorHAnsi"/>
          <w:sz w:val="20"/>
          <w:szCs w:val="20"/>
        </w:rPr>
        <w:t xml:space="preserve"> Arnold Hunt, ‘The Lord’s Supper in early modern England’, </w:t>
      </w:r>
      <w:r w:rsidRPr="00033141">
        <w:rPr>
          <w:rFonts w:cstheme="minorHAnsi"/>
          <w:i/>
          <w:sz w:val="20"/>
          <w:szCs w:val="20"/>
        </w:rPr>
        <w:t xml:space="preserve">Past and Present, </w:t>
      </w:r>
      <w:r w:rsidRPr="00033141">
        <w:rPr>
          <w:rFonts w:cstheme="minorHAnsi"/>
          <w:sz w:val="20"/>
          <w:szCs w:val="20"/>
        </w:rPr>
        <w:t>vol.</w:t>
      </w:r>
      <w:r w:rsidRPr="00033141">
        <w:rPr>
          <w:rFonts w:cstheme="minorHAnsi"/>
          <w:i/>
          <w:sz w:val="20"/>
          <w:szCs w:val="20"/>
        </w:rPr>
        <w:t xml:space="preserve"> </w:t>
      </w:r>
      <w:r w:rsidRPr="00033141">
        <w:rPr>
          <w:rFonts w:cstheme="minorHAnsi"/>
          <w:sz w:val="20"/>
          <w:szCs w:val="20"/>
        </w:rPr>
        <w:t>clxi (Nov 1998), 39-83.</w:t>
      </w:r>
    </w:p>
  </w:footnote>
  <w:footnote w:id="16">
    <w:p w:rsidR="00325B82" w:rsidRPr="00033141" w:rsidRDefault="00325B82" w:rsidP="00325B82">
      <w:pPr>
        <w:spacing w:after="0" w:line="240" w:lineRule="auto"/>
        <w:ind w:left="357" w:hanging="357"/>
        <w:jc w:val="both"/>
        <w:rPr>
          <w:rFonts w:cstheme="minorHAnsi"/>
          <w:sz w:val="20"/>
          <w:szCs w:val="20"/>
        </w:rPr>
      </w:pPr>
      <w:r w:rsidRPr="00033141">
        <w:rPr>
          <w:rStyle w:val="FootnoteReference"/>
          <w:rFonts w:cstheme="minorHAnsi"/>
          <w:sz w:val="20"/>
          <w:szCs w:val="20"/>
        </w:rPr>
        <w:footnoteRef/>
      </w:r>
      <w:r w:rsidRPr="00033141">
        <w:rPr>
          <w:rFonts w:cstheme="minorHAnsi"/>
          <w:sz w:val="20"/>
          <w:szCs w:val="20"/>
        </w:rPr>
        <w:t xml:space="preserve"> </w:t>
      </w:r>
      <w:r w:rsidRPr="00033141">
        <w:rPr>
          <w:rFonts w:eastAsia="Times New Roman" w:cstheme="minorHAnsi"/>
          <w:sz w:val="20"/>
          <w:szCs w:val="20"/>
          <w:lang w:eastAsia="en-GB"/>
        </w:rPr>
        <w:t xml:space="preserve">Butler, </w:t>
      </w:r>
      <w:r w:rsidRPr="00033141">
        <w:rPr>
          <w:rFonts w:eastAsia="Times New Roman" w:cstheme="minorHAnsi"/>
          <w:i/>
          <w:sz w:val="20"/>
          <w:szCs w:val="20"/>
          <w:lang w:eastAsia="en-GB"/>
        </w:rPr>
        <w:t>Glynne,</w:t>
      </w:r>
      <w:r w:rsidRPr="00033141">
        <w:rPr>
          <w:rFonts w:cstheme="minorHAnsi"/>
          <w:sz w:val="20"/>
          <w:szCs w:val="20"/>
        </w:rPr>
        <w:t xml:space="preserve"> 368; ERALS, DPX/57; Evans, </w:t>
      </w:r>
      <w:r w:rsidRPr="00033141">
        <w:rPr>
          <w:rFonts w:cstheme="minorHAnsi"/>
          <w:i/>
          <w:sz w:val="20"/>
          <w:szCs w:val="20"/>
        </w:rPr>
        <w:t>Faculties</w:t>
      </w:r>
      <w:r w:rsidRPr="00033141">
        <w:rPr>
          <w:rFonts w:cstheme="minorHAnsi"/>
          <w:sz w:val="20"/>
          <w:szCs w:val="20"/>
        </w:rPr>
        <w:t xml:space="preserve">, 7; </w:t>
      </w:r>
      <w:r w:rsidRPr="00033141">
        <w:rPr>
          <w:rFonts w:eastAsia="Times New Roman" w:cstheme="minorHAnsi"/>
          <w:i/>
          <w:sz w:val="20"/>
          <w:szCs w:val="20"/>
          <w:lang w:eastAsia="en-GB"/>
        </w:rPr>
        <w:t>VCHERII</w:t>
      </w:r>
      <w:r w:rsidRPr="00033141">
        <w:rPr>
          <w:rFonts w:cstheme="minorHAnsi"/>
          <w:sz w:val="20"/>
          <w:szCs w:val="20"/>
        </w:rPr>
        <w:t>, 175, 277.</w:t>
      </w:r>
    </w:p>
  </w:footnote>
  <w:footnote w:id="17">
    <w:p w:rsidR="00325B82" w:rsidRPr="00033141" w:rsidRDefault="00325B82" w:rsidP="00325B82">
      <w:pPr>
        <w:spacing w:after="0" w:line="240" w:lineRule="auto"/>
        <w:ind w:left="357" w:hanging="357"/>
        <w:jc w:val="both"/>
        <w:rPr>
          <w:rFonts w:cstheme="minorHAnsi"/>
          <w:sz w:val="20"/>
          <w:szCs w:val="20"/>
        </w:rPr>
      </w:pPr>
      <w:r w:rsidRPr="00033141">
        <w:rPr>
          <w:rStyle w:val="FootnoteReference"/>
          <w:rFonts w:cstheme="minorHAnsi"/>
          <w:sz w:val="20"/>
          <w:szCs w:val="20"/>
        </w:rPr>
        <w:footnoteRef/>
      </w:r>
      <w:r w:rsidRPr="00033141">
        <w:rPr>
          <w:rFonts w:cstheme="minorHAnsi"/>
          <w:sz w:val="20"/>
          <w:szCs w:val="20"/>
        </w:rPr>
        <w:t xml:space="preserve"> F.L. Cross and E.A. Livingstone, eds., </w:t>
      </w:r>
      <w:r w:rsidRPr="00033141">
        <w:rPr>
          <w:rFonts w:cstheme="minorHAnsi"/>
          <w:i/>
          <w:sz w:val="20"/>
          <w:szCs w:val="20"/>
        </w:rPr>
        <w:t>The Oxford Dictionary of the Christian Church</w:t>
      </w:r>
      <w:r w:rsidRPr="00033141">
        <w:rPr>
          <w:rFonts w:cstheme="minorHAnsi"/>
          <w:sz w:val="20"/>
          <w:szCs w:val="20"/>
        </w:rPr>
        <w:t xml:space="preserve"> (3</w:t>
      </w:r>
      <w:r w:rsidRPr="00033141">
        <w:rPr>
          <w:rFonts w:cstheme="minorHAnsi"/>
          <w:sz w:val="20"/>
          <w:szCs w:val="20"/>
          <w:vertAlign w:val="superscript"/>
        </w:rPr>
        <w:t>rd</w:t>
      </w:r>
      <w:r w:rsidRPr="00033141">
        <w:rPr>
          <w:rFonts w:cstheme="minorHAnsi"/>
          <w:sz w:val="20"/>
          <w:szCs w:val="20"/>
        </w:rPr>
        <w:t xml:space="preserve"> edn., Oxford, 1997), ‘Penance’ and ‘Purgatory’; Joseph Goering, ‘The Scholastic Turn (1100-1500): Penitential Theology and Law in the Schools’, in </w:t>
      </w:r>
      <w:r w:rsidRPr="00033141">
        <w:rPr>
          <w:rFonts w:cstheme="minorHAnsi"/>
          <w:i/>
          <w:sz w:val="20"/>
          <w:szCs w:val="20"/>
        </w:rPr>
        <w:t>A New History of Penance</w:t>
      </w:r>
      <w:r w:rsidRPr="00033141">
        <w:rPr>
          <w:rFonts w:cstheme="minorHAnsi"/>
          <w:sz w:val="20"/>
          <w:szCs w:val="20"/>
        </w:rPr>
        <w:t>, ed. Abigail Firey (Brill, Leiden and Boston, 2008) and Iogna-Prat, ‘Topographies’.</w:t>
      </w:r>
    </w:p>
  </w:footnote>
  <w:footnote w:id="18">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Jacques Le Goff, </w:t>
      </w:r>
      <w:r w:rsidRPr="00033141">
        <w:rPr>
          <w:rFonts w:cstheme="minorHAnsi"/>
          <w:i/>
        </w:rPr>
        <w:t xml:space="preserve">La Naissance du Purgatoire </w:t>
      </w:r>
      <w:r w:rsidRPr="00033141">
        <w:rPr>
          <w:rFonts w:cstheme="minorHAnsi"/>
        </w:rPr>
        <w:t xml:space="preserve">(Paris, 1981), translated by Arthur Goldhammer as </w:t>
      </w:r>
      <w:r w:rsidRPr="00033141">
        <w:rPr>
          <w:rFonts w:cstheme="minorHAnsi"/>
          <w:i/>
        </w:rPr>
        <w:t xml:space="preserve">The Birth of Purgatory </w:t>
      </w:r>
      <w:r w:rsidRPr="00033141">
        <w:rPr>
          <w:rFonts w:cstheme="minorHAnsi"/>
        </w:rPr>
        <w:t>(Aldershot, 1984), 135, 289, 334.</w:t>
      </w:r>
    </w:p>
  </w:footnote>
  <w:footnote w:id="19">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Knowles, </w:t>
      </w:r>
      <w:r w:rsidRPr="00033141">
        <w:rPr>
          <w:rFonts w:cstheme="minorHAnsi"/>
          <w:i/>
        </w:rPr>
        <w:t>Medieval Religious Houses</w:t>
      </w:r>
      <w:r w:rsidRPr="00033141">
        <w:rPr>
          <w:rFonts w:cstheme="minorHAnsi"/>
        </w:rPr>
        <w:t>, 83, 113, 138-42, 194, 197, 213, 222, 254-55, 272, 292, 300, 415, 417-18.</w:t>
      </w:r>
    </w:p>
  </w:footnote>
  <w:footnote w:id="20">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Claire Cross, ‘Monasticism and Society in the Diocese of York 1520-1540’, </w:t>
      </w:r>
      <w:r w:rsidRPr="00033141">
        <w:rPr>
          <w:rFonts w:cstheme="minorHAnsi"/>
          <w:i/>
        </w:rPr>
        <w:t>TRHS</w:t>
      </w:r>
      <w:r w:rsidRPr="00033141">
        <w:rPr>
          <w:rFonts w:cstheme="minorHAnsi"/>
        </w:rPr>
        <w:t xml:space="preserve"> (1988), 131-45, 132-33; Palliser, </w:t>
      </w:r>
      <w:r w:rsidRPr="00033141">
        <w:rPr>
          <w:rFonts w:cstheme="minorHAnsi"/>
          <w:i/>
        </w:rPr>
        <w:t>Tudor York</w:t>
      </w:r>
      <w:r w:rsidRPr="00033141">
        <w:rPr>
          <w:rFonts w:cstheme="minorHAnsi"/>
        </w:rPr>
        <w:t xml:space="preserve">, 227-28; J.J. Scarisbrick, </w:t>
      </w:r>
      <w:r w:rsidRPr="00033141">
        <w:rPr>
          <w:rFonts w:cstheme="minorHAnsi"/>
          <w:i/>
        </w:rPr>
        <w:t xml:space="preserve">The Reformation and the English People </w:t>
      </w:r>
      <w:r w:rsidRPr="00033141">
        <w:rPr>
          <w:rFonts w:cstheme="minorHAnsi"/>
        </w:rPr>
        <w:t>(Oxford, 1984), 3-6, 12-14.</w:t>
      </w:r>
    </w:p>
  </w:footnote>
  <w:footnote w:id="21">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David C. Douglas, </w:t>
      </w:r>
      <w:r w:rsidRPr="00033141">
        <w:rPr>
          <w:rFonts w:cstheme="minorHAnsi"/>
          <w:i/>
        </w:rPr>
        <w:t>William the Conqueror</w:t>
      </w:r>
      <w:r w:rsidRPr="00033141">
        <w:rPr>
          <w:rFonts w:cstheme="minorHAnsi"/>
        </w:rPr>
        <w:t xml:space="preserve"> (California, 1964), 80.</w:t>
      </w:r>
    </w:p>
  </w:footnote>
  <w:footnote w:id="22">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Ibid, 191; Stenton, F.W., </w:t>
      </w:r>
      <w:r w:rsidRPr="00033141">
        <w:rPr>
          <w:rFonts w:cstheme="minorHAnsi"/>
          <w:i/>
        </w:rPr>
        <w:t xml:space="preserve">Anglo-Saxon England </w:t>
      </w:r>
      <w:r w:rsidRPr="00033141">
        <w:rPr>
          <w:rFonts w:cstheme="minorHAnsi"/>
        </w:rPr>
        <w:t>(3</w:t>
      </w:r>
      <w:r w:rsidRPr="00033141">
        <w:rPr>
          <w:rFonts w:cstheme="minorHAnsi"/>
          <w:vertAlign w:val="superscript"/>
        </w:rPr>
        <w:t>rd</w:t>
      </w:r>
      <w:r w:rsidRPr="00033141">
        <w:rPr>
          <w:rFonts w:cstheme="minorHAnsi"/>
        </w:rPr>
        <w:t xml:space="preserve"> edn., Oxford, 1971), 661.</w:t>
      </w:r>
    </w:p>
  </w:footnote>
  <w:footnote w:id="23">
    <w:p w:rsidR="00325B82" w:rsidRPr="00033141" w:rsidRDefault="00325B82" w:rsidP="00325B82">
      <w:pPr>
        <w:pStyle w:val="FootnoteText"/>
        <w:ind w:left="357" w:hanging="357"/>
        <w:jc w:val="both"/>
        <w:rPr>
          <w:rFonts w:cstheme="minorHAnsi"/>
          <w:i/>
        </w:rPr>
      </w:pPr>
      <w:r w:rsidRPr="00033141">
        <w:rPr>
          <w:rStyle w:val="FootnoteReference"/>
          <w:rFonts w:cstheme="minorHAnsi"/>
        </w:rPr>
        <w:footnoteRef/>
      </w:r>
      <w:r w:rsidRPr="00033141">
        <w:rPr>
          <w:rFonts w:cstheme="minorHAnsi"/>
        </w:rPr>
        <w:t xml:space="preserve"> Gratian, </w:t>
      </w:r>
      <w:r w:rsidRPr="00033141">
        <w:rPr>
          <w:rFonts w:cstheme="minorHAnsi"/>
          <w:i/>
        </w:rPr>
        <w:t>Decretum</w:t>
      </w:r>
      <w:r w:rsidRPr="00033141">
        <w:rPr>
          <w:rFonts w:cstheme="minorHAnsi"/>
        </w:rPr>
        <w:t xml:space="preserve"> </w:t>
      </w:r>
      <w:r w:rsidRPr="00033141">
        <w:rPr>
          <w:rFonts w:cstheme="minorHAnsi"/>
          <w:i/>
        </w:rPr>
        <w:t xml:space="preserve">Magistri Gratiani, Lib V, Tit XXXVIII, Cap IIIb and IIII, </w:t>
      </w:r>
      <w:r w:rsidRPr="00033141">
        <w:rPr>
          <w:rFonts w:cstheme="minorHAnsi"/>
        </w:rPr>
        <w:t>ed. Emil Friedberg (Leipzig, 1879, repr, Graz, 1959).</w:t>
      </w:r>
    </w:p>
  </w:footnote>
  <w:footnote w:id="24">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Pr>
          <w:rFonts w:cstheme="minorHAnsi"/>
        </w:rPr>
        <w:t xml:space="preserve"> </w:t>
      </w:r>
      <w:r w:rsidRPr="00033141">
        <w:rPr>
          <w:rFonts w:cstheme="minorHAnsi"/>
        </w:rPr>
        <w:t xml:space="preserve">Iogna-Prat, </w:t>
      </w:r>
      <w:r w:rsidRPr="00033141">
        <w:rPr>
          <w:rFonts w:cstheme="minorHAnsi"/>
          <w:i/>
        </w:rPr>
        <w:t>Topographies</w:t>
      </w:r>
      <w:r w:rsidRPr="00033141">
        <w:rPr>
          <w:rFonts w:cstheme="minorHAnsi"/>
        </w:rPr>
        <w:t>, 161-6</w:t>
      </w:r>
      <w:r>
        <w:rPr>
          <w:rFonts w:cstheme="minorHAnsi"/>
        </w:rPr>
        <w:t>3</w:t>
      </w:r>
      <w:r w:rsidRPr="00033141">
        <w:rPr>
          <w:rFonts w:cstheme="minorHAnsi"/>
        </w:rPr>
        <w:t>.</w:t>
      </w:r>
    </w:p>
  </w:footnote>
  <w:footnote w:id="25">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VCHERI</w:t>
      </w:r>
      <w:r w:rsidRPr="00033141">
        <w:rPr>
          <w:rFonts w:cstheme="minorHAnsi"/>
        </w:rPr>
        <w:t xml:space="preserve">, 299; </w:t>
      </w:r>
      <w:r w:rsidRPr="00033141">
        <w:rPr>
          <w:rFonts w:cstheme="minorHAnsi"/>
          <w:i/>
        </w:rPr>
        <w:t>VCHERII</w:t>
      </w:r>
      <w:r w:rsidRPr="00033141">
        <w:rPr>
          <w:rFonts w:cstheme="minorHAnsi"/>
        </w:rPr>
        <w:t>, 145.</w:t>
      </w:r>
    </w:p>
  </w:footnote>
  <w:footnote w:id="26">
    <w:p w:rsidR="00325B82" w:rsidRPr="00A64884" w:rsidRDefault="00325B82" w:rsidP="00325B82">
      <w:pPr>
        <w:pStyle w:val="FootnoteText"/>
        <w:ind w:left="357" w:hanging="357"/>
        <w:jc w:val="both"/>
        <w:rPr>
          <w:i/>
        </w:rPr>
      </w:pPr>
      <w:r>
        <w:rPr>
          <w:rStyle w:val="FootnoteReference"/>
        </w:rPr>
        <w:footnoteRef/>
      </w:r>
      <w:r>
        <w:t xml:space="preserve"> Peter Marshall, ‘(Re)defining the English Reformation’, </w:t>
      </w:r>
      <w:r w:rsidRPr="00344F88">
        <w:rPr>
          <w:i/>
        </w:rPr>
        <w:t>J</w:t>
      </w:r>
      <w:r w:rsidRPr="00A64884">
        <w:rPr>
          <w:i/>
        </w:rPr>
        <w:t>BS</w:t>
      </w:r>
      <w:r>
        <w:t xml:space="preserve">, 48:3 (2009), 564-586; John Spurr, ‘The English “Post-Reformation”’, </w:t>
      </w:r>
      <w:r>
        <w:rPr>
          <w:i/>
        </w:rPr>
        <w:t>The Journal of Modern History</w:t>
      </w:r>
      <w:r>
        <w:t>, 74:1 (2002), 101-19, at 101-4, 116;</w:t>
      </w:r>
      <w:r>
        <w:rPr>
          <w:i/>
        </w:rPr>
        <w:t xml:space="preserve"> </w:t>
      </w:r>
      <w:r>
        <w:t>Tyacke</w:t>
      </w:r>
      <w:r w:rsidRPr="00344F88">
        <w:t>,</w:t>
      </w:r>
      <w:r w:rsidRPr="00A64884">
        <w:t xml:space="preserve"> </w:t>
      </w:r>
      <w:r>
        <w:t>‘</w:t>
      </w:r>
      <w:r w:rsidRPr="00A64884">
        <w:t>Introduction</w:t>
      </w:r>
      <w:r>
        <w:t>’</w:t>
      </w:r>
      <w:r w:rsidRPr="00A64884">
        <w:t xml:space="preserve">, </w:t>
      </w:r>
      <w:r>
        <w:t xml:space="preserve">1-2. Nonetheless, I often use the phrase “the Reformation” as meaning “c.1547”. </w:t>
      </w:r>
    </w:p>
  </w:footnote>
  <w:footnote w:id="27">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The Condition of Yorkshire Church Fabrics, 1300-1800 </w:t>
      </w:r>
      <w:r w:rsidRPr="00033141">
        <w:rPr>
          <w:rFonts w:cstheme="minorHAnsi"/>
        </w:rPr>
        <w:t>(York, 1958)</w:t>
      </w:r>
      <w:r>
        <w:rPr>
          <w:rFonts w:cstheme="minorHAnsi"/>
        </w:rPr>
        <w:t xml:space="preserve">; </w:t>
      </w:r>
      <w:r w:rsidRPr="00033141">
        <w:rPr>
          <w:rFonts w:cstheme="minorHAnsi"/>
          <w:i/>
        </w:rPr>
        <w:t>English Clergy</w:t>
      </w:r>
      <w:r w:rsidRPr="00033141">
        <w:rPr>
          <w:rFonts w:cstheme="minorHAnsi"/>
        </w:rPr>
        <w:t>, 101-31, especially 128-29.</w:t>
      </w:r>
    </w:p>
  </w:footnote>
  <w:footnote w:id="28">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‘God Will Have a House: Defining Sacred Space and Rites of Consecration in Early Seventeenth Century England’, in </w:t>
      </w:r>
      <w:r w:rsidRPr="00033141">
        <w:rPr>
          <w:rFonts w:cstheme="minorHAnsi"/>
          <w:i/>
        </w:rPr>
        <w:t>Defining the Holy</w:t>
      </w:r>
      <w:r w:rsidRPr="00033141">
        <w:rPr>
          <w:rFonts w:cstheme="minorHAnsi"/>
        </w:rPr>
        <w:t xml:space="preserve">, ed. Andrew Spicer and Sarah Hamilton (Aldershot, 2005), 207-230; Marcus Whiffen, </w:t>
      </w:r>
      <w:r w:rsidRPr="00033141">
        <w:rPr>
          <w:rFonts w:cstheme="minorHAnsi"/>
          <w:i/>
        </w:rPr>
        <w:t xml:space="preserve">Stuart and Georgian Churches outside London, 1603-1837 </w:t>
      </w:r>
      <w:r w:rsidRPr="00033141">
        <w:rPr>
          <w:rFonts w:cstheme="minorHAnsi"/>
        </w:rPr>
        <w:t>(London, 1947).</w:t>
      </w:r>
    </w:p>
  </w:footnote>
  <w:footnote w:id="29">
    <w:p w:rsidR="00325B82" w:rsidRPr="00033141" w:rsidRDefault="00325B82" w:rsidP="00325B82">
      <w:pPr>
        <w:spacing w:after="0" w:line="240" w:lineRule="auto"/>
        <w:ind w:left="357" w:hanging="357"/>
        <w:jc w:val="both"/>
        <w:rPr>
          <w:rFonts w:cstheme="minorHAnsi"/>
          <w:sz w:val="20"/>
          <w:szCs w:val="20"/>
        </w:rPr>
      </w:pPr>
      <w:r w:rsidRPr="00033141">
        <w:rPr>
          <w:rStyle w:val="FootnoteReference"/>
          <w:rFonts w:cstheme="minorHAnsi"/>
          <w:sz w:val="20"/>
          <w:szCs w:val="20"/>
        </w:rPr>
        <w:footnoteRef/>
      </w:r>
      <w:r w:rsidRPr="00033141">
        <w:rPr>
          <w:rFonts w:cstheme="minorHAnsi"/>
          <w:sz w:val="20"/>
          <w:szCs w:val="20"/>
        </w:rPr>
        <w:t xml:space="preserve"> </w:t>
      </w:r>
      <w:r w:rsidRPr="00033141">
        <w:rPr>
          <w:rFonts w:eastAsia="Times New Roman" w:cstheme="minorHAnsi"/>
          <w:i/>
          <w:sz w:val="20"/>
          <w:szCs w:val="20"/>
          <w:lang w:eastAsia="en-GB"/>
        </w:rPr>
        <w:t>VCHNRII</w:t>
      </w:r>
      <w:r w:rsidRPr="00033141">
        <w:rPr>
          <w:rFonts w:cstheme="minorHAnsi"/>
          <w:sz w:val="20"/>
          <w:szCs w:val="20"/>
        </w:rPr>
        <w:t>, 531.</w:t>
      </w:r>
    </w:p>
  </w:footnote>
  <w:footnote w:id="30">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Pevsner</w:t>
      </w:r>
      <w:r w:rsidRPr="00033141">
        <w:rPr>
          <w:rFonts w:cstheme="minorHAnsi"/>
          <w:i/>
        </w:rPr>
        <w:t>, ER,</w:t>
      </w:r>
      <w:r w:rsidRPr="00033141">
        <w:rPr>
          <w:rFonts w:cstheme="minorHAnsi"/>
        </w:rPr>
        <w:t xml:space="preserve"> 733.</w:t>
      </w:r>
    </w:p>
  </w:footnote>
  <w:footnote w:id="31">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Will Coster and Andrew Spicer, eds., ‘Introduction: the dimension of sacred space in Reformation Europe’, in Coster, </w:t>
      </w:r>
      <w:r w:rsidRPr="00033141">
        <w:rPr>
          <w:rFonts w:cstheme="minorHAnsi"/>
          <w:i/>
        </w:rPr>
        <w:t>Sacred Space,</w:t>
      </w:r>
      <w:r w:rsidRPr="00033141">
        <w:rPr>
          <w:rFonts w:cstheme="minorHAnsi"/>
        </w:rPr>
        <w:t xml:space="preserve"> 9, 11, 15; Will Coster, ‘Burial, space and society in Chester, 1598 to 1633’, ibid, 124-43, at 127; Bridget Heal, ‘Sacred image and sacred space in Lutheran Germany’, ibid, 39-59 at 39; Parry, ‘Sacred Space’, 123-139 at 128-30.</w:t>
      </w:r>
    </w:p>
  </w:footnote>
  <w:footnote w:id="32">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Christopher Marsh, ‘Sacred Space in England, 1560-1640: The View from the Pew’, </w:t>
      </w:r>
      <w:r w:rsidRPr="00033141">
        <w:rPr>
          <w:rFonts w:cstheme="minorHAnsi"/>
          <w:i/>
        </w:rPr>
        <w:t>JEH</w:t>
      </w:r>
      <w:r w:rsidRPr="00033141">
        <w:rPr>
          <w:rFonts w:cstheme="minorHAnsi"/>
        </w:rPr>
        <w:t>, 53:2 (2002), 286-311, at 288-9; Parry, ‘Sacred Space’, 128.</w:t>
      </w:r>
    </w:p>
  </w:footnote>
  <w:footnote w:id="33">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Before monastic choirs had been absorbed into chancels: </w:t>
      </w:r>
      <w:r>
        <w:rPr>
          <w:rFonts w:cstheme="minorHAnsi"/>
        </w:rPr>
        <w:t xml:space="preserve">V. </w:t>
      </w:r>
      <w:r w:rsidRPr="00033141">
        <w:rPr>
          <w:rFonts w:cstheme="minorHAnsi"/>
        </w:rPr>
        <w:t xml:space="preserve">D’Avino, ed., Durandus, Williamus, </w:t>
      </w:r>
      <w:r w:rsidRPr="00033141">
        <w:rPr>
          <w:rFonts w:cstheme="minorHAnsi"/>
          <w:i/>
        </w:rPr>
        <w:t xml:space="preserve">Rationale Divinorum Officiorum </w:t>
      </w:r>
      <w:r w:rsidRPr="00033141">
        <w:rPr>
          <w:rFonts w:cstheme="minorHAnsi"/>
        </w:rPr>
        <w:t>(Naples, 1859), I:14, 31; G.W.O. Addleshaw and Frederick Etchells,</w:t>
      </w:r>
      <w:r w:rsidRPr="00033141">
        <w:rPr>
          <w:rFonts w:cstheme="minorHAnsi"/>
          <w:i/>
        </w:rPr>
        <w:t xml:space="preserve"> The Architectural Setting of Anglican Worship</w:t>
      </w:r>
      <w:r w:rsidRPr="00033141">
        <w:rPr>
          <w:rFonts w:cstheme="minorHAnsi"/>
        </w:rPr>
        <w:t xml:space="preserve"> (London, 1948), 16-17.</w:t>
      </w:r>
    </w:p>
  </w:footnote>
  <w:footnote w:id="34">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The Architecture of Scottish Post-Reformation Churches, 1560-1843 </w:t>
      </w:r>
      <w:r w:rsidRPr="00033141">
        <w:rPr>
          <w:rFonts w:cstheme="minorHAnsi"/>
        </w:rPr>
        <w:t>(Oxford, 1957), 22-69.</w:t>
      </w:r>
    </w:p>
  </w:footnote>
  <w:footnote w:id="35">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The Scottish Parish Kirk </w:t>
      </w:r>
      <w:r w:rsidRPr="00033141">
        <w:rPr>
          <w:rFonts w:cstheme="minorHAnsi"/>
        </w:rPr>
        <w:t>(Edinburgh, 1960), 36-55.</w:t>
      </w:r>
    </w:p>
  </w:footnote>
  <w:footnote w:id="36">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Protestant Worship and Church Architecture </w:t>
      </w:r>
      <w:r w:rsidRPr="00033141">
        <w:rPr>
          <w:rFonts w:cstheme="minorHAnsi"/>
        </w:rPr>
        <w:t>(New York, 1964), 78-117.</w:t>
      </w:r>
    </w:p>
  </w:footnote>
  <w:footnote w:id="37">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Worship and Theology in England: From Cranmer to Baxter and Fox, 1534-1690 </w:t>
      </w:r>
      <w:r w:rsidRPr="00033141">
        <w:rPr>
          <w:rFonts w:cstheme="minorHAnsi"/>
        </w:rPr>
        <w:t xml:space="preserve">(revised edn., Grand Rapids and Cambridge, 1996), </w:t>
      </w:r>
      <w:r w:rsidRPr="00033141">
        <w:rPr>
          <w:rFonts w:cstheme="minorHAnsi"/>
          <w:i/>
        </w:rPr>
        <w:t>I</w:t>
      </w:r>
      <w:r w:rsidRPr="00033141">
        <w:rPr>
          <w:rFonts w:cstheme="minorHAnsi"/>
        </w:rPr>
        <w:t xml:space="preserve">, 360-76; </w:t>
      </w:r>
      <w:r w:rsidRPr="00033141">
        <w:rPr>
          <w:rFonts w:cstheme="minorHAnsi"/>
          <w:i/>
        </w:rPr>
        <w:t>II</w:t>
      </w:r>
      <w:r w:rsidRPr="00033141">
        <w:rPr>
          <w:rFonts w:cstheme="minorHAnsi"/>
        </w:rPr>
        <w:t>, 3-67.</w:t>
      </w:r>
    </w:p>
  </w:footnote>
  <w:footnote w:id="38">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Churches the Victorians Forgot </w:t>
      </w:r>
      <w:r w:rsidRPr="00033141">
        <w:rPr>
          <w:rFonts w:cstheme="minorHAnsi"/>
        </w:rPr>
        <w:t>(2</w:t>
      </w:r>
      <w:r w:rsidRPr="00033141">
        <w:rPr>
          <w:rFonts w:cstheme="minorHAnsi"/>
          <w:vertAlign w:val="superscript"/>
        </w:rPr>
        <w:t>nd</w:t>
      </w:r>
      <w:r w:rsidRPr="00033141">
        <w:rPr>
          <w:rFonts w:cstheme="minorHAnsi"/>
        </w:rPr>
        <w:t xml:space="preserve"> edn., Oxford, 1988).</w:t>
      </w:r>
    </w:p>
  </w:footnote>
  <w:footnote w:id="39">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New Haven and London, 1992.</w:t>
      </w:r>
      <w:r w:rsidRPr="00033141">
        <w:rPr>
          <w:rFonts w:cstheme="minorHAnsi"/>
        </w:rPr>
        <w:tab/>
      </w:r>
      <w:r w:rsidRPr="00033141">
        <w:rPr>
          <w:rFonts w:cstheme="minorHAnsi"/>
        </w:rPr>
        <w:tab/>
      </w:r>
      <w:r w:rsidRPr="00033141">
        <w:rPr>
          <w:rFonts w:cstheme="minorHAnsi"/>
        </w:rPr>
        <w:tab/>
      </w:r>
      <w:r w:rsidRPr="00033141">
        <w:rPr>
          <w:rFonts w:cstheme="minorHAnsi"/>
        </w:rPr>
        <w:tab/>
      </w:r>
    </w:p>
  </w:footnote>
  <w:footnote w:id="40">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Barnwell &amp; Cooper, </w:t>
      </w:r>
      <w:r w:rsidRPr="00033141">
        <w:rPr>
          <w:rFonts w:cstheme="minorHAnsi"/>
          <w:i/>
        </w:rPr>
        <w:t>Places</w:t>
      </w:r>
      <w:r w:rsidRPr="00033141">
        <w:rPr>
          <w:rFonts w:cstheme="minorHAnsi"/>
        </w:rPr>
        <w:t>, 1-21 (Fincham), 52-94 (Cooper).</w:t>
      </w:r>
    </w:p>
  </w:footnote>
  <w:footnote w:id="41">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Pr>
          <w:rFonts w:cstheme="minorHAnsi"/>
          <w:i/>
        </w:rPr>
        <w:t xml:space="preserve">Caroline </w:t>
      </w:r>
      <w:r w:rsidRPr="00033141">
        <w:rPr>
          <w:rFonts w:cstheme="minorHAnsi"/>
          <w:i/>
        </w:rPr>
        <w:t>Captivity</w:t>
      </w:r>
      <w:r w:rsidRPr="00033141">
        <w:rPr>
          <w:rFonts w:cstheme="minorHAnsi"/>
        </w:rPr>
        <w:t>.</w:t>
      </w:r>
    </w:p>
  </w:footnote>
  <w:footnote w:id="42">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Foster, ‘Church Policies’, 193-223; ‘</w:t>
      </w:r>
      <w:r w:rsidRPr="00033141">
        <w:rPr>
          <w:rFonts w:cstheme="minorHAnsi"/>
          <w:color w:val="373737"/>
        </w:rPr>
        <w:t>Churchwardens’ accounts of early modern England and Wales: some problems to note, but much to be gained’, in French, </w:t>
      </w:r>
      <w:r w:rsidRPr="00033141">
        <w:rPr>
          <w:rStyle w:val="Emphasis"/>
          <w:rFonts w:cstheme="minorHAnsi"/>
          <w:color w:val="373737"/>
          <w:bdr w:val="none" w:sz="0" w:space="0" w:color="auto" w:frame="1"/>
        </w:rPr>
        <w:t>The Parish</w:t>
      </w:r>
      <w:r w:rsidRPr="00033141">
        <w:rPr>
          <w:rFonts w:cstheme="minorHAnsi"/>
          <w:color w:val="373737"/>
        </w:rPr>
        <w:t>, 74-93;</w:t>
      </w:r>
      <w:r w:rsidRPr="00033141">
        <w:rPr>
          <w:rFonts w:cstheme="minorHAnsi"/>
        </w:rPr>
        <w:t xml:space="preserve"> ‘Archbishop Richard Neile Revisited’, in </w:t>
      </w:r>
      <w:r w:rsidRPr="00033141">
        <w:rPr>
          <w:rFonts w:cstheme="minorHAnsi"/>
          <w:i/>
        </w:rPr>
        <w:t>Conformity and Orthodoxy in the English Church, c.1560-1660</w:t>
      </w:r>
      <w:r w:rsidRPr="00033141">
        <w:rPr>
          <w:rFonts w:cstheme="minorHAnsi"/>
        </w:rPr>
        <w:t>, ed. Peter Lake and Michael Questier (Woodbridge, 2000), 159-78.</w:t>
      </w:r>
    </w:p>
  </w:footnote>
  <w:footnote w:id="43">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Glory, Laud and Honour </w:t>
      </w:r>
      <w:r w:rsidRPr="00033141">
        <w:rPr>
          <w:rFonts w:cstheme="minorHAnsi"/>
        </w:rPr>
        <w:t>(Woodbridge, 2006).</w:t>
      </w:r>
    </w:p>
  </w:footnote>
  <w:footnote w:id="44">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Ed. Kenneth Fincham (California, 1993): Kenneth Fincham and Peter Lake, ‘The Ecclesiastical Policies of James I and Charles I’, 23-49; Kenneth Fincham, ‘Episcopal Government, 1603-1640’, 71-91; Andrew Foster, ‘The Clerical Estate Revitalised’, 139-60; Peter Lake, ‘The Laudian Style: Order, Uniformity and the Pursuit of the Beauty of Holiness in the 1630s’, 161-85; Nicholas Tyacke, ‘Archbishop Laud’, 51-70; Peter White, ‘The </w:t>
      </w:r>
      <w:r w:rsidRPr="00033141">
        <w:rPr>
          <w:rFonts w:cstheme="minorHAnsi"/>
          <w:i/>
        </w:rPr>
        <w:t xml:space="preserve">via media </w:t>
      </w:r>
      <w:r w:rsidRPr="00033141">
        <w:rPr>
          <w:rFonts w:cstheme="minorHAnsi"/>
        </w:rPr>
        <w:t xml:space="preserve">in the early Stuart Church’, 211-30. </w:t>
      </w:r>
    </w:p>
  </w:footnote>
  <w:footnote w:id="45">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Peter M. Doll, ‘Dividing it Unites, Concealing it Reveals: a Theology of the Chancel Screen’, in Kirby, </w:t>
      </w:r>
      <w:r w:rsidRPr="00033141">
        <w:rPr>
          <w:rFonts w:cstheme="minorHAnsi"/>
          <w:i/>
        </w:rPr>
        <w:t>Chancel Screens,</w:t>
      </w:r>
      <w:r w:rsidRPr="00033141">
        <w:rPr>
          <w:rFonts w:cstheme="minorHAnsi"/>
        </w:rPr>
        <w:t xml:space="preserve"> 11-24; Lucy J. Wrapson, ‘Chancel Screens on the Eve of the Reformation’, ibid, 25-44; Trevor Cooper, ‘‘A comely partition betwixt the chancel and the church’: English Chancel Screens from Elizabeth I to the Civil War’, ibid, 45-84; Mark Kirby, ‘A Patristic Experiment: The Screens of Christopher Wren’s Churches’, ibid, 85-</w:t>
      </w:r>
      <w:r w:rsidRPr="00496343">
        <w:rPr>
          <w:rFonts w:cstheme="minorHAnsi"/>
        </w:rPr>
        <w:t>108</w:t>
      </w:r>
      <w:r w:rsidRPr="00033141">
        <w:rPr>
          <w:rFonts w:cstheme="minorHAnsi"/>
        </w:rPr>
        <w:t>.</w:t>
      </w:r>
    </w:p>
  </w:footnote>
  <w:footnote w:id="46">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The Church Architecture of Protestantism </w:t>
      </w:r>
      <w:r w:rsidRPr="00033141">
        <w:rPr>
          <w:rFonts w:cstheme="minorHAnsi"/>
        </w:rPr>
        <w:t>(Edinburgh, 1934).</w:t>
      </w:r>
    </w:p>
  </w:footnote>
  <w:footnote w:id="47">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Buildings, Faith and Worship</w:t>
      </w:r>
      <w:r w:rsidRPr="00033141">
        <w:rPr>
          <w:rFonts w:cstheme="minorHAnsi"/>
        </w:rPr>
        <w:t xml:space="preserve"> (revised edition, Oxford, 2000), 23-43; </w:t>
      </w:r>
      <w:r w:rsidRPr="00033141">
        <w:rPr>
          <w:rFonts w:cstheme="minorHAnsi"/>
          <w:i/>
        </w:rPr>
        <w:t>Liturgical Space</w:t>
      </w:r>
      <w:r w:rsidRPr="00033141">
        <w:rPr>
          <w:rFonts w:cstheme="minorHAnsi"/>
        </w:rPr>
        <w:t xml:space="preserve"> (Farnham, 2008), 13-14, 71-86.</w:t>
      </w:r>
    </w:p>
  </w:footnote>
  <w:footnote w:id="48">
    <w:p w:rsidR="00325B82" w:rsidRPr="00033141" w:rsidRDefault="00325B82" w:rsidP="00325B82">
      <w:pPr>
        <w:pStyle w:val="FootnoteText"/>
        <w:ind w:left="357" w:hanging="357"/>
        <w:jc w:val="both"/>
        <w:rPr>
          <w:rFonts w:cstheme="minorHAnsi"/>
          <w:i/>
        </w:rPr>
      </w:pPr>
      <w:r w:rsidRPr="00033141">
        <w:rPr>
          <w:rStyle w:val="FootnoteReference"/>
          <w:rFonts w:cstheme="minorHAnsi"/>
        </w:rPr>
        <w:footnoteRef/>
      </w:r>
      <w:r w:rsidRPr="00033141">
        <w:rPr>
          <w:rFonts w:cstheme="minorHAnsi"/>
        </w:rPr>
        <w:t xml:space="preserve"> ‘The Myth of the English Reformation’, </w:t>
      </w:r>
      <w:r w:rsidRPr="00033141">
        <w:rPr>
          <w:rFonts w:cstheme="minorHAnsi"/>
          <w:i/>
        </w:rPr>
        <w:t>JBS,</w:t>
      </w:r>
      <w:r w:rsidRPr="00033141">
        <w:rPr>
          <w:rFonts w:cstheme="minorHAnsi"/>
        </w:rPr>
        <w:t xml:space="preserve"> </w:t>
      </w:r>
      <w:r>
        <w:rPr>
          <w:rFonts w:cstheme="minorHAnsi"/>
        </w:rPr>
        <w:t xml:space="preserve">vol. </w:t>
      </w:r>
      <w:r w:rsidRPr="00033141">
        <w:rPr>
          <w:rFonts w:cstheme="minorHAnsi"/>
        </w:rPr>
        <w:t xml:space="preserve">30, </w:t>
      </w:r>
      <w:r>
        <w:rPr>
          <w:rFonts w:cstheme="minorHAnsi"/>
        </w:rPr>
        <w:t>no.1 (1991), 1-19, at 13-14;</w:t>
      </w:r>
      <w:r w:rsidRPr="00033141">
        <w:rPr>
          <w:rFonts w:cstheme="minorHAnsi"/>
        </w:rPr>
        <w:t xml:space="preserve"> ‘Puritans, Laudians, and the Phenomenon of Church-Building in Jacobean London’, </w:t>
      </w:r>
      <w:r w:rsidRPr="00033141">
        <w:rPr>
          <w:rFonts w:cstheme="minorHAnsi"/>
          <w:i/>
        </w:rPr>
        <w:t>The Historical Journal</w:t>
      </w:r>
      <w:r w:rsidRPr="00033141">
        <w:rPr>
          <w:rFonts w:cstheme="minorHAnsi"/>
        </w:rPr>
        <w:t>, 41:4 (1998), 935-60.</w:t>
      </w:r>
      <w:r w:rsidRPr="00033141">
        <w:rPr>
          <w:rFonts w:cstheme="minorHAnsi"/>
          <w:i/>
        </w:rPr>
        <w:t xml:space="preserve"> </w:t>
      </w:r>
    </w:p>
  </w:footnote>
  <w:footnote w:id="49">
    <w:p w:rsidR="00325B82" w:rsidRPr="00A64884" w:rsidRDefault="00325B82" w:rsidP="00325B82">
      <w:pPr>
        <w:spacing w:after="0" w:line="240" w:lineRule="auto"/>
        <w:ind w:left="357" w:hanging="357"/>
        <w:jc w:val="both"/>
        <w:rPr>
          <w:rFonts w:ascii="Times New Roman" w:hAnsi="Times New Roman" w:cs="Times New Roman"/>
        </w:rPr>
      </w:pPr>
      <w:r w:rsidRPr="00A646AF">
        <w:rPr>
          <w:rStyle w:val="FootnoteReference"/>
          <w:sz w:val="20"/>
          <w:szCs w:val="20"/>
        </w:rPr>
        <w:footnoteRef/>
      </w:r>
      <w:r w:rsidRPr="00A646AF">
        <w:rPr>
          <w:sz w:val="20"/>
          <w:szCs w:val="20"/>
        </w:rPr>
        <w:t xml:space="preserve"> </w:t>
      </w:r>
      <w:r w:rsidRPr="00A646AF">
        <w:rPr>
          <w:rFonts w:cstheme="minorHAnsi"/>
          <w:i/>
          <w:sz w:val="20"/>
          <w:szCs w:val="20"/>
        </w:rPr>
        <w:t>Altars Restored</w:t>
      </w:r>
      <w:r>
        <w:rPr>
          <w:rFonts w:cstheme="minorHAnsi"/>
          <w:sz w:val="20"/>
          <w:szCs w:val="20"/>
        </w:rPr>
        <w:t>, 92-93, 100-23, chapter 5</w:t>
      </w:r>
      <w:r w:rsidRPr="00E113A4">
        <w:rPr>
          <w:rFonts w:cstheme="minorHAnsi"/>
          <w:sz w:val="20"/>
          <w:szCs w:val="20"/>
        </w:rPr>
        <w:t xml:space="preserve">; </w:t>
      </w:r>
      <w:r w:rsidRPr="00E113A4">
        <w:rPr>
          <w:rFonts w:cstheme="minorHAnsi"/>
          <w:color w:val="181817"/>
          <w:sz w:val="20"/>
          <w:szCs w:val="20"/>
        </w:rPr>
        <w:t>Roods, Screens and Weddings’,</w:t>
      </w:r>
      <w:r w:rsidRPr="00E113A4" w:rsidDel="00E46A22">
        <w:rPr>
          <w:rFonts w:cstheme="minorHAnsi"/>
          <w:i/>
          <w:iCs/>
          <w:color w:val="181817"/>
          <w:sz w:val="20"/>
          <w:szCs w:val="20"/>
          <w:bdr w:val="none" w:sz="0" w:space="0" w:color="auto" w:frame="1"/>
        </w:rPr>
        <w:t xml:space="preserve"> </w:t>
      </w:r>
      <w:r w:rsidRPr="00E113A4">
        <w:rPr>
          <w:rFonts w:cstheme="minorHAnsi"/>
          <w:color w:val="181817"/>
          <w:sz w:val="20"/>
          <w:szCs w:val="20"/>
        </w:rPr>
        <w:t>2021</w:t>
      </w:r>
      <w:r>
        <w:rPr>
          <w:rFonts w:cstheme="minorHAnsi"/>
          <w:color w:val="181817"/>
          <w:sz w:val="20"/>
          <w:szCs w:val="20"/>
        </w:rPr>
        <w:t>, forthcoming.</w:t>
      </w:r>
    </w:p>
  </w:footnote>
  <w:footnote w:id="50">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Penny Roberts, ‘Contesting sacred space: burial disputes in sixteenth century France’, </w:t>
      </w:r>
      <w:r w:rsidRPr="00033141">
        <w:rPr>
          <w:rFonts w:cstheme="minorHAnsi"/>
          <w:color w:val="000000"/>
        </w:rPr>
        <w:t xml:space="preserve">in Gordon, </w:t>
      </w:r>
      <w:r w:rsidRPr="00033141">
        <w:rPr>
          <w:rStyle w:val="Emphasis"/>
          <w:rFonts w:cstheme="minorHAnsi"/>
          <w:color w:val="000000"/>
        </w:rPr>
        <w:t>Place of the Dead</w:t>
      </w:r>
      <w:r w:rsidRPr="00033141">
        <w:rPr>
          <w:rFonts w:cstheme="minorHAnsi"/>
          <w:color w:val="000000"/>
        </w:rPr>
        <w:t xml:space="preserve">, 131-48; Andrew Spicer, ‘“Defyle not Christs Kirk with your carrion”: the development of burial aisles in post-Reformation Scotland’, ibid, 149-69; idem, ‘Iconoclasm and adaptation: the Reformation of the churches in Scotland and the Netherlands’, in </w:t>
      </w:r>
      <w:r w:rsidRPr="00033141">
        <w:rPr>
          <w:rStyle w:val="Emphasis"/>
          <w:rFonts w:cstheme="minorHAnsi"/>
          <w:color w:val="000000"/>
        </w:rPr>
        <w:t>The Archaeology of Reformation 1480-1590</w:t>
      </w:r>
      <w:r w:rsidRPr="00033141">
        <w:rPr>
          <w:rFonts w:cstheme="minorHAnsi"/>
          <w:color w:val="000000"/>
        </w:rPr>
        <w:t>, ed. D. Gaimster, D. and R. Gilchrist (Leeds, 2003), 29-43; idem</w:t>
      </w:r>
      <w:r w:rsidRPr="00033141">
        <w:rPr>
          <w:rFonts w:cstheme="minorHAnsi"/>
        </w:rPr>
        <w:t xml:space="preserve">, ‘God Will Have a House’; idem, ‘Holiness and </w:t>
      </w:r>
      <w:r w:rsidRPr="00033141">
        <w:rPr>
          <w:rFonts w:cstheme="minorHAnsi"/>
          <w:i/>
        </w:rPr>
        <w:t>The Temple</w:t>
      </w:r>
      <w:r w:rsidRPr="00033141">
        <w:rPr>
          <w:rFonts w:cstheme="minorHAnsi"/>
        </w:rPr>
        <w:t xml:space="preserve">: Thomas Adams and the Definition of Sacred Space in Jacobean England’, </w:t>
      </w:r>
      <w:r w:rsidRPr="00033141">
        <w:rPr>
          <w:rFonts w:cstheme="minorHAnsi"/>
          <w:i/>
        </w:rPr>
        <w:t>The Seventeenth Century</w:t>
      </w:r>
      <w:r w:rsidRPr="00033141">
        <w:rPr>
          <w:rFonts w:cstheme="minorHAnsi"/>
        </w:rPr>
        <w:t>, 27:1-24.</w:t>
      </w:r>
    </w:p>
  </w:footnote>
  <w:footnote w:id="51">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England’s Iconoclasts, Volume I, Laws against Images </w:t>
      </w:r>
      <w:r w:rsidRPr="00033141">
        <w:rPr>
          <w:rFonts w:cstheme="minorHAnsi"/>
        </w:rPr>
        <w:t>(Oxford, 2003), 246-342.</w:t>
      </w:r>
    </w:p>
  </w:footnote>
  <w:footnote w:id="52">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 xml:space="preserve">Puritan Iconoclasm during the English Civil War </w:t>
      </w:r>
      <w:r w:rsidRPr="00033141">
        <w:rPr>
          <w:rFonts w:cstheme="minorHAnsi"/>
        </w:rPr>
        <w:t>(Woodbridge, 2003), 1-31, 61-132.</w:t>
      </w:r>
    </w:p>
  </w:footnote>
  <w:footnote w:id="53">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Glorious Temples or Babylonic Whores</w:t>
      </w:r>
      <w:r w:rsidRPr="00033141">
        <w:rPr>
          <w:rFonts w:cstheme="minorHAnsi"/>
        </w:rPr>
        <w:t xml:space="preserve"> (Leiden, 2019), 95-141.</w:t>
      </w:r>
    </w:p>
  </w:footnote>
  <w:footnote w:id="54">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‘Post-Reformation Church Architecture in the Marischal Earldom, 1560-1625’, in </w:t>
      </w:r>
      <w:r w:rsidRPr="00033141">
        <w:rPr>
          <w:rFonts w:cstheme="minorHAnsi"/>
          <w:i/>
        </w:rPr>
        <w:t>Medieval Art, Architecture and Archaeology in the Diocese of Aberdeen and Moray</w:t>
      </w:r>
      <w:r w:rsidRPr="00033141">
        <w:rPr>
          <w:rFonts w:cstheme="minorHAnsi"/>
        </w:rPr>
        <w:t>, ed. Jane Geddes</w:t>
      </w:r>
      <w:r w:rsidRPr="00033141">
        <w:rPr>
          <w:rFonts w:cstheme="minorHAnsi"/>
          <w:i/>
        </w:rPr>
        <w:t xml:space="preserve"> </w:t>
      </w:r>
      <w:r w:rsidRPr="00033141">
        <w:rPr>
          <w:rFonts w:cstheme="minorHAnsi"/>
        </w:rPr>
        <w:t>(London 2016), 99-120.</w:t>
      </w:r>
    </w:p>
  </w:footnote>
  <w:footnote w:id="55">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i/>
        </w:rPr>
        <w:t>Riches and Reform</w:t>
      </w:r>
      <w:r w:rsidRPr="00033141">
        <w:rPr>
          <w:rFonts w:cstheme="minorHAnsi"/>
        </w:rPr>
        <w:t xml:space="preserve"> (Leiden, 2019).</w:t>
      </w:r>
    </w:p>
  </w:footnote>
  <w:footnote w:id="56">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‘Ecclesiastical Improvements, Lay Impropriations, and the Building of a Post-Reformation Church in England, 1560-1600’, </w:t>
      </w:r>
      <w:r w:rsidRPr="00033141">
        <w:rPr>
          <w:rFonts w:cstheme="minorHAnsi"/>
          <w:i/>
        </w:rPr>
        <w:t>The Historical Journal</w:t>
      </w:r>
      <w:r w:rsidRPr="00033141">
        <w:rPr>
          <w:rFonts w:cstheme="minorHAnsi"/>
        </w:rPr>
        <w:t>, 58:1 (2015), 1-23, especially 7-12.</w:t>
      </w:r>
    </w:p>
  </w:footnote>
  <w:footnote w:id="57">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Ibid, 19.</w:t>
      </w:r>
    </w:p>
  </w:footnote>
  <w:footnote w:id="58">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Patrick Collinson, </w:t>
      </w:r>
      <w:r w:rsidRPr="00033141">
        <w:rPr>
          <w:rFonts w:cstheme="minorHAnsi"/>
          <w:i/>
        </w:rPr>
        <w:t>Archbishop Grindal</w:t>
      </w:r>
      <w:r w:rsidRPr="00033141">
        <w:rPr>
          <w:rFonts w:cstheme="minorHAnsi"/>
        </w:rPr>
        <w:t xml:space="preserve"> (London, 1979), 225-26.</w:t>
      </w:r>
    </w:p>
  </w:footnote>
  <w:footnote w:id="59">
    <w:p w:rsidR="00325B82" w:rsidRPr="00033141" w:rsidRDefault="00325B82" w:rsidP="00325B82">
      <w:pPr>
        <w:pStyle w:val="FootnoteText"/>
        <w:ind w:left="357" w:hanging="357"/>
        <w:rPr>
          <w:rFonts w:cstheme="minorHAnsi"/>
        </w:rPr>
      </w:pPr>
      <w:r w:rsidRPr="00033141">
        <w:rPr>
          <w:rStyle w:val="FootnoteReference"/>
          <w:rFonts w:cstheme="minorHAnsi"/>
        </w:rPr>
        <w:footnoteRef/>
      </w:r>
      <w:r w:rsidRPr="00033141">
        <w:rPr>
          <w:rFonts w:cstheme="minorHAnsi"/>
        </w:rPr>
        <w:t xml:space="preserve"> Hill, </w:t>
      </w:r>
      <w:r w:rsidRPr="00033141">
        <w:rPr>
          <w:rFonts w:cstheme="minorHAnsi"/>
          <w:i/>
        </w:rPr>
        <w:t>Economic Problems</w:t>
      </w:r>
      <w:r w:rsidRPr="00033141">
        <w:rPr>
          <w:rFonts w:cstheme="minorHAnsi"/>
        </w:rPr>
        <w:t>, especially Chapters VI and XI.</w:t>
      </w:r>
    </w:p>
  </w:footnote>
  <w:footnote w:id="60">
    <w:p w:rsidR="00325B82" w:rsidRPr="00033141" w:rsidRDefault="00325B82" w:rsidP="00325B82">
      <w:pPr>
        <w:spacing w:after="0" w:line="240" w:lineRule="auto"/>
        <w:ind w:left="357" w:hanging="357"/>
        <w:jc w:val="both"/>
        <w:rPr>
          <w:rFonts w:cstheme="minorHAnsi"/>
          <w:sz w:val="20"/>
          <w:szCs w:val="20"/>
        </w:rPr>
      </w:pPr>
      <w:r w:rsidRPr="00033141">
        <w:rPr>
          <w:rStyle w:val="FootnoteReference"/>
          <w:rFonts w:cstheme="minorHAnsi"/>
          <w:sz w:val="20"/>
          <w:szCs w:val="20"/>
        </w:rPr>
        <w:footnoteRef/>
      </w:r>
      <w:r w:rsidRPr="00033141">
        <w:rPr>
          <w:rFonts w:cstheme="minorHAnsi"/>
          <w:sz w:val="20"/>
          <w:szCs w:val="20"/>
        </w:rPr>
        <w:t xml:space="preserve"> Allen, </w:t>
      </w:r>
      <w:r w:rsidRPr="00033141">
        <w:rPr>
          <w:rFonts w:cstheme="minorHAnsi"/>
          <w:i/>
          <w:sz w:val="20"/>
          <w:szCs w:val="20"/>
        </w:rPr>
        <w:t>Yorkshire</w:t>
      </w:r>
      <w:r w:rsidRPr="00033141">
        <w:rPr>
          <w:rFonts w:cstheme="minorHAnsi"/>
          <w:sz w:val="20"/>
          <w:szCs w:val="20"/>
        </w:rPr>
        <w:t xml:space="preserve">; </w:t>
      </w:r>
      <w:r>
        <w:rPr>
          <w:rFonts w:cstheme="minorHAnsi"/>
          <w:sz w:val="20"/>
          <w:szCs w:val="20"/>
        </w:rPr>
        <w:t xml:space="preserve">de la Pryme; </w:t>
      </w:r>
      <w:r w:rsidRPr="00033141">
        <w:rPr>
          <w:rFonts w:eastAsia="Times New Roman" w:cstheme="minorHAnsi"/>
          <w:sz w:val="20"/>
          <w:szCs w:val="20"/>
          <w:lang w:eastAsia="en-GB"/>
        </w:rPr>
        <w:t xml:space="preserve">Drake, </w:t>
      </w:r>
      <w:r w:rsidRPr="00033141">
        <w:rPr>
          <w:rFonts w:eastAsia="Times New Roman" w:cstheme="minorHAnsi"/>
          <w:i/>
          <w:sz w:val="20"/>
          <w:szCs w:val="20"/>
          <w:lang w:eastAsia="en-GB"/>
        </w:rPr>
        <w:t>Eboracum</w:t>
      </w:r>
      <w:r w:rsidRPr="00033141">
        <w:rPr>
          <w:rFonts w:eastAsia="Times New Roman" w:cstheme="minorHAnsi"/>
          <w:sz w:val="20"/>
          <w:szCs w:val="20"/>
          <w:lang w:eastAsia="en-GB"/>
        </w:rPr>
        <w:t xml:space="preserve">; </w:t>
      </w:r>
      <w:r>
        <w:rPr>
          <w:rFonts w:eastAsia="Times New Roman" w:cstheme="minorHAnsi"/>
          <w:sz w:val="20"/>
          <w:szCs w:val="20"/>
          <w:lang w:eastAsia="en-GB"/>
        </w:rPr>
        <w:t xml:space="preserve">Gent, </w:t>
      </w:r>
      <w:r>
        <w:rPr>
          <w:rFonts w:eastAsia="Times New Roman" w:cstheme="minorHAnsi"/>
          <w:i/>
          <w:sz w:val="20"/>
          <w:szCs w:val="20"/>
          <w:lang w:eastAsia="en-GB"/>
        </w:rPr>
        <w:t>Hull</w:t>
      </w:r>
      <w:r>
        <w:rPr>
          <w:rFonts w:eastAsia="Times New Roman" w:cstheme="minorHAnsi"/>
          <w:sz w:val="20"/>
          <w:szCs w:val="20"/>
          <w:lang w:eastAsia="en-GB"/>
        </w:rPr>
        <w:t xml:space="preserve">; idem, </w:t>
      </w:r>
      <w:r>
        <w:rPr>
          <w:rFonts w:eastAsia="Times New Roman" w:cstheme="minorHAnsi"/>
          <w:i/>
          <w:sz w:val="20"/>
          <w:szCs w:val="20"/>
          <w:lang w:eastAsia="en-GB"/>
        </w:rPr>
        <w:t>Rippon</w:t>
      </w:r>
      <w:r>
        <w:rPr>
          <w:rFonts w:eastAsia="Times New Roman" w:cstheme="minorHAnsi"/>
          <w:sz w:val="20"/>
          <w:szCs w:val="20"/>
          <w:lang w:eastAsia="en-GB"/>
        </w:rPr>
        <w:t xml:space="preserve">; idem, </w:t>
      </w:r>
      <w:r>
        <w:rPr>
          <w:rFonts w:eastAsia="Times New Roman" w:cstheme="minorHAnsi"/>
          <w:i/>
          <w:sz w:val="20"/>
          <w:szCs w:val="20"/>
          <w:lang w:eastAsia="en-GB"/>
        </w:rPr>
        <w:t>York</w:t>
      </w:r>
      <w:r>
        <w:rPr>
          <w:rFonts w:eastAsia="Times New Roman" w:cstheme="minorHAnsi"/>
          <w:sz w:val="20"/>
          <w:szCs w:val="20"/>
          <w:lang w:eastAsia="en-GB"/>
        </w:rPr>
        <w:t xml:space="preserve">; </w:t>
      </w:r>
      <w:r w:rsidRPr="00033141">
        <w:rPr>
          <w:rFonts w:eastAsia="Times New Roman" w:cstheme="minorHAnsi"/>
          <w:sz w:val="20"/>
          <w:szCs w:val="20"/>
          <w:lang w:eastAsia="en-GB"/>
        </w:rPr>
        <w:t xml:space="preserve">Oliver, </w:t>
      </w:r>
      <w:r w:rsidRPr="00033141">
        <w:rPr>
          <w:rFonts w:eastAsia="Times New Roman" w:cstheme="minorHAnsi"/>
          <w:i/>
          <w:sz w:val="20"/>
          <w:szCs w:val="20"/>
          <w:lang w:eastAsia="en-GB"/>
        </w:rPr>
        <w:t>Beverley</w:t>
      </w:r>
      <w:r w:rsidRPr="00033141">
        <w:rPr>
          <w:rFonts w:eastAsia="Times New Roman" w:cstheme="minorHAnsi"/>
          <w:sz w:val="20"/>
          <w:szCs w:val="20"/>
          <w:lang w:eastAsia="en-GB"/>
        </w:rPr>
        <w:t xml:space="preserve">; Poulson, </w:t>
      </w:r>
      <w:r w:rsidRPr="00033141">
        <w:rPr>
          <w:rFonts w:eastAsia="Times New Roman" w:cstheme="minorHAnsi"/>
          <w:i/>
          <w:sz w:val="20"/>
          <w:szCs w:val="20"/>
          <w:lang w:eastAsia="en-GB"/>
        </w:rPr>
        <w:t>Beverlac</w:t>
      </w:r>
      <w:r w:rsidRPr="00033141">
        <w:rPr>
          <w:rFonts w:eastAsia="Times New Roman" w:cstheme="minorHAnsi"/>
          <w:sz w:val="20"/>
          <w:szCs w:val="20"/>
          <w:lang w:eastAsia="en-GB"/>
        </w:rPr>
        <w:t xml:space="preserve">; </w:t>
      </w:r>
      <w:r w:rsidRPr="00033141">
        <w:rPr>
          <w:rFonts w:cstheme="minorHAnsi"/>
          <w:sz w:val="20"/>
          <w:szCs w:val="20"/>
        </w:rPr>
        <w:t xml:space="preserve">Poulson, </w:t>
      </w:r>
      <w:r w:rsidRPr="00033141">
        <w:rPr>
          <w:rFonts w:cstheme="minorHAnsi"/>
          <w:i/>
          <w:sz w:val="20"/>
          <w:szCs w:val="20"/>
        </w:rPr>
        <w:t>Holderness</w:t>
      </w:r>
      <w:r w:rsidRPr="00033141">
        <w:rPr>
          <w:rFonts w:cstheme="minorHAnsi"/>
          <w:sz w:val="20"/>
          <w:szCs w:val="20"/>
        </w:rPr>
        <w:t xml:space="preserve">; </w:t>
      </w:r>
      <w:r w:rsidRPr="00033141">
        <w:rPr>
          <w:rFonts w:eastAsia="Times New Roman" w:cstheme="minorHAnsi"/>
          <w:sz w:val="20"/>
          <w:szCs w:val="20"/>
          <w:lang w:eastAsia="en-GB"/>
        </w:rPr>
        <w:t xml:space="preserve">Sheahan and Whellan, </w:t>
      </w:r>
      <w:r w:rsidRPr="00033141">
        <w:rPr>
          <w:rFonts w:eastAsia="Times New Roman" w:cstheme="minorHAnsi"/>
          <w:i/>
          <w:sz w:val="20"/>
          <w:szCs w:val="20"/>
          <w:lang w:eastAsia="en-GB"/>
        </w:rPr>
        <w:t>Y&amp;ER</w:t>
      </w:r>
      <w:r w:rsidRPr="00033141">
        <w:rPr>
          <w:rFonts w:eastAsia="Times New Roman" w:cstheme="minorHAnsi"/>
          <w:sz w:val="20"/>
          <w:szCs w:val="20"/>
          <w:lang w:eastAsia="en-GB"/>
        </w:rPr>
        <w:t xml:space="preserve">; T. Whellan, </w:t>
      </w:r>
      <w:r w:rsidRPr="00033141">
        <w:rPr>
          <w:rFonts w:eastAsia="Times New Roman" w:cstheme="minorHAnsi"/>
          <w:i/>
          <w:sz w:val="20"/>
          <w:szCs w:val="20"/>
          <w:lang w:eastAsia="en-GB"/>
        </w:rPr>
        <w:t xml:space="preserve">History and Topography of the City of York and the North Riding of Yorkshire </w:t>
      </w:r>
      <w:r w:rsidRPr="00033141">
        <w:rPr>
          <w:rFonts w:eastAsia="Times New Roman" w:cstheme="minorHAnsi"/>
          <w:sz w:val="20"/>
          <w:szCs w:val="20"/>
          <w:lang w:eastAsia="en-GB"/>
        </w:rPr>
        <w:t>(Beverley, 1859).</w:t>
      </w:r>
    </w:p>
  </w:footnote>
  <w:footnote w:id="61">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Martin Heale, ‘The Late Middle Ages, 1380-1539’, in </w:t>
      </w:r>
      <w:r w:rsidRPr="00033141">
        <w:rPr>
          <w:rFonts w:cstheme="minorHAnsi"/>
          <w:i/>
        </w:rPr>
        <w:t>Durham Cathedral</w:t>
      </w:r>
      <w:r w:rsidRPr="00033141">
        <w:rPr>
          <w:rFonts w:cstheme="minorHAnsi"/>
        </w:rPr>
        <w:t>, ed. David Brown (New Haven and London, 2015), 55-69, at 67.</w:t>
      </w:r>
    </w:p>
  </w:footnote>
  <w:footnote w:id="62">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Hutchinson, </w:t>
      </w:r>
      <w:r w:rsidRPr="00033141">
        <w:rPr>
          <w:rFonts w:cstheme="minorHAnsi"/>
          <w:i/>
        </w:rPr>
        <w:t>Durham</w:t>
      </w:r>
      <w:r w:rsidRPr="00033141">
        <w:rPr>
          <w:rFonts w:cstheme="minorHAnsi"/>
        </w:rPr>
        <w:t>.</w:t>
      </w:r>
    </w:p>
  </w:footnote>
  <w:footnote w:id="63">
    <w:p w:rsidR="00325B82" w:rsidRPr="00033141" w:rsidRDefault="00325B82" w:rsidP="00325B82">
      <w:pPr>
        <w:pStyle w:val="FootnoteText"/>
        <w:ind w:left="357" w:hanging="357"/>
        <w:jc w:val="both"/>
        <w:rPr>
          <w:rFonts w:cstheme="minorHAnsi"/>
        </w:rPr>
      </w:pPr>
      <w:r w:rsidRPr="00033141">
        <w:rPr>
          <w:rStyle w:val="FootnoteReference"/>
          <w:rFonts w:cstheme="minorHAnsi"/>
        </w:rPr>
        <w:footnoteRef/>
      </w:r>
      <w:r w:rsidRPr="00033141">
        <w:rPr>
          <w:rFonts w:cstheme="minorHAnsi"/>
        </w:rPr>
        <w:t xml:space="preserve"> </w:t>
      </w:r>
      <w:r w:rsidRPr="00033141">
        <w:rPr>
          <w:rFonts w:cstheme="minorHAnsi"/>
          <w:bCs/>
          <w:i/>
          <w:kern w:val="36"/>
          <w:bdr w:val="none" w:sz="0" w:space="0" w:color="auto" w:frame="1"/>
        </w:rPr>
        <w:t>Compton Census</w:t>
      </w:r>
      <w:r w:rsidRPr="00033141">
        <w:rPr>
          <w:rFonts w:cstheme="minorHAnsi"/>
          <w:bCs/>
          <w:kern w:val="36"/>
          <w:bdr w:val="none" w:sz="0" w:space="0" w:color="auto" w:frame="1"/>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57892"/>
    <w:multiLevelType w:val="multilevel"/>
    <w:tmpl w:val="9EDCD1C4"/>
    <w:lvl w:ilvl="0">
      <w:start w:val="2"/>
      <w:numFmt w:val="decimal"/>
      <w:lvlText w:val="%1"/>
      <w:lvlJc w:val="left"/>
      <w:pPr>
        <w:ind w:left="360" w:hanging="360"/>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2B16559"/>
    <w:multiLevelType w:val="multilevel"/>
    <w:tmpl w:val="B92EBCE6"/>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040262F2"/>
    <w:multiLevelType w:val="multilevel"/>
    <w:tmpl w:val="730C3378"/>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0FB82C8B"/>
    <w:multiLevelType w:val="multilevel"/>
    <w:tmpl w:val="F3022542"/>
    <w:lvl w:ilvl="0">
      <w:start w:val="3"/>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11115CEF"/>
    <w:multiLevelType w:val="multilevel"/>
    <w:tmpl w:val="FBB2A45A"/>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1F096016"/>
    <w:multiLevelType w:val="multilevel"/>
    <w:tmpl w:val="DF94F05E"/>
    <w:lvl w:ilvl="0">
      <w:start w:val="3"/>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3CC35734"/>
    <w:multiLevelType w:val="multilevel"/>
    <w:tmpl w:val="4B0EEDEE"/>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7" w15:restartNumberingAfterBreak="0">
    <w:nsid w:val="44AA73FF"/>
    <w:multiLevelType w:val="multilevel"/>
    <w:tmpl w:val="7F3C7DCC"/>
    <w:lvl w:ilvl="0">
      <w:start w:val="1"/>
      <w:numFmt w:val="decimal"/>
      <w:lvlText w:val="%1."/>
      <w:lvlJc w:val="left"/>
      <w:pPr>
        <w:tabs>
          <w:tab w:val="num" w:pos="720"/>
        </w:tabs>
        <w:ind w:left="720" w:hanging="720"/>
      </w:pPr>
    </w:lvl>
    <w:lvl w:ilvl="1">
      <w:start w:val="1"/>
      <w:numFmt w:val="decimal"/>
      <w:pStyle w:val="Style3"/>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47B47AA9"/>
    <w:multiLevelType w:val="multilevel"/>
    <w:tmpl w:val="0EEA87E2"/>
    <w:lvl w:ilvl="0">
      <w:start w:val="1"/>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5AFC3A67"/>
    <w:multiLevelType w:val="multilevel"/>
    <w:tmpl w:val="A36AA532"/>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63B327E4"/>
    <w:multiLevelType w:val="multilevel"/>
    <w:tmpl w:val="18FCCA50"/>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15:restartNumberingAfterBreak="0">
    <w:nsid w:val="693D1747"/>
    <w:multiLevelType w:val="multilevel"/>
    <w:tmpl w:val="E0AA7016"/>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6B2235BF"/>
    <w:multiLevelType w:val="multilevel"/>
    <w:tmpl w:val="3550CC9A"/>
    <w:lvl w:ilvl="0">
      <w:start w:val="3"/>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3" w15:restartNumberingAfterBreak="0">
    <w:nsid w:val="73920248"/>
    <w:multiLevelType w:val="hybridMultilevel"/>
    <w:tmpl w:val="D24A0C88"/>
    <w:lvl w:ilvl="0" w:tplc="38441A4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4C27CB6"/>
    <w:multiLevelType w:val="hybridMultilevel"/>
    <w:tmpl w:val="BAB8CB86"/>
    <w:lvl w:ilvl="0" w:tplc="04265F5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9800084"/>
    <w:multiLevelType w:val="multilevel"/>
    <w:tmpl w:val="DF80C9F2"/>
    <w:lvl w:ilvl="0">
      <w:start w:val="1"/>
      <w:numFmt w:val="decimal"/>
      <w:lvlText w:val="%1"/>
      <w:lvlJc w:val="left"/>
      <w:pPr>
        <w:ind w:left="570" w:hanging="570"/>
      </w:pPr>
      <w:rPr>
        <w:rFonts w:hint="default"/>
      </w:rPr>
    </w:lvl>
    <w:lvl w:ilvl="1">
      <w:start w:val="1"/>
      <w:numFmt w:val="decimal"/>
      <w:lvlText w:val="%1.%2"/>
      <w:lvlJc w:val="left"/>
      <w:pPr>
        <w:ind w:left="1260" w:hanging="72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num w:numId="1">
    <w:abstractNumId w:val="11"/>
  </w:num>
  <w:num w:numId="2">
    <w:abstractNumId w:val="11"/>
  </w:num>
  <w:num w:numId="3">
    <w:abstractNumId w:val="11"/>
  </w:num>
  <w:num w:numId="4">
    <w:abstractNumId w:val="7"/>
  </w:num>
  <w:num w:numId="5">
    <w:abstractNumId w:val="9"/>
  </w:num>
  <w:num w:numId="6">
    <w:abstractNumId w:val="0"/>
  </w:num>
  <w:num w:numId="7">
    <w:abstractNumId w:val="8"/>
  </w:num>
  <w:num w:numId="8">
    <w:abstractNumId w:val="15"/>
  </w:num>
  <w:num w:numId="9">
    <w:abstractNumId w:val="4"/>
  </w:num>
  <w:num w:numId="10">
    <w:abstractNumId w:val="5"/>
  </w:num>
  <w:num w:numId="11">
    <w:abstractNumId w:val="1"/>
  </w:num>
  <w:num w:numId="12">
    <w:abstractNumId w:val="14"/>
  </w:num>
  <w:num w:numId="13">
    <w:abstractNumId w:val="6"/>
  </w:num>
  <w:num w:numId="14">
    <w:abstractNumId w:val="12"/>
  </w:num>
  <w:num w:numId="15">
    <w:abstractNumId w:val="10"/>
  </w:num>
  <w:num w:numId="16">
    <w:abstractNumId w:val="2"/>
  </w:num>
  <w:num w:numId="17">
    <w:abstractNumId w:val="3"/>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B82"/>
    <w:rsid w:val="00325B82"/>
    <w:rsid w:val="003A3A4D"/>
    <w:rsid w:val="003C5C23"/>
    <w:rsid w:val="00454EE1"/>
    <w:rsid w:val="00A1321A"/>
    <w:rsid w:val="00B70894"/>
    <w:rsid w:val="00DA66AC"/>
    <w:rsid w:val="00DD7B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F3AE97-C10B-437C-AF39-D8B2693FA0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5B82"/>
  </w:style>
  <w:style w:type="paragraph" w:styleId="Heading1">
    <w:name w:val="heading 1"/>
    <w:basedOn w:val="Normal"/>
    <w:link w:val="Heading1Char"/>
    <w:uiPriority w:val="9"/>
    <w:qFormat/>
    <w:rsid w:val="00325B8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unhideWhenUsed/>
    <w:qFormat/>
    <w:rsid w:val="00A1321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25B82"/>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A1321A"/>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325B82"/>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3">
    <w:name w:val="Style3"/>
    <w:basedOn w:val="Heading2"/>
    <w:link w:val="Style3Char"/>
    <w:qFormat/>
    <w:rsid w:val="00A1321A"/>
    <w:pPr>
      <w:numPr>
        <w:ilvl w:val="1"/>
        <w:numId w:val="4"/>
      </w:numPr>
      <w:spacing w:before="200"/>
      <w:ind w:left="1080"/>
    </w:pPr>
    <w:rPr>
      <w:b/>
      <w:bCs/>
      <w:color w:val="5B9BD5" w:themeColor="accent1"/>
    </w:rPr>
  </w:style>
  <w:style w:type="character" w:customStyle="1" w:styleId="Style3Char">
    <w:name w:val="Style3 Char"/>
    <w:basedOn w:val="Heading2Char"/>
    <w:link w:val="Style3"/>
    <w:rsid w:val="00A1321A"/>
    <w:rPr>
      <w:rFonts w:asciiTheme="majorHAnsi" w:eastAsiaTheme="majorEastAsia" w:hAnsiTheme="majorHAnsi" w:cstheme="majorBidi"/>
      <w:b/>
      <w:bCs/>
      <w:color w:val="5B9BD5" w:themeColor="accent1"/>
      <w:sz w:val="26"/>
      <w:szCs w:val="26"/>
    </w:rPr>
  </w:style>
  <w:style w:type="character" w:customStyle="1" w:styleId="Heading2Char">
    <w:name w:val="Heading 2 Char"/>
    <w:basedOn w:val="DefaultParagraphFont"/>
    <w:link w:val="Heading2"/>
    <w:uiPriority w:val="9"/>
    <w:rsid w:val="00A1321A"/>
    <w:rPr>
      <w:rFonts w:asciiTheme="majorHAnsi" w:eastAsiaTheme="majorEastAsia" w:hAnsiTheme="majorHAnsi" w:cstheme="majorBidi"/>
      <w:color w:val="2E74B5" w:themeColor="accent1" w:themeShade="BF"/>
      <w:sz w:val="26"/>
      <w:szCs w:val="26"/>
    </w:rPr>
  </w:style>
  <w:style w:type="paragraph" w:customStyle="1" w:styleId="Style4">
    <w:name w:val="Style4"/>
    <w:basedOn w:val="Heading4"/>
    <w:link w:val="Style4Char"/>
    <w:autoRedefine/>
    <w:qFormat/>
    <w:rsid w:val="00A1321A"/>
    <w:pPr>
      <w:spacing w:before="200"/>
      <w:ind w:left="357" w:firstLine="720"/>
    </w:pPr>
    <w:rPr>
      <w:b/>
      <w:bCs/>
      <w:color w:val="5B9BD5" w:themeColor="accent1"/>
    </w:rPr>
  </w:style>
  <w:style w:type="character" w:customStyle="1" w:styleId="Style4Char">
    <w:name w:val="Style4 Char"/>
    <w:basedOn w:val="Heading4Char"/>
    <w:link w:val="Style4"/>
    <w:rsid w:val="00A1321A"/>
    <w:rPr>
      <w:rFonts w:asciiTheme="majorHAnsi" w:eastAsiaTheme="majorEastAsia" w:hAnsiTheme="majorHAnsi" w:cstheme="majorBidi"/>
      <w:b/>
      <w:bCs/>
      <w:i/>
      <w:iCs/>
      <w:color w:val="5B9BD5" w:themeColor="accent1"/>
    </w:rPr>
  </w:style>
  <w:style w:type="character" w:customStyle="1" w:styleId="Heading4Char">
    <w:name w:val="Heading 4 Char"/>
    <w:basedOn w:val="DefaultParagraphFont"/>
    <w:link w:val="Heading4"/>
    <w:uiPriority w:val="9"/>
    <w:rsid w:val="00A1321A"/>
    <w:rPr>
      <w:rFonts w:asciiTheme="majorHAnsi" w:eastAsiaTheme="majorEastAsia" w:hAnsiTheme="majorHAnsi" w:cstheme="majorBidi"/>
      <w:i/>
      <w:iCs/>
      <w:color w:val="2E74B5" w:themeColor="accent1" w:themeShade="BF"/>
    </w:rPr>
  </w:style>
  <w:style w:type="paragraph" w:customStyle="1" w:styleId="Style1">
    <w:name w:val="Style1"/>
    <w:basedOn w:val="Title"/>
    <w:link w:val="Style1Char"/>
    <w:autoRedefine/>
    <w:qFormat/>
    <w:rsid w:val="003C5C23"/>
    <w:pPr>
      <w:pBdr>
        <w:bottom w:val="single" w:sz="8" w:space="4" w:color="5B9BD5" w:themeColor="accent1"/>
      </w:pBdr>
      <w:spacing w:after="300"/>
      <w:ind w:left="357" w:hanging="357"/>
      <w:jc w:val="both"/>
    </w:pPr>
    <w:rPr>
      <w:color w:val="323E4F" w:themeColor="text2" w:themeShade="BF"/>
      <w:spacing w:val="5"/>
      <w:sz w:val="52"/>
      <w:szCs w:val="52"/>
    </w:rPr>
  </w:style>
  <w:style w:type="character" w:customStyle="1" w:styleId="Style1Char">
    <w:name w:val="Style1 Char"/>
    <w:basedOn w:val="TitleChar"/>
    <w:link w:val="Style1"/>
    <w:rsid w:val="003C5C23"/>
    <w:rPr>
      <w:rFonts w:asciiTheme="majorHAnsi" w:eastAsiaTheme="majorEastAsia" w:hAnsiTheme="majorHAnsi" w:cstheme="majorBidi"/>
      <w:color w:val="323E4F" w:themeColor="text2" w:themeShade="BF"/>
      <w:spacing w:val="5"/>
      <w:kern w:val="28"/>
      <w:sz w:val="52"/>
      <w:szCs w:val="52"/>
    </w:rPr>
  </w:style>
  <w:style w:type="paragraph" w:styleId="Title">
    <w:name w:val="Title"/>
    <w:basedOn w:val="Normal"/>
    <w:next w:val="Normal"/>
    <w:link w:val="TitleChar"/>
    <w:uiPriority w:val="10"/>
    <w:qFormat/>
    <w:rsid w:val="00B7089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70894"/>
    <w:rPr>
      <w:rFonts w:asciiTheme="majorHAnsi" w:eastAsiaTheme="majorEastAsia" w:hAnsiTheme="majorHAnsi" w:cstheme="majorBidi"/>
      <w:spacing w:val="-10"/>
      <w:kern w:val="28"/>
      <w:sz w:val="56"/>
      <w:szCs w:val="56"/>
    </w:rPr>
  </w:style>
  <w:style w:type="paragraph" w:customStyle="1" w:styleId="Style2">
    <w:name w:val="Style2"/>
    <w:basedOn w:val="Heading2"/>
    <w:link w:val="Style2Char"/>
    <w:autoRedefine/>
    <w:qFormat/>
    <w:rsid w:val="00DA66AC"/>
    <w:pPr>
      <w:spacing w:line="360" w:lineRule="auto"/>
      <w:jc w:val="both"/>
    </w:pPr>
    <w:rPr>
      <w:rFonts w:ascii="Times New Roman" w:hAnsi="Times New Roman" w:cs="Times New Roman"/>
      <w:b/>
      <w:sz w:val="24"/>
      <w:szCs w:val="24"/>
      <w:u w:val="single"/>
    </w:rPr>
  </w:style>
  <w:style w:type="character" w:customStyle="1" w:styleId="Style2Char">
    <w:name w:val="Style2 Char"/>
    <w:basedOn w:val="DefaultParagraphFont"/>
    <w:link w:val="Style2"/>
    <w:rsid w:val="00DA66AC"/>
    <w:rPr>
      <w:rFonts w:ascii="Times New Roman" w:eastAsiaTheme="majorEastAsia" w:hAnsi="Times New Roman" w:cs="Times New Roman"/>
      <w:b/>
      <w:color w:val="2E74B5" w:themeColor="accent1" w:themeShade="BF"/>
      <w:sz w:val="24"/>
      <w:szCs w:val="24"/>
      <w:u w:val="single"/>
    </w:rPr>
  </w:style>
  <w:style w:type="character" w:customStyle="1" w:styleId="Heading1Char">
    <w:name w:val="Heading 1 Char"/>
    <w:basedOn w:val="DefaultParagraphFont"/>
    <w:link w:val="Heading1"/>
    <w:uiPriority w:val="9"/>
    <w:rsid w:val="00325B82"/>
    <w:rPr>
      <w:rFonts w:ascii="Times New Roman" w:eastAsia="Times New Roman" w:hAnsi="Times New Roman" w:cs="Times New Roman"/>
      <w:b/>
      <w:bCs/>
      <w:kern w:val="36"/>
      <w:sz w:val="48"/>
      <w:szCs w:val="48"/>
      <w:lang w:eastAsia="en-GB"/>
    </w:rPr>
  </w:style>
  <w:style w:type="character" w:customStyle="1" w:styleId="Heading3Char">
    <w:name w:val="Heading 3 Char"/>
    <w:basedOn w:val="DefaultParagraphFont"/>
    <w:link w:val="Heading3"/>
    <w:uiPriority w:val="9"/>
    <w:rsid w:val="00325B82"/>
    <w:rPr>
      <w:rFonts w:asciiTheme="majorHAnsi" w:eastAsiaTheme="majorEastAsia" w:hAnsiTheme="majorHAnsi" w:cstheme="majorBidi"/>
      <w:b/>
      <w:bCs/>
      <w:color w:val="5B9BD5" w:themeColor="accent1"/>
    </w:rPr>
  </w:style>
  <w:style w:type="character" w:customStyle="1" w:styleId="Heading5Char">
    <w:name w:val="Heading 5 Char"/>
    <w:basedOn w:val="DefaultParagraphFont"/>
    <w:link w:val="Heading5"/>
    <w:uiPriority w:val="9"/>
    <w:rsid w:val="00325B82"/>
    <w:rPr>
      <w:rFonts w:asciiTheme="majorHAnsi" w:eastAsiaTheme="majorEastAsia" w:hAnsiTheme="majorHAnsi" w:cstheme="majorBidi"/>
      <w:color w:val="1F4D78" w:themeColor="accent1" w:themeShade="7F"/>
    </w:rPr>
  </w:style>
  <w:style w:type="paragraph" w:styleId="Header">
    <w:name w:val="header"/>
    <w:basedOn w:val="Normal"/>
    <w:link w:val="HeaderChar"/>
    <w:uiPriority w:val="99"/>
    <w:unhideWhenUsed/>
    <w:rsid w:val="00325B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5B82"/>
  </w:style>
  <w:style w:type="paragraph" w:styleId="Footer">
    <w:name w:val="footer"/>
    <w:basedOn w:val="Normal"/>
    <w:link w:val="FooterChar"/>
    <w:uiPriority w:val="99"/>
    <w:unhideWhenUsed/>
    <w:rsid w:val="00325B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5B82"/>
  </w:style>
  <w:style w:type="paragraph" w:styleId="FootnoteText">
    <w:name w:val="footnote text"/>
    <w:basedOn w:val="Normal"/>
    <w:link w:val="FootnoteTextChar"/>
    <w:uiPriority w:val="99"/>
    <w:unhideWhenUsed/>
    <w:qFormat/>
    <w:rsid w:val="00325B82"/>
    <w:pPr>
      <w:spacing w:after="0" w:line="240" w:lineRule="auto"/>
    </w:pPr>
    <w:rPr>
      <w:sz w:val="20"/>
      <w:szCs w:val="20"/>
    </w:rPr>
  </w:style>
  <w:style w:type="character" w:customStyle="1" w:styleId="FootnoteTextChar">
    <w:name w:val="Footnote Text Char"/>
    <w:basedOn w:val="DefaultParagraphFont"/>
    <w:link w:val="FootnoteText"/>
    <w:uiPriority w:val="99"/>
    <w:rsid w:val="00325B82"/>
    <w:rPr>
      <w:sz w:val="20"/>
      <w:szCs w:val="20"/>
    </w:rPr>
  </w:style>
  <w:style w:type="character" w:styleId="FootnoteReference">
    <w:name w:val="footnote reference"/>
    <w:basedOn w:val="DefaultParagraphFont"/>
    <w:uiPriority w:val="99"/>
    <w:unhideWhenUsed/>
    <w:rsid w:val="00325B82"/>
    <w:rPr>
      <w:vertAlign w:val="superscript"/>
    </w:rPr>
  </w:style>
  <w:style w:type="character" w:styleId="Emphasis">
    <w:name w:val="Emphasis"/>
    <w:basedOn w:val="DefaultParagraphFont"/>
    <w:uiPriority w:val="20"/>
    <w:qFormat/>
    <w:rsid w:val="00325B82"/>
    <w:rPr>
      <w:i/>
      <w:iCs/>
    </w:rPr>
  </w:style>
  <w:style w:type="character" w:styleId="Hyperlink">
    <w:name w:val="Hyperlink"/>
    <w:basedOn w:val="DefaultParagraphFont"/>
    <w:uiPriority w:val="99"/>
    <w:unhideWhenUsed/>
    <w:rsid w:val="00325B82"/>
    <w:rPr>
      <w:color w:val="0000FF"/>
      <w:u w:val="single"/>
    </w:rPr>
  </w:style>
  <w:style w:type="paragraph" w:styleId="NormalWeb">
    <w:name w:val="Normal (Web)"/>
    <w:basedOn w:val="Normal"/>
    <w:uiPriority w:val="99"/>
    <w:unhideWhenUsed/>
    <w:rsid w:val="00325B8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325B82"/>
    <w:pPr>
      <w:ind w:left="720"/>
      <w:contextualSpacing/>
    </w:pPr>
  </w:style>
  <w:style w:type="character" w:customStyle="1" w:styleId="headword">
    <w:name w:val="headword"/>
    <w:basedOn w:val="DefaultParagraphFont"/>
    <w:rsid w:val="00325B82"/>
  </w:style>
  <w:style w:type="character" w:customStyle="1" w:styleId="roman">
    <w:name w:val="roman"/>
    <w:basedOn w:val="DefaultParagraphFont"/>
    <w:rsid w:val="00325B82"/>
  </w:style>
  <w:style w:type="character" w:customStyle="1" w:styleId="record-display-data">
    <w:name w:val="record-display-data"/>
    <w:basedOn w:val="DefaultParagraphFont"/>
    <w:rsid w:val="00325B82"/>
  </w:style>
  <w:style w:type="paragraph" w:customStyle="1" w:styleId="gb-buy-options-link">
    <w:name w:val="gb-buy-options-link"/>
    <w:basedOn w:val="Normal"/>
    <w:rsid w:val="00325B8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gb-buy-options-arrow">
    <w:name w:val="gb-buy-options-arrow"/>
    <w:basedOn w:val="DefaultParagraphFont"/>
    <w:rsid w:val="00325B82"/>
  </w:style>
  <w:style w:type="character" w:customStyle="1" w:styleId="num-ratings">
    <w:name w:val="num-ratings"/>
    <w:basedOn w:val="DefaultParagraphFont"/>
    <w:rsid w:val="00325B82"/>
  </w:style>
  <w:style w:type="character" w:customStyle="1" w:styleId="count">
    <w:name w:val="count"/>
    <w:basedOn w:val="DefaultParagraphFont"/>
    <w:rsid w:val="00325B82"/>
  </w:style>
  <w:style w:type="paragraph" w:styleId="BalloonText">
    <w:name w:val="Balloon Text"/>
    <w:basedOn w:val="Normal"/>
    <w:link w:val="BalloonTextChar"/>
    <w:uiPriority w:val="99"/>
    <w:semiHidden/>
    <w:unhideWhenUsed/>
    <w:rsid w:val="00325B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5B82"/>
    <w:rPr>
      <w:rFonts w:ascii="Tahoma" w:hAnsi="Tahoma" w:cs="Tahoma"/>
      <w:sz w:val="16"/>
      <w:szCs w:val="16"/>
    </w:rPr>
  </w:style>
  <w:style w:type="paragraph" w:customStyle="1" w:styleId="citationpreview">
    <w:name w:val="citationpreview"/>
    <w:basedOn w:val="Normal"/>
    <w:rsid w:val="00325B8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ncy">
    <w:name w:val="ency"/>
    <w:basedOn w:val="DefaultParagraphFont"/>
    <w:rsid w:val="00325B82"/>
  </w:style>
  <w:style w:type="table" w:styleId="TableGrid">
    <w:name w:val="Table Grid"/>
    <w:basedOn w:val="TableNormal"/>
    <w:uiPriority w:val="39"/>
    <w:rsid w:val="00325B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25B82"/>
    <w:pPr>
      <w:spacing w:after="0" w:line="240" w:lineRule="auto"/>
    </w:pPr>
  </w:style>
  <w:style w:type="paragraph" w:styleId="IntenseQuote">
    <w:name w:val="Intense Quote"/>
    <w:basedOn w:val="Normal"/>
    <w:next w:val="Normal"/>
    <w:link w:val="IntenseQuoteChar"/>
    <w:uiPriority w:val="30"/>
    <w:qFormat/>
    <w:rsid w:val="00325B82"/>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325B82"/>
    <w:rPr>
      <w:i/>
      <w:iCs/>
      <w:color w:val="5B9BD5" w:themeColor="accent1"/>
    </w:rPr>
  </w:style>
  <w:style w:type="numbering" w:customStyle="1" w:styleId="NoList1">
    <w:name w:val="No List1"/>
    <w:next w:val="NoList"/>
    <w:uiPriority w:val="99"/>
    <w:semiHidden/>
    <w:unhideWhenUsed/>
    <w:rsid w:val="00325B82"/>
  </w:style>
  <w:style w:type="character" w:styleId="Strong">
    <w:name w:val="Strong"/>
    <w:basedOn w:val="DefaultParagraphFont"/>
    <w:uiPriority w:val="22"/>
    <w:qFormat/>
    <w:rsid w:val="00325B82"/>
    <w:rPr>
      <w:b/>
      <w:bCs/>
    </w:rPr>
  </w:style>
  <w:style w:type="table" w:customStyle="1" w:styleId="TableGrid1">
    <w:name w:val="Table Grid1"/>
    <w:basedOn w:val="TableNormal"/>
    <w:next w:val="TableGrid"/>
    <w:uiPriority w:val="59"/>
    <w:rsid w:val="00325B82"/>
    <w:pPr>
      <w:spacing w:after="0" w:line="240" w:lineRule="auto"/>
      <w:ind w:left="357" w:hanging="35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yiv1076153970msolistparagraph">
    <w:name w:val="yiv1076153970msolistparagraph"/>
    <w:basedOn w:val="Normal"/>
    <w:rsid w:val="00325B82"/>
    <w:pPr>
      <w:spacing w:before="100" w:beforeAutospacing="1" w:after="100" w:afterAutospacing="1" w:line="240" w:lineRule="auto"/>
    </w:pPr>
    <w:rPr>
      <w:rFonts w:ascii="Times New Roman" w:hAnsi="Times New Roman" w:cs="Times New Roman"/>
      <w:sz w:val="24"/>
      <w:szCs w:val="24"/>
      <w:lang w:eastAsia="en-GB"/>
    </w:rPr>
  </w:style>
  <w:style w:type="paragraph" w:customStyle="1" w:styleId="yiv1076153970msonormal">
    <w:name w:val="yiv1076153970msonormal"/>
    <w:basedOn w:val="Normal"/>
    <w:rsid w:val="00325B82"/>
    <w:pPr>
      <w:spacing w:before="100" w:beforeAutospacing="1" w:after="100" w:afterAutospacing="1" w:line="240" w:lineRule="auto"/>
    </w:pPr>
    <w:rPr>
      <w:rFonts w:ascii="Times New Roman" w:hAnsi="Times New Roman" w:cs="Times New Roman"/>
      <w:sz w:val="24"/>
      <w:szCs w:val="24"/>
      <w:lang w:eastAsia="en-GB"/>
    </w:rPr>
  </w:style>
  <w:style w:type="character" w:styleId="HTMLCite">
    <w:name w:val="HTML Cite"/>
    <w:basedOn w:val="DefaultParagraphFont"/>
    <w:uiPriority w:val="99"/>
    <w:semiHidden/>
    <w:unhideWhenUsed/>
    <w:rsid w:val="00325B82"/>
    <w:rPr>
      <w:i/>
      <w:iCs/>
    </w:rPr>
  </w:style>
  <w:style w:type="paragraph" w:styleId="Quote">
    <w:name w:val="Quote"/>
    <w:basedOn w:val="Normal"/>
    <w:next w:val="Normal"/>
    <w:link w:val="QuoteChar"/>
    <w:uiPriority w:val="29"/>
    <w:qFormat/>
    <w:rsid w:val="00325B82"/>
    <w:pPr>
      <w:spacing w:after="120" w:line="360" w:lineRule="auto"/>
      <w:ind w:left="357" w:hanging="357"/>
      <w:jc w:val="both"/>
    </w:pPr>
    <w:rPr>
      <w:i/>
      <w:iCs/>
      <w:color w:val="000000" w:themeColor="text1"/>
    </w:rPr>
  </w:style>
  <w:style w:type="character" w:customStyle="1" w:styleId="QuoteChar">
    <w:name w:val="Quote Char"/>
    <w:basedOn w:val="DefaultParagraphFont"/>
    <w:link w:val="Quote"/>
    <w:uiPriority w:val="29"/>
    <w:rsid w:val="00325B82"/>
    <w:rPr>
      <w:i/>
      <w:iCs/>
      <w:color w:val="000000" w:themeColor="text1"/>
    </w:rPr>
  </w:style>
  <w:style w:type="paragraph" w:customStyle="1" w:styleId="muted">
    <w:name w:val="muted"/>
    <w:basedOn w:val="Normal"/>
    <w:rsid w:val="00325B8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resultstitle">
    <w:name w:val="results_title"/>
    <w:basedOn w:val="DefaultParagraphFont"/>
    <w:rsid w:val="00325B82"/>
  </w:style>
  <w:style w:type="character" w:customStyle="1" w:styleId="u-floatright">
    <w:name w:val="u-floatright"/>
    <w:basedOn w:val="DefaultParagraphFont"/>
    <w:rsid w:val="00325B82"/>
  </w:style>
  <w:style w:type="numbering" w:customStyle="1" w:styleId="NoList2">
    <w:name w:val="No List2"/>
    <w:next w:val="NoList"/>
    <w:uiPriority w:val="99"/>
    <w:semiHidden/>
    <w:unhideWhenUsed/>
    <w:rsid w:val="00325B82"/>
  </w:style>
  <w:style w:type="character" w:customStyle="1" w:styleId="name">
    <w:name w:val="name"/>
    <w:basedOn w:val="DefaultParagraphFont"/>
    <w:rsid w:val="00325B82"/>
  </w:style>
  <w:style w:type="character" w:customStyle="1" w:styleId="Date1">
    <w:name w:val="Date1"/>
    <w:basedOn w:val="DefaultParagraphFont"/>
    <w:rsid w:val="00325B82"/>
  </w:style>
  <w:style w:type="paragraph" w:styleId="Subtitle">
    <w:name w:val="Subtitle"/>
    <w:basedOn w:val="Normal"/>
    <w:next w:val="Normal"/>
    <w:link w:val="SubtitleChar"/>
    <w:uiPriority w:val="11"/>
    <w:qFormat/>
    <w:rsid w:val="00325B82"/>
    <w:pPr>
      <w:numPr>
        <w:ilvl w:val="1"/>
      </w:numPr>
      <w:spacing w:after="120" w:line="360" w:lineRule="auto"/>
      <w:ind w:left="357" w:hanging="357"/>
      <w:jc w:val="both"/>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325B82"/>
    <w:rPr>
      <w:rFonts w:asciiTheme="majorHAnsi" w:eastAsiaTheme="majorEastAsia" w:hAnsiTheme="majorHAnsi" w:cstheme="majorBidi"/>
      <w:i/>
      <w:iCs/>
      <w:color w:val="5B9BD5" w:themeColor="accent1"/>
      <w:spacing w:val="15"/>
      <w:sz w:val="24"/>
      <w:szCs w:val="24"/>
    </w:rPr>
  </w:style>
  <w:style w:type="table" w:customStyle="1" w:styleId="TableGrid2">
    <w:name w:val="Table Grid2"/>
    <w:basedOn w:val="TableNormal"/>
    <w:next w:val="TableGrid"/>
    <w:uiPriority w:val="59"/>
    <w:rsid w:val="00325B82"/>
    <w:pPr>
      <w:spacing w:after="0" w:line="240" w:lineRule="auto"/>
      <w:ind w:left="357" w:hanging="35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325B82"/>
  </w:style>
  <w:style w:type="table" w:customStyle="1" w:styleId="TableGrid3">
    <w:name w:val="Table Grid3"/>
    <w:basedOn w:val="TableNormal"/>
    <w:next w:val="TableGrid"/>
    <w:uiPriority w:val="59"/>
    <w:rsid w:val="00325B82"/>
    <w:pPr>
      <w:spacing w:after="0" w:line="240" w:lineRule="auto"/>
      <w:ind w:left="357" w:hanging="35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25B82"/>
    <w:rPr>
      <w:color w:val="808080"/>
    </w:rPr>
  </w:style>
  <w:style w:type="character" w:customStyle="1" w:styleId="highlight">
    <w:name w:val="highlight"/>
    <w:basedOn w:val="DefaultParagraphFont"/>
    <w:rsid w:val="00325B82"/>
  </w:style>
  <w:style w:type="character" w:styleId="FollowedHyperlink">
    <w:name w:val="FollowedHyperlink"/>
    <w:basedOn w:val="DefaultParagraphFont"/>
    <w:uiPriority w:val="99"/>
    <w:semiHidden/>
    <w:unhideWhenUsed/>
    <w:rsid w:val="00325B82"/>
    <w:rPr>
      <w:color w:val="954F72" w:themeColor="followedHyperlink"/>
      <w:u w:val="single"/>
    </w:rPr>
  </w:style>
  <w:style w:type="table" w:customStyle="1" w:styleId="TableGrid11">
    <w:name w:val="Table Grid11"/>
    <w:basedOn w:val="TableNormal"/>
    <w:next w:val="TableGrid"/>
    <w:uiPriority w:val="59"/>
    <w:rsid w:val="00325B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325B82"/>
    <w:pPr>
      <w:spacing w:after="0" w:line="240" w:lineRule="auto"/>
      <w:ind w:left="357" w:hanging="35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325B82"/>
  </w:style>
  <w:style w:type="character" w:customStyle="1" w:styleId="apple-converted-space">
    <w:name w:val="apple-converted-space"/>
    <w:basedOn w:val="DefaultParagraphFont"/>
    <w:rsid w:val="00325B82"/>
  </w:style>
  <w:style w:type="table" w:customStyle="1" w:styleId="TableGrid4">
    <w:name w:val="Table Grid4"/>
    <w:basedOn w:val="TableNormal"/>
    <w:next w:val="TableGrid"/>
    <w:uiPriority w:val="39"/>
    <w:rsid w:val="00325B82"/>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25B82"/>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lang w:val="en-US" w:eastAsia="en-US"/>
    </w:rPr>
  </w:style>
  <w:style w:type="paragraph" w:styleId="TOC2">
    <w:name w:val="toc 2"/>
    <w:basedOn w:val="Normal"/>
    <w:next w:val="Normal"/>
    <w:autoRedefine/>
    <w:uiPriority w:val="39"/>
    <w:unhideWhenUsed/>
    <w:rsid w:val="00325B82"/>
    <w:pPr>
      <w:spacing w:after="100" w:line="259" w:lineRule="auto"/>
      <w:ind w:left="220"/>
    </w:pPr>
    <w:rPr>
      <w:rFonts w:eastAsiaTheme="minorEastAsia" w:cs="Times New Roman"/>
      <w:lang w:val="en-US"/>
    </w:rPr>
  </w:style>
  <w:style w:type="paragraph" w:styleId="TOC1">
    <w:name w:val="toc 1"/>
    <w:basedOn w:val="Normal"/>
    <w:next w:val="Normal"/>
    <w:autoRedefine/>
    <w:uiPriority w:val="39"/>
    <w:unhideWhenUsed/>
    <w:rsid w:val="00325B82"/>
    <w:pPr>
      <w:tabs>
        <w:tab w:val="right" w:leader="dot" w:pos="9016"/>
      </w:tabs>
      <w:spacing w:after="100" w:line="259" w:lineRule="auto"/>
    </w:pPr>
    <w:rPr>
      <w:rFonts w:asciiTheme="majorHAnsi" w:eastAsiaTheme="majorEastAsia" w:hAnsiTheme="majorHAnsi" w:cstheme="majorBidi"/>
      <w:b/>
      <w:noProof/>
      <w:spacing w:val="5"/>
      <w:kern w:val="28"/>
      <w:lang w:val="en-US"/>
    </w:rPr>
  </w:style>
  <w:style w:type="paragraph" w:styleId="TOC3">
    <w:name w:val="toc 3"/>
    <w:basedOn w:val="Normal"/>
    <w:next w:val="Normal"/>
    <w:autoRedefine/>
    <w:uiPriority w:val="39"/>
    <w:unhideWhenUsed/>
    <w:rsid w:val="00325B82"/>
    <w:pPr>
      <w:spacing w:after="100" w:line="259" w:lineRule="auto"/>
      <w:ind w:left="440"/>
    </w:pPr>
    <w:rPr>
      <w:rFonts w:eastAsiaTheme="minorEastAsia" w:cs="Times New Roman"/>
      <w:lang w:val="en-US"/>
    </w:rPr>
  </w:style>
  <w:style w:type="paragraph" w:styleId="TOC4">
    <w:name w:val="toc 4"/>
    <w:basedOn w:val="Normal"/>
    <w:next w:val="Normal"/>
    <w:autoRedefine/>
    <w:uiPriority w:val="39"/>
    <w:unhideWhenUsed/>
    <w:rsid w:val="00325B82"/>
    <w:pPr>
      <w:spacing w:after="100"/>
      <w:ind w:left="660"/>
    </w:pPr>
  </w:style>
  <w:style w:type="paragraph" w:styleId="TOC5">
    <w:name w:val="toc 5"/>
    <w:basedOn w:val="Normal"/>
    <w:next w:val="Normal"/>
    <w:autoRedefine/>
    <w:uiPriority w:val="39"/>
    <w:unhideWhenUsed/>
    <w:rsid w:val="00325B82"/>
    <w:pPr>
      <w:spacing w:after="100" w:line="259" w:lineRule="auto"/>
      <w:ind w:left="880"/>
    </w:pPr>
    <w:rPr>
      <w:rFonts w:eastAsiaTheme="minorEastAsia"/>
      <w:lang w:eastAsia="en-GB"/>
    </w:rPr>
  </w:style>
  <w:style w:type="paragraph" w:styleId="TOC6">
    <w:name w:val="toc 6"/>
    <w:basedOn w:val="Normal"/>
    <w:next w:val="Normal"/>
    <w:autoRedefine/>
    <w:uiPriority w:val="39"/>
    <w:unhideWhenUsed/>
    <w:rsid w:val="00325B82"/>
    <w:pPr>
      <w:spacing w:after="100" w:line="259" w:lineRule="auto"/>
      <w:ind w:left="1100"/>
    </w:pPr>
    <w:rPr>
      <w:rFonts w:eastAsiaTheme="minorEastAsia"/>
      <w:lang w:eastAsia="en-GB"/>
    </w:rPr>
  </w:style>
  <w:style w:type="paragraph" w:styleId="TOC7">
    <w:name w:val="toc 7"/>
    <w:basedOn w:val="Normal"/>
    <w:next w:val="Normal"/>
    <w:autoRedefine/>
    <w:uiPriority w:val="39"/>
    <w:unhideWhenUsed/>
    <w:rsid w:val="00325B82"/>
    <w:pPr>
      <w:spacing w:after="100" w:line="259" w:lineRule="auto"/>
      <w:ind w:left="1320"/>
    </w:pPr>
    <w:rPr>
      <w:rFonts w:eastAsiaTheme="minorEastAsia"/>
      <w:lang w:eastAsia="en-GB"/>
    </w:rPr>
  </w:style>
  <w:style w:type="paragraph" w:styleId="TOC8">
    <w:name w:val="toc 8"/>
    <w:basedOn w:val="Normal"/>
    <w:next w:val="Normal"/>
    <w:autoRedefine/>
    <w:uiPriority w:val="39"/>
    <w:unhideWhenUsed/>
    <w:rsid w:val="00325B82"/>
    <w:pPr>
      <w:spacing w:after="100" w:line="259" w:lineRule="auto"/>
      <w:ind w:left="1540"/>
    </w:pPr>
    <w:rPr>
      <w:rFonts w:eastAsiaTheme="minorEastAsia"/>
      <w:lang w:eastAsia="en-GB"/>
    </w:rPr>
  </w:style>
  <w:style w:type="paragraph" w:styleId="TOC9">
    <w:name w:val="toc 9"/>
    <w:basedOn w:val="Normal"/>
    <w:next w:val="Normal"/>
    <w:autoRedefine/>
    <w:uiPriority w:val="39"/>
    <w:unhideWhenUsed/>
    <w:rsid w:val="00325B82"/>
    <w:pPr>
      <w:spacing w:after="100" w:line="259" w:lineRule="auto"/>
      <w:ind w:left="1760"/>
    </w:pPr>
    <w:rPr>
      <w:rFonts w:eastAsiaTheme="minorEastAsia"/>
      <w:lang w:eastAsia="en-GB"/>
    </w:rPr>
  </w:style>
  <w:style w:type="paragraph" w:styleId="EndnoteText">
    <w:name w:val="endnote text"/>
    <w:basedOn w:val="Normal"/>
    <w:link w:val="EndnoteTextChar"/>
    <w:uiPriority w:val="99"/>
    <w:semiHidden/>
    <w:unhideWhenUsed/>
    <w:rsid w:val="00325B8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25B82"/>
    <w:rPr>
      <w:sz w:val="20"/>
      <w:szCs w:val="20"/>
    </w:rPr>
  </w:style>
  <w:style w:type="character" w:styleId="EndnoteReference">
    <w:name w:val="endnote reference"/>
    <w:basedOn w:val="DefaultParagraphFont"/>
    <w:uiPriority w:val="99"/>
    <w:semiHidden/>
    <w:unhideWhenUsed/>
    <w:rsid w:val="00325B82"/>
    <w:rPr>
      <w:vertAlign w:val="superscript"/>
    </w:rPr>
  </w:style>
  <w:style w:type="paragraph" w:styleId="Revision">
    <w:name w:val="Revision"/>
    <w:hidden/>
    <w:uiPriority w:val="99"/>
    <w:semiHidden/>
    <w:rsid w:val="00325B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u="sng"/>
              <a:t>Chart 1: Number of religious houses founded in the East Riding between 1100 and 1550</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1"/>
          <c:order val="0"/>
          <c:tx>
            <c:strRef>
              <c:f>Sheet1!$B$1</c:f>
              <c:strCache>
                <c:ptCount val="1"/>
                <c:pt idx="0">
                  <c:v>Number of houses founded in each 50-year period</c:v>
                </c:pt>
              </c:strCache>
            </c:strRef>
          </c:tx>
          <c:spPr>
            <a:solidFill>
              <a:schemeClr val="accent2"/>
            </a:solidFill>
            <a:ln>
              <a:noFill/>
            </a:ln>
            <a:effectLst/>
            <a:sp3d/>
          </c:spPr>
          <c:invertIfNegative val="0"/>
          <c:cat>
            <c:strRef>
              <c:f>Sheet1!$A$2:$A$10</c:f>
              <c:strCache>
                <c:ptCount val="9"/>
                <c:pt idx="0">
                  <c:v>1100-1149</c:v>
                </c:pt>
                <c:pt idx="1">
                  <c:v>1150-1199</c:v>
                </c:pt>
                <c:pt idx="2">
                  <c:v>1200-1249</c:v>
                </c:pt>
                <c:pt idx="3">
                  <c:v>1250-1299</c:v>
                </c:pt>
                <c:pt idx="4">
                  <c:v>1300-1349</c:v>
                </c:pt>
                <c:pt idx="5">
                  <c:v>1350-1399</c:v>
                </c:pt>
                <c:pt idx="6">
                  <c:v>1400-1449</c:v>
                </c:pt>
                <c:pt idx="7">
                  <c:v>1450-1499</c:v>
                </c:pt>
                <c:pt idx="8">
                  <c:v>1500-1549</c:v>
                </c:pt>
              </c:strCache>
            </c:strRef>
          </c:cat>
          <c:val>
            <c:numRef>
              <c:f>Sheet1!$B$2:$B$10</c:f>
              <c:numCache>
                <c:formatCode>General</c:formatCode>
                <c:ptCount val="9"/>
                <c:pt idx="0">
                  <c:v>4</c:v>
                </c:pt>
                <c:pt idx="1">
                  <c:v>8</c:v>
                </c:pt>
                <c:pt idx="2">
                  <c:v>4</c:v>
                </c:pt>
                <c:pt idx="3">
                  <c:v>3</c:v>
                </c:pt>
                <c:pt idx="4">
                  <c:v>5</c:v>
                </c:pt>
                <c:pt idx="5">
                  <c:v>0</c:v>
                </c:pt>
                <c:pt idx="6">
                  <c:v>0</c:v>
                </c:pt>
                <c:pt idx="7">
                  <c:v>0</c:v>
                </c:pt>
                <c:pt idx="8">
                  <c:v>0</c:v>
                </c:pt>
              </c:numCache>
            </c:numRef>
          </c:val>
          <c:extLst>
            <c:ext xmlns:c16="http://schemas.microsoft.com/office/drawing/2014/chart" uri="{C3380CC4-5D6E-409C-BE32-E72D297353CC}">
              <c16:uniqueId val="{00000000-9A8B-4292-8A6D-705AAA84DC32}"/>
            </c:ext>
          </c:extLst>
        </c:ser>
        <c:ser>
          <c:idx val="2"/>
          <c:order val="1"/>
          <c:tx>
            <c:strRef>
              <c:f>Sheet1!$C$1</c:f>
              <c:strCache>
                <c:ptCount val="1"/>
              </c:strCache>
            </c:strRef>
          </c:tx>
          <c:spPr>
            <a:solidFill>
              <a:schemeClr val="accent3"/>
            </a:solidFill>
            <a:ln>
              <a:noFill/>
            </a:ln>
            <a:effectLst/>
            <a:sp3d/>
          </c:spPr>
          <c:invertIfNegative val="0"/>
          <c:cat>
            <c:strRef>
              <c:f>Sheet1!$A$2:$A$10</c:f>
              <c:strCache>
                <c:ptCount val="9"/>
                <c:pt idx="0">
                  <c:v>1100-1149</c:v>
                </c:pt>
                <c:pt idx="1">
                  <c:v>1150-1199</c:v>
                </c:pt>
                <c:pt idx="2">
                  <c:v>1200-1249</c:v>
                </c:pt>
                <c:pt idx="3">
                  <c:v>1250-1299</c:v>
                </c:pt>
                <c:pt idx="4">
                  <c:v>1300-1349</c:v>
                </c:pt>
                <c:pt idx="5">
                  <c:v>1350-1399</c:v>
                </c:pt>
                <c:pt idx="6">
                  <c:v>1400-1449</c:v>
                </c:pt>
                <c:pt idx="7">
                  <c:v>1450-1499</c:v>
                </c:pt>
                <c:pt idx="8">
                  <c:v>1500-1549</c:v>
                </c:pt>
              </c:strCache>
            </c:strRef>
          </c:cat>
          <c:val>
            <c:numRef>
              <c:f>Sheet1!$D$2:$D$10</c:f>
              <c:numCache>
                <c:formatCode>General</c:formatCode>
                <c:ptCount val="9"/>
              </c:numCache>
            </c:numRef>
          </c:val>
          <c:extLst>
            <c:ext xmlns:c16="http://schemas.microsoft.com/office/drawing/2014/chart" uri="{C3380CC4-5D6E-409C-BE32-E72D297353CC}">
              <c16:uniqueId val="{00000001-9A8B-4292-8A6D-705AAA84DC32}"/>
            </c:ext>
          </c:extLst>
        </c:ser>
        <c:dLbls>
          <c:showLegendKey val="0"/>
          <c:showVal val="0"/>
          <c:showCatName val="0"/>
          <c:showSerName val="0"/>
          <c:showPercent val="0"/>
          <c:showBubbleSize val="0"/>
        </c:dLbls>
        <c:gapWidth val="150"/>
        <c:shape val="box"/>
        <c:axId val="689340367"/>
        <c:axId val="689338287"/>
        <c:axId val="0"/>
      </c:bar3DChart>
      <c:catAx>
        <c:axId val="68934036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9338287"/>
        <c:crosses val="autoZero"/>
        <c:auto val="1"/>
        <c:lblAlgn val="ctr"/>
        <c:lblOffset val="100"/>
        <c:noMultiLvlLbl val="0"/>
      </c:catAx>
      <c:valAx>
        <c:axId val="6893382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9340367"/>
        <c:crosses val="autoZero"/>
        <c:crossBetween val="between"/>
      </c:valAx>
      <c:spPr>
        <a:noFill/>
        <a:ln>
          <a:noFill/>
        </a:ln>
        <a:effectLst/>
      </c:spPr>
    </c:plotArea>
    <c:legend>
      <c:legendPos val="b"/>
      <c:legendEntry>
        <c:idx val="1"/>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400" u="sng"/>
              <a:t>Chart 2: Dates by which chantries in C16 ER Archdeaconry were founded between 1150 and 1549</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Date by which chantries in C16 ER Archdeaconry (including Hull) were founded</c:v>
                </c:pt>
              </c:strCache>
            </c:strRef>
          </c:tx>
          <c:invertIfNegative val="0"/>
          <c:cat>
            <c:strRef>
              <c:f>Sheet1!$A$2:$A$9</c:f>
              <c:strCache>
                <c:ptCount val="8"/>
                <c:pt idx="0">
                  <c:v>1150-1199</c:v>
                </c:pt>
                <c:pt idx="1">
                  <c:v>1200-1249</c:v>
                </c:pt>
                <c:pt idx="2">
                  <c:v>1250-1299</c:v>
                </c:pt>
                <c:pt idx="3">
                  <c:v>1300-1349</c:v>
                </c:pt>
                <c:pt idx="4">
                  <c:v>1350-1399</c:v>
                </c:pt>
                <c:pt idx="5">
                  <c:v>1400-1449</c:v>
                </c:pt>
                <c:pt idx="6">
                  <c:v>1450-1499</c:v>
                </c:pt>
                <c:pt idx="7">
                  <c:v>1500-1549</c:v>
                </c:pt>
              </c:strCache>
            </c:strRef>
          </c:cat>
          <c:val>
            <c:numRef>
              <c:f>Sheet1!$B$2:$B$9</c:f>
              <c:numCache>
                <c:formatCode>General</c:formatCode>
                <c:ptCount val="8"/>
                <c:pt idx="0">
                  <c:v>1</c:v>
                </c:pt>
                <c:pt idx="1">
                  <c:v>1</c:v>
                </c:pt>
                <c:pt idx="2">
                  <c:v>17</c:v>
                </c:pt>
                <c:pt idx="3">
                  <c:v>41</c:v>
                </c:pt>
                <c:pt idx="4">
                  <c:v>33</c:v>
                </c:pt>
                <c:pt idx="5">
                  <c:v>17</c:v>
                </c:pt>
                <c:pt idx="6">
                  <c:v>9</c:v>
                </c:pt>
                <c:pt idx="7">
                  <c:v>6</c:v>
                </c:pt>
              </c:numCache>
            </c:numRef>
          </c:val>
          <c:extLst>
            <c:ext xmlns:c16="http://schemas.microsoft.com/office/drawing/2014/chart" uri="{C3380CC4-5D6E-409C-BE32-E72D297353CC}">
              <c16:uniqueId val="{00000000-08E3-487E-A653-3B0B2E24E9E0}"/>
            </c:ext>
          </c:extLst>
        </c:ser>
        <c:dLbls>
          <c:showLegendKey val="0"/>
          <c:showVal val="0"/>
          <c:showCatName val="0"/>
          <c:showSerName val="0"/>
          <c:showPercent val="0"/>
          <c:showBubbleSize val="0"/>
        </c:dLbls>
        <c:gapWidth val="150"/>
        <c:shape val="box"/>
        <c:axId val="48048000"/>
        <c:axId val="48049536"/>
        <c:axId val="0"/>
      </c:bar3DChart>
      <c:catAx>
        <c:axId val="48048000"/>
        <c:scaling>
          <c:orientation val="minMax"/>
        </c:scaling>
        <c:delete val="0"/>
        <c:axPos val="b"/>
        <c:numFmt formatCode="General" sourceLinked="0"/>
        <c:majorTickMark val="out"/>
        <c:minorTickMark val="none"/>
        <c:tickLblPos val="nextTo"/>
        <c:crossAx val="48049536"/>
        <c:crosses val="autoZero"/>
        <c:auto val="1"/>
        <c:lblAlgn val="ctr"/>
        <c:lblOffset val="100"/>
        <c:noMultiLvlLbl val="0"/>
      </c:catAx>
      <c:valAx>
        <c:axId val="48049536"/>
        <c:scaling>
          <c:orientation val="minMax"/>
        </c:scaling>
        <c:delete val="0"/>
        <c:axPos val="l"/>
        <c:majorGridlines/>
        <c:numFmt formatCode="General" sourceLinked="1"/>
        <c:majorTickMark val="out"/>
        <c:minorTickMark val="none"/>
        <c:tickLblPos val="nextTo"/>
        <c:crossAx val="48048000"/>
        <c:crosses val="autoZero"/>
        <c:crossBetween val="between"/>
      </c:valAx>
    </c:plotArea>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29</Pages>
  <Words>7855</Words>
  <Characters>44777</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52527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Catharine Otton-Goulder</dc:creator>
  <cp:keywords/>
  <dc:description/>
  <cp:lastModifiedBy>Catharine Otton-Goulder</cp:lastModifiedBy>
  <cp:revision>1</cp:revision>
  <dcterms:created xsi:type="dcterms:W3CDTF">2022-02-23T21:45:00Z</dcterms:created>
  <dcterms:modified xsi:type="dcterms:W3CDTF">2022-02-23T21:46:00Z</dcterms:modified>
</cp:coreProperties>
</file>