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482" w:rsidRPr="002C4569" w:rsidRDefault="0026169F">
      <w:pPr>
        <w:rPr>
          <w:rFonts w:ascii="Arial" w:hAnsi="Arial" w:cs="Arial"/>
          <w:b/>
        </w:rPr>
      </w:pPr>
      <w:r w:rsidRPr="002C4569">
        <w:rPr>
          <w:rFonts w:ascii="Arial" w:hAnsi="Arial" w:cs="Arial"/>
          <w:b/>
        </w:rPr>
        <w:t>CLAHRC West Midlands: Health Economics</w:t>
      </w:r>
    </w:p>
    <w:p w:rsidR="0026169F" w:rsidRPr="00C5345F" w:rsidRDefault="0026169F">
      <w:pPr>
        <w:rPr>
          <w:rFonts w:ascii="Arial" w:hAnsi="Arial" w:cs="Arial"/>
        </w:rPr>
      </w:pPr>
    </w:p>
    <w:p w:rsidR="0026169F" w:rsidRPr="00C5345F" w:rsidRDefault="0026169F">
      <w:pPr>
        <w:rPr>
          <w:rFonts w:ascii="Arial" w:hAnsi="Arial" w:cs="Arial"/>
          <w:b/>
        </w:rPr>
      </w:pPr>
      <w:r w:rsidRPr="00C5345F">
        <w:rPr>
          <w:rFonts w:ascii="Arial" w:hAnsi="Arial" w:cs="Arial"/>
          <w:b/>
        </w:rPr>
        <w:t>Iodine supplementation is cost-saving for the health service and to society</w:t>
      </w:r>
    </w:p>
    <w:p w:rsidR="0026169F" w:rsidRPr="00C5345F" w:rsidRDefault="0026169F">
      <w:pPr>
        <w:rPr>
          <w:rFonts w:ascii="Arial" w:hAnsi="Arial" w:cs="Arial"/>
        </w:rPr>
      </w:pPr>
      <w:r w:rsidRPr="00C5345F">
        <w:rPr>
          <w:rFonts w:ascii="Arial" w:hAnsi="Arial" w:cs="Arial"/>
        </w:rPr>
        <w:t>A model-based economic evaluation, using data from published literature and expert clinical input, was used to compare the costs and benefits of iodine supplementation for singleton pregnant women with a mild-to-moderate iodine deficiency versus ‘standard care’.</w:t>
      </w:r>
    </w:p>
    <w:p w:rsidR="0026169F" w:rsidRPr="00C5345F" w:rsidRDefault="0026169F">
      <w:pPr>
        <w:rPr>
          <w:rFonts w:ascii="Arial" w:hAnsi="Arial" w:cs="Arial"/>
        </w:rPr>
      </w:pPr>
      <w:r w:rsidRPr="00C5345F">
        <w:rPr>
          <w:rFonts w:ascii="Arial" w:hAnsi="Arial" w:cs="Arial"/>
        </w:rPr>
        <w:t>A decision-tree model was used to carry-out two analyses of the costs and benefit</w:t>
      </w:r>
      <w:r w:rsidR="00E50FD7" w:rsidRPr="00C5345F">
        <w:rPr>
          <w:rFonts w:ascii="Arial" w:hAnsi="Arial" w:cs="Arial"/>
        </w:rPr>
        <w:t>s</w:t>
      </w:r>
      <w:r w:rsidRPr="00C5345F">
        <w:rPr>
          <w:rFonts w:ascii="Arial" w:hAnsi="Arial" w:cs="Arial"/>
        </w:rPr>
        <w:t xml:space="preserve"> from a health service perspective and a wider societal perspective. Conservative assumptions were used regarding benefits, and potentially overestimating adverse outcomes. </w:t>
      </w:r>
    </w:p>
    <w:p w:rsidR="00E50FD7" w:rsidRPr="00C5345F" w:rsidRDefault="00E50FD7">
      <w:pPr>
        <w:rPr>
          <w:rFonts w:ascii="Arial" w:hAnsi="Arial" w:cs="Arial"/>
        </w:rPr>
      </w:pPr>
      <w:r w:rsidRPr="00C5345F">
        <w:rPr>
          <w:rFonts w:ascii="Arial" w:hAnsi="Arial" w:cs="Arial"/>
        </w:rPr>
        <w:t xml:space="preserve">Iodine supplementation was shown to be ‘dominant’ in both scenarios. The </w:t>
      </w:r>
      <w:r w:rsidR="00C5345F" w:rsidRPr="00C5345F">
        <w:rPr>
          <w:rFonts w:ascii="Arial" w:hAnsi="Arial" w:cs="Arial"/>
        </w:rPr>
        <w:t>analysis showe</w:t>
      </w:r>
      <w:r w:rsidRPr="00C5345F">
        <w:rPr>
          <w:rFonts w:ascii="Arial" w:hAnsi="Arial" w:cs="Arial"/>
        </w:rPr>
        <w:t>d</w:t>
      </w:r>
      <w:r w:rsidR="00C5345F" w:rsidRPr="00C5345F">
        <w:rPr>
          <w:rFonts w:ascii="Arial" w:hAnsi="Arial" w:cs="Arial"/>
        </w:rPr>
        <w:t xml:space="preserve"> </w:t>
      </w:r>
      <w:r w:rsidR="00C5345F">
        <w:rPr>
          <w:rFonts w:ascii="Arial" w:hAnsi="Arial" w:cs="Arial"/>
        </w:rPr>
        <w:t>the following:</w:t>
      </w:r>
    </w:p>
    <w:tbl>
      <w:tblPr>
        <w:tblStyle w:val="TableGrid"/>
        <w:tblW w:w="0" w:type="auto"/>
        <w:tblLook w:val="04A0" w:firstRow="1" w:lastRow="0" w:firstColumn="1" w:lastColumn="0" w:noHBand="0" w:noVBand="1"/>
      </w:tblPr>
      <w:tblGrid>
        <w:gridCol w:w="1980"/>
        <w:gridCol w:w="3260"/>
        <w:gridCol w:w="3119"/>
      </w:tblGrid>
      <w:tr w:rsidR="00C5345F" w:rsidRPr="00C5345F" w:rsidTr="00C5345F">
        <w:tc>
          <w:tcPr>
            <w:tcW w:w="1980" w:type="dxa"/>
          </w:tcPr>
          <w:p w:rsidR="00C5345F" w:rsidRPr="00C5345F" w:rsidRDefault="00C5345F">
            <w:pPr>
              <w:rPr>
                <w:rFonts w:ascii="Arial" w:hAnsi="Arial" w:cs="Arial"/>
                <w:b/>
              </w:rPr>
            </w:pPr>
            <w:r w:rsidRPr="00C5345F">
              <w:rPr>
                <w:rFonts w:ascii="Arial" w:hAnsi="Arial" w:cs="Arial"/>
                <w:b/>
              </w:rPr>
              <w:t>Perspective</w:t>
            </w:r>
          </w:p>
        </w:tc>
        <w:tc>
          <w:tcPr>
            <w:tcW w:w="3260" w:type="dxa"/>
          </w:tcPr>
          <w:p w:rsidR="00C5345F" w:rsidRPr="00C5345F" w:rsidRDefault="00C5345F">
            <w:pPr>
              <w:rPr>
                <w:rFonts w:ascii="Arial" w:hAnsi="Arial" w:cs="Arial"/>
                <w:b/>
              </w:rPr>
            </w:pPr>
            <w:r w:rsidRPr="00C5345F">
              <w:rPr>
                <w:rFonts w:ascii="Arial" w:hAnsi="Arial" w:cs="Arial"/>
                <w:b/>
              </w:rPr>
              <w:t>Cost-saving per month</w:t>
            </w:r>
          </w:p>
        </w:tc>
        <w:tc>
          <w:tcPr>
            <w:tcW w:w="3119" w:type="dxa"/>
          </w:tcPr>
          <w:p w:rsidR="00C5345F" w:rsidRPr="00C5345F" w:rsidRDefault="00C5345F">
            <w:pPr>
              <w:rPr>
                <w:rFonts w:ascii="Arial" w:hAnsi="Arial" w:cs="Arial"/>
                <w:b/>
              </w:rPr>
            </w:pPr>
            <w:r w:rsidRPr="00C5345F">
              <w:rPr>
                <w:rFonts w:ascii="Arial" w:hAnsi="Arial" w:cs="Arial"/>
                <w:b/>
              </w:rPr>
              <w:t>Average gain of IQ for child</w:t>
            </w:r>
          </w:p>
        </w:tc>
      </w:tr>
      <w:tr w:rsidR="00C5345F" w:rsidRPr="00C5345F" w:rsidTr="00C5345F">
        <w:tc>
          <w:tcPr>
            <w:tcW w:w="1980" w:type="dxa"/>
          </w:tcPr>
          <w:p w:rsidR="00C5345F" w:rsidRPr="00C5345F" w:rsidRDefault="00C5345F">
            <w:pPr>
              <w:rPr>
                <w:rFonts w:ascii="Arial" w:hAnsi="Arial" w:cs="Arial"/>
              </w:rPr>
            </w:pPr>
            <w:r w:rsidRPr="00C5345F">
              <w:rPr>
                <w:rFonts w:ascii="Arial" w:hAnsi="Arial" w:cs="Arial"/>
              </w:rPr>
              <w:t>Health service</w:t>
            </w:r>
          </w:p>
        </w:tc>
        <w:tc>
          <w:tcPr>
            <w:tcW w:w="3260" w:type="dxa"/>
          </w:tcPr>
          <w:p w:rsidR="00C5345F" w:rsidRPr="00C5345F" w:rsidRDefault="00C5345F">
            <w:pPr>
              <w:rPr>
                <w:rFonts w:ascii="Arial" w:hAnsi="Arial" w:cs="Arial"/>
              </w:rPr>
            </w:pPr>
            <w:r w:rsidRPr="00C5345F">
              <w:rPr>
                <w:rFonts w:ascii="Arial" w:hAnsi="Arial" w:cs="Arial"/>
              </w:rPr>
              <w:t>£199</w:t>
            </w:r>
          </w:p>
        </w:tc>
        <w:tc>
          <w:tcPr>
            <w:tcW w:w="3119" w:type="dxa"/>
          </w:tcPr>
          <w:p w:rsidR="00C5345F" w:rsidRPr="00C5345F" w:rsidRDefault="00C5345F">
            <w:pPr>
              <w:rPr>
                <w:rFonts w:ascii="Arial" w:hAnsi="Arial" w:cs="Arial"/>
              </w:rPr>
            </w:pPr>
            <w:r w:rsidRPr="00C5345F">
              <w:rPr>
                <w:rFonts w:ascii="Arial" w:hAnsi="Arial" w:cs="Arial"/>
              </w:rPr>
              <w:t>1.22</w:t>
            </w:r>
          </w:p>
        </w:tc>
      </w:tr>
      <w:tr w:rsidR="00C5345F" w:rsidRPr="00C5345F" w:rsidTr="00C5345F">
        <w:tc>
          <w:tcPr>
            <w:tcW w:w="1980" w:type="dxa"/>
          </w:tcPr>
          <w:p w:rsidR="00C5345F" w:rsidRPr="00C5345F" w:rsidRDefault="00C5345F">
            <w:pPr>
              <w:rPr>
                <w:rFonts w:ascii="Arial" w:hAnsi="Arial" w:cs="Arial"/>
              </w:rPr>
            </w:pPr>
            <w:r w:rsidRPr="00C5345F">
              <w:rPr>
                <w:rFonts w:ascii="Arial" w:hAnsi="Arial" w:cs="Arial"/>
              </w:rPr>
              <w:t>Societal</w:t>
            </w:r>
          </w:p>
        </w:tc>
        <w:tc>
          <w:tcPr>
            <w:tcW w:w="3260" w:type="dxa"/>
          </w:tcPr>
          <w:p w:rsidR="00C5345F" w:rsidRPr="00C5345F" w:rsidRDefault="00C5345F">
            <w:pPr>
              <w:rPr>
                <w:rFonts w:ascii="Arial" w:hAnsi="Arial" w:cs="Arial"/>
              </w:rPr>
            </w:pPr>
            <w:r w:rsidRPr="00C5345F">
              <w:rPr>
                <w:rFonts w:ascii="Arial" w:hAnsi="Arial" w:cs="Arial"/>
              </w:rPr>
              <w:t>£4475</w:t>
            </w:r>
          </w:p>
        </w:tc>
        <w:tc>
          <w:tcPr>
            <w:tcW w:w="3119" w:type="dxa"/>
          </w:tcPr>
          <w:p w:rsidR="00C5345F" w:rsidRPr="00C5345F" w:rsidRDefault="00C5345F">
            <w:pPr>
              <w:rPr>
                <w:rFonts w:ascii="Arial" w:hAnsi="Arial" w:cs="Arial"/>
              </w:rPr>
            </w:pPr>
            <w:r w:rsidRPr="00C5345F">
              <w:rPr>
                <w:rFonts w:ascii="Arial" w:hAnsi="Arial" w:cs="Arial"/>
              </w:rPr>
              <w:t>1.22</w:t>
            </w:r>
          </w:p>
        </w:tc>
      </w:tr>
    </w:tbl>
    <w:p w:rsidR="00C5345F" w:rsidRPr="00C5345F" w:rsidRDefault="00C5345F">
      <w:pPr>
        <w:rPr>
          <w:rFonts w:ascii="Arial" w:hAnsi="Arial" w:cs="Arial"/>
        </w:rPr>
      </w:pPr>
    </w:p>
    <w:p w:rsidR="00834DE7" w:rsidRDefault="00C5345F">
      <w:pPr>
        <w:rPr>
          <w:rFonts w:ascii="Arial" w:hAnsi="Arial" w:cs="Arial"/>
        </w:rPr>
      </w:pPr>
      <w:r>
        <w:rPr>
          <w:rFonts w:ascii="Arial" w:hAnsi="Arial" w:cs="Arial"/>
        </w:rPr>
        <w:t>These findings suggest that iodine supplementation c</w:t>
      </w:r>
      <w:r w:rsidR="00834DE7">
        <w:rPr>
          <w:rFonts w:ascii="Arial" w:hAnsi="Arial" w:cs="Arial"/>
        </w:rPr>
        <w:t>ould save money and improve a child’s IQ. Current evidence suggests that a policy to introduce iodine supplementation during pregnancy would be beneficial to both the health service and society.</w:t>
      </w:r>
    </w:p>
    <w:p w:rsidR="00834DE7" w:rsidRDefault="00834DE7">
      <w:pPr>
        <w:rPr>
          <w:rFonts w:ascii="Arial" w:hAnsi="Arial" w:cs="Arial"/>
        </w:rPr>
      </w:pPr>
      <w:r>
        <w:rPr>
          <w:rFonts w:ascii="Arial" w:hAnsi="Arial" w:cs="Arial"/>
        </w:rPr>
        <w:t>This work was conducted by the prevention and detection of diseases Theme by collaborators at the University of Birmingham and published in the Lancet Diabetes and Endocrinology journal and also as a CLAHRC WM BITE.</w:t>
      </w:r>
    </w:p>
    <w:p w:rsidR="00834DE7" w:rsidRDefault="00834DE7" w:rsidP="00834DE7">
      <w:pPr>
        <w:rPr>
          <w:rFonts w:ascii="Arial" w:hAnsi="Arial" w:cs="Arial"/>
        </w:rPr>
      </w:pPr>
      <w:r w:rsidRPr="00834DE7">
        <w:rPr>
          <w:rFonts w:ascii="Arial" w:hAnsi="Arial" w:cs="Arial"/>
        </w:rPr>
        <w:t xml:space="preserve">Monahan M, </w:t>
      </w:r>
      <w:proofErr w:type="spellStart"/>
      <w:r w:rsidRPr="00834DE7">
        <w:rPr>
          <w:rFonts w:ascii="Arial" w:hAnsi="Arial" w:cs="Arial"/>
        </w:rPr>
        <w:t>Boelaert</w:t>
      </w:r>
      <w:proofErr w:type="spellEnd"/>
      <w:r w:rsidRPr="00834DE7">
        <w:rPr>
          <w:rFonts w:ascii="Arial" w:hAnsi="Arial" w:cs="Arial"/>
        </w:rPr>
        <w:t xml:space="preserve"> K, Jolly K, et al. </w:t>
      </w:r>
      <w:hyperlink r:id="rId6" w:history="1">
        <w:r w:rsidRPr="00677535">
          <w:rPr>
            <w:rStyle w:val="Hyperlink"/>
            <w:rFonts w:ascii="Arial" w:hAnsi="Arial" w:cs="Arial"/>
          </w:rPr>
          <w:t>Costs and benefits of iodine supplementation for pregnant women in a mildly to moderately iodine-deficient population: a modelling analysis</w:t>
        </w:r>
      </w:hyperlink>
      <w:r w:rsidRPr="00834DE7">
        <w:rPr>
          <w:rFonts w:ascii="Arial" w:hAnsi="Arial" w:cs="Arial"/>
        </w:rPr>
        <w:t xml:space="preserve">. </w:t>
      </w:r>
      <w:r w:rsidRPr="00E64A30">
        <w:rPr>
          <w:rFonts w:ascii="Arial" w:hAnsi="Arial" w:cs="Arial"/>
          <w:i/>
        </w:rPr>
        <w:t xml:space="preserve">Lancet Diabetes </w:t>
      </w:r>
      <w:proofErr w:type="spellStart"/>
      <w:r w:rsidRPr="00E64A30">
        <w:rPr>
          <w:rFonts w:ascii="Arial" w:hAnsi="Arial" w:cs="Arial"/>
          <w:i/>
        </w:rPr>
        <w:t>Endocrinol</w:t>
      </w:r>
      <w:proofErr w:type="spellEnd"/>
      <w:r w:rsidRPr="00E64A30">
        <w:rPr>
          <w:rFonts w:ascii="Arial" w:hAnsi="Arial" w:cs="Arial"/>
          <w:i/>
        </w:rPr>
        <w:t>.</w:t>
      </w:r>
      <w:r w:rsidRPr="00834DE7">
        <w:rPr>
          <w:rFonts w:ascii="Arial" w:hAnsi="Arial" w:cs="Arial"/>
        </w:rPr>
        <w:t xml:space="preserve"> 2015; 3(9): 715-22.</w:t>
      </w:r>
    </w:p>
    <w:p w:rsidR="00E64A30" w:rsidRDefault="00DE6FC2" w:rsidP="00834DE7">
      <w:pPr>
        <w:rPr>
          <w:rStyle w:val="Hyperlink"/>
          <w:rFonts w:ascii="Arial" w:hAnsi="Arial" w:cs="Arial"/>
        </w:rPr>
      </w:pPr>
      <w:hyperlink r:id="rId7" w:history="1">
        <w:r w:rsidR="00E64A30" w:rsidRPr="00E64A30">
          <w:rPr>
            <w:rStyle w:val="Hyperlink"/>
            <w:rFonts w:ascii="Arial" w:hAnsi="Arial" w:cs="Arial"/>
          </w:rPr>
          <w:t>See CLAHRC WM BITE 17 here</w:t>
        </w:r>
      </w:hyperlink>
    </w:p>
    <w:p w:rsidR="004D1FE0" w:rsidRDefault="004D1FE0" w:rsidP="00834DE7">
      <w:pPr>
        <w:rPr>
          <w:rStyle w:val="Hyperlink"/>
          <w:rFonts w:ascii="Arial" w:hAnsi="Arial" w:cs="Arial"/>
        </w:rPr>
      </w:pPr>
    </w:p>
    <w:p w:rsidR="004D1FE0" w:rsidRPr="004D1FE0" w:rsidRDefault="004D1FE0" w:rsidP="004D1FE0">
      <w:pPr>
        <w:rPr>
          <w:rFonts w:ascii="Arial" w:hAnsi="Arial" w:cs="Arial"/>
          <w:b/>
        </w:rPr>
      </w:pPr>
      <w:r w:rsidRPr="004D1FE0">
        <w:rPr>
          <w:rFonts w:ascii="Arial" w:hAnsi="Arial" w:cs="Arial"/>
          <w:b/>
        </w:rPr>
        <w:t>Stockpiling neuraminidase in</w:t>
      </w:r>
      <w:r>
        <w:rPr>
          <w:rFonts w:ascii="Arial" w:hAnsi="Arial" w:cs="Arial"/>
          <w:b/>
        </w:rPr>
        <w:t>hibitors for pandemic influenza</w:t>
      </w:r>
    </w:p>
    <w:p w:rsidR="004D1FE0" w:rsidRPr="004D1FE0" w:rsidRDefault="004D1FE0" w:rsidP="004D1FE0">
      <w:pPr>
        <w:rPr>
          <w:rFonts w:ascii="Arial" w:hAnsi="Arial" w:cs="Arial"/>
        </w:rPr>
      </w:pPr>
      <w:r w:rsidRPr="004D1FE0">
        <w:rPr>
          <w:rFonts w:ascii="Arial" w:hAnsi="Arial" w:cs="Arial"/>
        </w:rPr>
        <w:t>Pandemic influenza is one of the highest-risk, highest impact events that the government has to prepare for. One policy option is to stock pile anti-influenza drugs, neuraminidase inhibitors (NAI). However, there is a lot of uncertainty surrounding the effectiveness of NAIs, and a stockpile can be expensive. While RCT evidence shows some evidence of reduction in symptoms, improved time to alleviation of symptoms, and reduced risk of pneumonia, little is known about its effects on mortality given than deaths from seasonal influenza are rare. A meta-analysis of observational data from the 2009 influenza pandemic did show some evidence of a reduction in risk of mortality associated with NAIs, but some critics argued that this</w:t>
      </w:r>
      <w:r>
        <w:rPr>
          <w:rFonts w:ascii="Arial" w:hAnsi="Arial" w:cs="Arial"/>
        </w:rPr>
        <w:t xml:space="preserve"> evidence was subject to bias. </w:t>
      </w:r>
    </w:p>
    <w:p w:rsidR="004D1FE0" w:rsidRPr="004D1FE0" w:rsidRDefault="004D1FE0" w:rsidP="004D1FE0">
      <w:pPr>
        <w:rPr>
          <w:rFonts w:ascii="Arial" w:hAnsi="Arial" w:cs="Arial"/>
        </w:rPr>
      </w:pPr>
      <w:r w:rsidRPr="004D1FE0">
        <w:rPr>
          <w:rFonts w:ascii="Arial" w:hAnsi="Arial" w:cs="Arial"/>
        </w:rPr>
        <w:t>A simple decision analysis was conducted to estimate the expected net benefits of stockpiling NAIs. The effectiveness evidence was ‘bias adjusted’ through a process of expert elicitation and extrapolated to total numbers of deaths averted. The distributions of epidemiological parameters, such as the clinical attack rate, were estimated from previous influenza pandemics.</w:t>
      </w:r>
    </w:p>
    <w:p w:rsidR="004D1FE0" w:rsidRPr="004D1FE0" w:rsidRDefault="004D1FE0" w:rsidP="004D1FE0">
      <w:pPr>
        <w:rPr>
          <w:rFonts w:ascii="Arial" w:hAnsi="Arial" w:cs="Arial"/>
        </w:rPr>
      </w:pPr>
    </w:p>
    <w:p w:rsidR="004D1FE0" w:rsidRPr="004D1FE0" w:rsidRDefault="004D1FE0" w:rsidP="004D1FE0">
      <w:pPr>
        <w:rPr>
          <w:rFonts w:ascii="Arial" w:hAnsi="Arial" w:cs="Arial"/>
        </w:rPr>
      </w:pPr>
      <w:r w:rsidRPr="004D1FE0">
        <w:rPr>
          <w:rFonts w:ascii="Arial" w:hAnsi="Arial" w:cs="Arial"/>
        </w:rPr>
        <w:lastRenderedPageBreak/>
        <w:t>The expected net benefit of the stockpile was positive, suggesting a decision maker should stockpile, given an objective of maximising total population health. There was a 77% probability the stockpile had negative net benefits; in many cases the stockpile expired without a pandemic arising. However, the potentially large gains from a rare but sever</w:t>
      </w:r>
      <w:r>
        <w:rPr>
          <w:rFonts w:ascii="Arial" w:hAnsi="Arial" w:cs="Arial"/>
        </w:rPr>
        <w:t xml:space="preserve">e pandemic justified the cost. </w:t>
      </w:r>
    </w:p>
    <w:p w:rsidR="004D1FE0" w:rsidRDefault="004D1FE0" w:rsidP="004D1FE0">
      <w:pPr>
        <w:rPr>
          <w:rFonts w:ascii="Arial" w:hAnsi="Arial" w:cs="Arial"/>
        </w:rPr>
      </w:pPr>
      <w:r w:rsidRPr="004D1FE0">
        <w:rPr>
          <w:rFonts w:ascii="Arial" w:hAnsi="Arial" w:cs="Arial"/>
        </w:rPr>
        <w:t>Controversies still exist around the use of NAIs for pandemic influenza. This study was not designed to be proscriptive but it is hoped to provide a transparent, methodological framework within which to make a decision.</w:t>
      </w:r>
    </w:p>
    <w:p w:rsidR="004D1FE0" w:rsidRDefault="004D1FE0" w:rsidP="004D1FE0">
      <w:pPr>
        <w:rPr>
          <w:rFonts w:ascii="Arial" w:hAnsi="Arial" w:cs="Arial"/>
        </w:rPr>
      </w:pPr>
      <w:r>
        <w:rPr>
          <w:rFonts w:ascii="Arial" w:hAnsi="Arial" w:cs="Arial"/>
        </w:rPr>
        <w:t xml:space="preserve">This study was supported by the </w:t>
      </w:r>
      <w:r w:rsidR="00267735">
        <w:rPr>
          <w:rFonts w:ascii="Arial" w:hAnsi="Arial" w:cs="Arial"/>
        </w:rPr>
        <w:t>R</w:t>
      </w:r>
      <w:r>
        <w:rPr>
          <w:rFonts w:ascii="Arial" w:hAnsi="Arial" w:cs="Arial"/>
        </w:rPr>
        <w:t xml:space="preserve">esearch </w:t>
      </w:r>
      <w:r w:rsidR="00267735">
        <w:rPr>
          <w:rFonts w:ascii="Arial" w:hAnsi="Arial" w:cs="Arial"/>
        </w:rPr>
        <w:t>M</w:t>
      </w:r>
      <w:r>
        <w:rPr>
          <w:rFonts w:ascii="Arial" w:hAnsi="Arial" w:cs="Arial"/>
        </w:rPr>
        <w:t xml:space="preserve">ethods </w:t>
      </w:r>
      <w:r w:rsidR="00267735">
        <w:rPr>
          <w:rFonts w:ascii="Arial" w:hAnsi="Arial" w:cs="Arial"/>
        </w:rPr>
        <w:t>t</w:t>
      </w:r>
      <w:r>
        <w:rPr>
          <w:rFonts w:ascii="Arial" w:hAnsi="Arial" w:cs="Arial"/>
        </w:rPr>
        <w:t>heme and led by rese</w:t>
      </w:r>
      <w:r w:rsidR="000748DA">
        <w:rPr>
          <w:rFonts w:ascii="Arial" w:hAnsi="Arial" w:cs="Arial"/>
        </w:rPr>
        <w:t>arch</w:t>
      </w:r>
      <w:r>
        <w:rPr>
          <w:rFonts w:ascii="Arial" w:hAnsi="Arial" w:cs="Arial"/>
        </w:rPr>
        <w:t xml:space="preserve"> fellow </w:t>
      </w:r>
      <w:hyperlink r:id="rId8" w:anchor="SamWarson" w:history="1">
        <w:r w:rsidRPr="004D1FE0">
          <w:rPr>
            <w:rStyle w:val="Hyperlink"/>
            <w:rFonts w:ascii="Arial" w:hAnsi="Arial" w:cs="Arial"/>
          </w:rPr>
          <w:t>Dr Sam Watson</w:t>
        </w:r>
      </w:hyperlink>
      <w:r w:rsidR="000748DA">
        <w:rPr>
          <w:rFonts w:ascii="Arial" w:hAnsi="Arial" w:cs="Arial"/>
        </w:rPr>
        <w:t xml:space="preserve"> at University of Warwick.</w:t>
      </w:r>
    </w:p>
    <w:p w:rsidR="004D1FE0" w:rsidRDefault="00267735" w:rsidP="004D1FE0">
      <w:pPr>
        <w:rPr>
          <w:rFonts w:ascii="Arial" w:hAnsi="Arial" w:cs="Arial"/>
        </w:rPr>
      </w:pPr>
      <w:r w:rsidRPr="00DE6FC2">
        <w:rPr>
          <w:rFonts w:ascii="Arial" w:hAnsi="Arial" w:cs="Arial"/>
        </w:rPr>
        <w:t>Watson SI, Chen Y-F, Nguyen-Van-Tam JS, et a</w:t>
      </w:r>
      <w:r w:rsidR="006260D2" w:rsidRPr="00DE6FC2">
        <w:rPr>
          <w:rFonts w:ascii="Arial" w:hAnsi="Arial" w:cs="Arial"/>
        </w:rPr>
        <w:t xml:space="preserve">l. </w:t>
      </w:r>
      <w:hyperlink r:id="rId9" w:history="1">
        <w:r w:rsidR="006260D2" w:rsidRPr="00DE6FC2">
          <w:rPr>
            <w:rStyle w:val="Hyperlink"/>
            <w:rFonts w:ascii="Arial" w:hAnsi="Arial" w:cs="Arial"/>
          </w:rPr>
          <w:t>Evidence synthesis and decision modelling to support complex decisions: stockpiling neuraminidase inhibitors for pandemic influenza usage</w:t>
        </w:r>
      </w:hyperlink>
      <w:bookmarkStart w:id="0" w:name="_GoBack"/>
      <w:bookmarkEnd w:id="0"/>
      <w:r w:rsidR="006260D2" w:rsidRPr="00DE6FC2">
        <w:rPr>
          <w:rFonts w:ascii="Arial" w:hAnsi="Arial" w:cs="Arial"/>
        </w:rPr>
        <w:t xml:space="preserve">. </w:t>
      </w:r>
      <w:proofErr w:type="gramStart"/>
      <w:r w:rsidR="006260D2" w:rsidRPr="00DE6FC2">
        <w:rPr>
          <w:rFonts w:ascii="Arial" w:hAnsi="Arial" w:cs="Arial"/>
          <w:i/>
        </w:rPr>
        <w:t>F1000 Research</w:t>
      </w:r>
      <w:r w:rsidR="006260D2" w:rsidRPr="00DE6FC2">
        <w:rPr>
          <w:rFonts w:ascii="Arial" w:hAnsi="Arial" w:cs="Arial"/>
        </w:rPr>
        <w:t>.</w:t>
      </w:r>
      <w:proofErr w:type="gramEnd"/>
      <w:r w:rsidR="006260D2" w:rsidRPr="00DE6FC2">
        <w:rPr>
          <w:rFonts w:ascii="Arial" w:hAnsi="Arial" w:cs="Arial"/>
        </w:rPr>
        <w:t xml:space="preserve"> </w:t>
      </w:r>
      <w:proofErr w:type="gramStart"/>
      <w:r w:rsidR="006260D2" w:rsidRPr="00DE6FC2">
        <w:rPr>
          <w:rFonts w:ascii="Arial" w:hAnsi="Arial" w:cs="Arial"/>
        </w:rPr>
        <w:t xml:space="preserve">2016; </w:t>
      </w:r>
      <w:r w:rsidR="006260D2" w:rsidRPr="00DE6FC2">
        <w:rPr>
          <w:rFonts w:ascii="Arial" w:hAnsi="Arial" w:cs="Arial"/>
          <w:b/>
        </w:rPr>
        <w:t>5</w:t>
      </w:r>
      <w:r w:rsidR="006260D2" w:rsidRPr="00DE6FC2">
        <w:rPr>
          <w:rFonts w:ascii="Arial" w:hAnsi="Arial" w:cs="Arial"/>
        </w:rPr>
        <w:t>: 2293.</w:t>
      </w:r>
      <w:proofErr w:type="gramEnd"/>
      <w:r w:rsidRPr="00DE6FC2">
        <w:rPr>
          <w:rFonts w:ascii="Arial" w:hAnsi="Arial" w:cs="Arial"/>
        </w:rPr>
        <w:t xml:space="preserve"> </w:t>
      </w:r>
    </w:p>
    <w:p w:rsidR="004D1FE0" w:rsidRPr="004D1FE0" w:rsidRDefault="004D1FE0" w:rsidP="004D1FE0">
      <w:pPr>
        <w:rPr>
          <w:rFonts w:ascii="Arial" w:hAnsi="Arial" w:cs="Arial"/>
        </w:rPr>
      </w:pPr>
      <w:r>
        <w:rPr>
          <w:rFonts w:ascii="Arial" w:hAnsi="Arial" w:cs="Arial"/>
        </w:rPr>
        <w:t>Sam</w:t>
      </w:r>
      <w:r w:rsidR="000748DA">
        <w:rPr>
          <w:rFonts w:ascii="Arial" w:hAnsi="Arial" w:cs="Arial"/>
        </w:rPr>
        <w:t xml:space="preserve"> is</w:t>
      </w:r>
      <w:r>
        <w:rPr>
          <w:rFonts w:ascii="Arial" w:hAnsi="Arial" w:cs="Arial"/>
        </w:rPr>
        <w:t xml:space="preserve"> also </w:t>
      </w:r>
      <w:r w:rsidR="000748DA">
        <w:rPr>
          <w:rFonts w:ascii="Arial" w:hAnsi="Arial" w:cs="Arial"/>
        </w:rPr>
        <w:t>the editor</w:t>
      </w:r>
      <w:r>
        <w:rPr>
          <w:rFonts w:ascii="Arial" w:hAnsi="Arial" w:cs="Arial"/>
        </w:rPr>
        <w:t xml:space="preserve"> an interesting </w:t>
      </w:r>
      <w:r w:rsidR="000748DA">
        <w:rPr>
          <w:rFonts w:ascii="Arial" w:hAnsi="Arial" w:cs="Arial"/>
        </w:rPr>
        <w:t>blog;</w:t>
      </w:r>
      <w:r>
        <w:rPr>
          <w:rFonts w:ascii="Arial" w:hAnsi="Arial" w:cs="Arial"/>
        </w:rPr>
        <w:t xml:space="preserve"> you may like to </w:t>
      </w:r>
      <w:r w:rsidR="000748DA">
        <w:rPr>
          <w:rFonts w:ascii="Arial" w:hAnsi="Arial" w:cs="Arial"/>
        </w:rPr>
        <w:t>subscribe to</w:t>
      </w:r>
      <w:r>
        <w:rPr>
          <w:rFonts w:ascii="Arial" w:hAnsi="Arial" w:cs="Arial"/>
        </w:rPr>
        <w:t xml:space="preserve"> this here: </w:t>
      </w:r>
      <w:hyperlink r:id="rId10" w:history="1">
        <w:r w:rsidRPr="00100267">
          <w:rPr>
            <w:rStyle w:val="Hyperlink"/>
            <w:rFonts w:ascii="Arial" w:hAnsi="Arial" w:cs="Arial"/>
          </w:rPr>
          <w:t>https://aheblog.com/</w:t>
        </w:r>
      </w:hyperlink>
      <w:r>
        <w:rPr>
          <w:rFonts w:ascii="Arial" w:hAnsi="Arial" w:cs="Arial"/>
        </w:rPr>
        <w:t xml:space="preserve"> </w:t>
      </w:r>
    </w:p>
    <w:p w:rsidR="00EB53A7" w:rsidRDefault="00EB53A7" w:rsidP="00834DE7">
      <w:pPr>
        <w:rPr>
          <w:rFonts w:ascii="Arial" w:hAnsi="Arial" w:cs="Arial"/>
        </w:rPr>
      </w:pPr>
    </w:p>
    <w:p w:rsidR="00EB53A7" w:rsidRPr="00EB53A7" w:rsidRDefault="00EB53A7" w:rsidP="00EB53A7">
      <w:pPr>
        <w:rPr>
          <w:rFonts w:ascii="Arial" w:hAnsi="Arial" w:cs="Arial"/>
          <w:b/>
        </w:rPr>
      </w:pPr>
      <w:r w:rsidRPr="00EB53A7">
        <w:rPr>
          <w:rFonts w:ascii="Arial" w:hAnsi="Arial" w:cs="Arial"/>
          <w:b/>
        </w:rPr>
        <w:t>Leading the development of the methods to measure the health economic impact of service delivery research</w:t>
      </w:r>
    </w:p>
    <w:p w:rsidR="00267735" w:rsidRDefault="00EB53A7" w:rsidP="00267735">
      <w:pPr>
        <w:rPr>
          <w:rFonts w:ascii="Arial" w:hAnsi="Arial" w:cs="Arial"/>
        </w:rPr>
      </w:pPr>
      <w:r w:rsidRPr="00EB53A7">
        <w:rPr>
          <w:rFonts w:ascii="Arial" w:hAnsi="Arial" w:cs="Arial"/>
        </w:rPr>
        <w:t xml:space="preserve">CLAHRC West Midlands has identified that while health economics methods are well developed for areas such as Health Technology Assessment (HTA) for devices and drugs, these methods </w:t>
      </w:r>
      <w:r w:rsidR="00267735">
        <w:rPr>
          <w:rFonts w:ascii="Arial" w:hAnsi="Arial" w:cs="Arial"/>
        </w:rPr>
        <w:t xml:space="preserve">need to be adapted and extended </w:t>
      </w:r>
      <w:r w:rsidRPr="00EB53A7">
        <w:rPr>
          <w:rFonts w:ascii="Arial" w:hAnsi="Arial" w:cs="Arial"/>
        </w:rPr>
        <w:t xml:space="preserve">when applied to examples of service delivery such as the redesign of a service or treatment pathway. </w:t>
      </w:r>
      <w:r w:rsidR="00267735">
        <w:rPr>
          <w:rFonts w:ascii="Arial" w:hAnsi="Arial" w:cs="Arial"/>
        </w:rPr>
        <w:t xml:space="preserve">Many service delivery interventions are designed to reduce adverse events, but it is difficult to account for the separate utilities of myriad different adverse events. CLAHRC West Midlands has produced an approach to group adverse events by severity and duration, and calculate utility by group (Yao GL, </w:t>
      </w:r>
      <w:proofErr w:type="spellStart"/>
      <w:r w:rsidR="006260D2">
        <w:rPr>
          <w:rFonts w:ascii="Arial" w:hAnsi="Arial" w:cs="Arial"/>
        </w:rPr>
        <w:t>Novielli</w:t>
      </w:r>
      <w:proofErr w:type="spellEnd"/>
      <w:r w:rsidR="006260D2">
        <w:rPr>
          <w:rFonts w:ascii="Arial" w:hAnsi="Arial" w:cs="Arial"/>
        </w:rPr>
        <w:t xml:space="preserve"> N, Manaseki-Holland S, </w:t>
      </w:r>
      <w:r w:rsidR="00267735">
        <w:rPr>
          <w:rFonts w:ascii="Arial" w:hAnsi="Arial" w:cs="Arial"/>
        </w:rPr>
        <w:t>et al.</w:t>
      </w:r>
      <w:r w:rsidR="006260D2">
        <w:rPr>
          <w:rFonts w:ascii="Arial" w:hAnsi="Arial" w:cs="Arial"/>
        </w:rPr>
        <w:t xml:space="preserve"> </w:t>
      </w:r>
      <w:hyperlink r:id="rId11" w:history="1">
        <w:r w:rsidR="006260D2" w:rsidRPr="00677535">
          <w:rPr>
            <w:rStyle w:val="Hyperlink"/>
            <w:rFonts w:ascii="Arial" w:hAnsi="Arial" w:cs="Arial"/>
          </w:rPr>
          <w:t>Evaluation of a predevelopment service delivery intervention: an application to improve clinical handovers</w:t>
        </w:r>
      </w:hyperlink>
      <w:r w:rsidR="006260D2">
        <w:rPr>
          <w:rFonts w:ascii="Arial" w:hAnsi="Arial" w:cs="Arial"/>
        </w:rPr>
        <w:t xml:space="preserve">. </w:t>
      </w:r>
      <w:r w:rsidR="006260D2" w:rsidRPr="00677535">
        <w:rPr>
          <w:rFonts w:ascii="Arial" w:hAnsi="Arial" w:cs="Arial"/>
          <w:i/>
        </w:rPr>
        <w:t xml:space="preserve">BMJ </w:t>
      </w:r>
      <w:proofErr w:type="spellStart"/>
      <w:r w:rsidR="006260D2" w:rsidRPr="00677535">
        <w:rPr>
          <w:rFonts w:ascii="Arial" w:hAnsi="Arial" w:cs="Arial"/>
          <w:i/>
        </w:rPr>
        <w:t>Qual</w:t>
      </w:r>
      <w:proofErr w:type="spellEnd"/>
      <w:r w:rsidR="006260D2" w:rsidRPr="00677535">
        <w:rPr>
          <w:rFonts w:ascii="Arial" w:hAnsi="Arial" w:cs="Arial"/>
          <w:i/>
        </w:rPr>
        <w:t xml:space="preserve"> </w:t>
      </w:r>
      <w:proofErr w:type="spellStart"/>
      <w:r w:rsidR="006260D2" w:rsidRPr="00677535">
        <w:rPr>
          <w:rFonts w:ascii="Arial" w:hAnsi="Arial" w:cs="Arial"/>
          <w:i/>
        </w:rPr>
        <w:t>Saf</w:t>
      </w:r>
      <w:proofErr w:type="spellEnd"/>
      <w:r w:rsidR="006260D2">
        <w:rPr>
          <w:rFonts w:ascii="Arial" w:hAnsi="Arial" w:cs="Arial"/>
        </w:rPr>
        <w:t xml:space="preserve">; </w:t>
      </w:r>
      <w:r w:rsidR="006260D2" w:rsidRPr="00677535">
        <w:rPr>
          <w:rFonts w:ascii="Arial" w:hAnsi="Arial" w:cs="Arial"/>
          <w:b/>
        </w:rPr>
        <w:t>21</w:t>
      </w:r>
      <w:r w:rsidR="006260D2">
        <w:rPr>
          <w:rFonts w:ascii="Arial" w:hAnsi="Arial" w:cs="Arial"/>
        </w:rPr>
        <w:t>(s1):i29-38</w:t>
      </w:r>
      <w:r w:rsidR="00267735">
        <w:rPr>
          <w:rFonts w:ascii="Arial" w:hAnsi="Arial" w:cs="Arial"/>
        </w:rPr>
        <w:t>; Lilford</w:t>
      </w:r>
      <w:r w:rsidR="006260D2">
        <w:rPr>
          <w:rFonts w:ascii="Arial" w:hAnsi="Arial" w:cs="Arial"/>
        </w:rPr>
        <w:t xml:space="preserve"> RJ, Girling AJ, Sheikh A, </w:t>
      </w:r>
      <w:r w:rsidR="00267735">
        <w:rPr>
          <w:rFonts w:ascii="Arial" w:hAnsi="Arial" w:cs="Arial"/>
        </w:rPr>
        <w:t xml:space="preserve">et al. </w:t>
      </w:r>
      <w:hyperlink r:id="rId12" w:history="1">
        <w:r w:rsidR="006260D2" w:rsidRPr="009F68D8">
          <w:rPr>
            <w:rStyle w:val="Hyperlink"/>
            <w:rFonts w:ascii="Arial" w:hAnsi="Arial" w:cs="Arial"/>
          </w:rPr>
          <w:t>Protocol for evaluation of the cost-effectiveness of ePrescribing systems and candidate prototype for other related health information technologies</w:t>
        </w:r>
      </w:hyperlink>
      <w:r w:rsidR="006260D2">
        <w:rPr>
          <w:rFonts w:ascii="Arial" w:hAnsi="Arial" w:cs="Arial"/>
        </w:rPr>
        <w:t xml:space="preserve">. </w:t>
      </w:r>
      <w:r w:rsidR="00267735" w:rsidRPr="006260D2">
        <w:rPr>
          <w:rFonts w:ascii="Arial" w:hAnsi="Arial" w:cs="Arial"/>
          <w:i/>
        </w:rPr>
        <w:t>BMC</w:t>
      </w:r>
      <w:r w:rsidR="006260D2" w:rsidRPr="006260D2">
        <w:rPr>
          <w:rFonts w:ascii="Arial" w:hAnsi="Arial" w:cs="Arial"/>
          <w:i/>
        </w:rPr>
        <w:t xml:space="preserve"> Health </w:t>
      </w:r>
      <w:proofErr w:type="spellStart"/>
      <w:r w:rsidR="006260D2" w:rsidRPr="006260D2">
        <w:rPr>
          <w:rFonts w:ascii="Arial" w:hAnsi="Arial" w:cs="Arial"/>
          <w:i/>
        </w:rPr>
        <w:t>Serv</w:t>
      </w:r>
      <w:proofErr w:type="spellEnd"/>
      <w:r w:rsidR="006260D2" w:rsidRPr="006260D2">
        <w:rPr>
          <w:rFonts w:ascii="Arial" w:hAnsi="Arial" w:cs="Arial"/>
          <w:i/>
        </w:rPr>
        <w:t xml:space="preserve"> Res</w:t>
      </w:r>
      <w:r w:rsidR="006260D2">
        <w:rPr>
          <w:rFonts w:ascii="Arial" w:hAnsi="Arial" w:cs="Arial"/>
        </w:rPr>
        <w:t xml:space="preserve">. 2014; </w:t>
      </w:r>
      <w:r w:rsidR="006260D2" w:rsidRPr="006260D2">
        <w:rPr>
          <w:rFonts w:ascii="Arial" w:hAnsi="Arial" w:cs="Arial"/>
          <w:b/>
        </w:rPr>
        <w:t>14</w:t>
      </w:r>
      <w:r w:rsidR="006260D2">
        <w:rPr>
          <w:rFonts w:ascii="Arial" w:hAnsi="Arial" w:cs="Arial"/>
        </w:rPr>
        <w:t>: 314</w:t>
      </w:r>
      <w:r w:rsidR="00267735">
        <w:rPr>
          <w:rFonts w:ascii="Arial" w:hAnsi="Arial" w:cs="Arial"/>
        </w:rPr>
        <w:t>).</w:t>
      </w:r>
    </w:p>
    <w:p w:rsidR="00267735" w:rsidRDefault="00267735" w:rsidP="00267735">
      <w:pPr>
        <w:rPr>
          <w:rFonts w:ascii="Arial" w:hAnsi="Arial" w:cs="Arial"/>
        </w:rPr>
      </w:pPr>
      <w:r>
        <w:rPr>
          <w:rFonts w:ascii="Arial" w:hAnsi="Arial" w:cs="Arial"/>
        </w:rPr>
        <w:t>C</w:t>
      </w:r>
      <w:r w:rsidR="00EB53A7" w:rsidRPr="00EB53A7">
        <w:rPr>
          <w:rFonts w:ascii="Arial" w:hAnsi="Arial" w:cs="Arial"/>
        </w:rPr>
        <w:t>omplex service change can also result in a large number of end points at multiple levels within a healthcare system and these causal chains need to be defined and modelled accurately. Bayesian methods could potentially provide solutions to some of these issues</w:t>
      </w:r>
      <w:r>
        <w:rPr>
          <w:rFonts w:ascii="Arial" w:hAnsi="Arial" w:cs="Arial"/>
        </w:rPr>
        <w:t xml:space="preserve"> (Watson SI &amp; Lilford RJ. </w:t>
      </w:r>
      <w:hyperlink r:id="rId13" w:history="1">
        <w:proofErr w:type="gramStart"/>
        <w:r w:rsidRPr="009F68D8">
          <w:rPr>
            <w:rStyle w:val="Hyperlink"/>
            <w:rFonts w:ascii="Arial" w:hAnsi="Arial" w:cs="Arial"/>
          </w:rPr>
          <w:t>Integrating multiple sources of evidence: a Bayesian perspective</w:t>
        </w:r>
      </w:hyperlink>
      <w:r>
        <w:rPr>
          <w:rFonts w:ascii="Arial" w:hAnsi="Arial" w:cs="Arial"/>
        </w:rPr>
        <w:t>.</w:t>
      </w:r>
      <w:proofErr w:type="gramEnd"/>
      <w:r>
        <w:rPr>
          <w:rFonts w:ascii="Arial" w:hAnsi="Arial" w:cs="Arial"/>
        </w:rPr>
        <w:t xml:space="preserve"> </w:t>
      </w:r>
      <w:r w:rsidRPr="00267735">
        <w:rPr>
          <w:rFonts w:ascii="Arial" w:hAnsi="Arial" w:cs="Arial"/>
        </w:rPr>
        <w:t xml:space="preserve">In: </w:t>
      </w:r>
      <w:proofErr w:type="spellStart"/>
      <w:r w:rsidRPr="00267735">
        <w:rPr>
          <w:rFonts w:ascii="Arial" w:hAnsi="Arial" w:cs="Arial"/>
        </w:rPr>
        <w:t>Raine</w:t>
      </w:r>
      <w:proofErr w:type="spellEnd"/>
      <w:r w:rsidRPr="00267735">
        <w:rPr>
          <w:rFonts w:ascii="Arial" w:hAnsi="Arial" w:cs="Arial"/>
        </w:rPr>
        <w:t xml:space="preserve"> R, Fitzpatrick R, Barratt H, et al. Challenges, solutions and future directions in the evaluation of service innovations in health care and public health. Southampton (U</w:t>
      </w:r>
      <w:r>
        <w:rPr>
          <w:rFonts w:ascii="Arial" w:hAnsi="Arial" w:cs="Arial"/>
        </w:rPr>
        <w:t>K): NIHR Journals Library; 2016)</w:t>
      </w:r>
      <w:r w:rsidRPr="00267735">
        <w:rPr>
          <w:rFonts w:ascii="Arial" w:hAnsi="Arial" w:cs="Arial"/>
        </w:rPr>
        <w:t>.</w:t>
      </w:r>
      <w:r>
        <w:rPr>
          <w:rFonts w:ascii="Arial" w:hAnsi="Arial" w:cs="Arial"/>
        </w:rPr>
        <w:t xml:space="preserve"> We are using these methods to conduct evaluations of ePrescribing on an NIHR Programme grant, and of consultant working at weekends on a Health Service and Delivery grant.</w:t>
      </w:r>
      <w:r w:rsidRPr="00267735">
        <w:rPr>
          <w:rFonts w:ascii="Arial" w:hAnsi="Arial" w:cs="Arial"/>
        </w:rPr>
        <w:t xml:space="preserve"> </w:t>
      </w:r>
    </w:p>
    <w:p w:rsidR="00267735" w:rsidRDefault="00267735" w:rsidP="00267735">
      <w:pPr>
        <w:rPr>
          <w:rFonts w:ascii="Arial" w:hAnsi="Arial" w:cs="Arial"/>
        </w:rPr>
      </w:pPr>
      <w:r>
        <w:rPr>
          <w:rFonts w:ascii="Arial" w:hAnsi="Arial" w:cs="Arial"/>
        </w:rPr>
        <w:t>In addition to these mainly epistemological issues, there are numerous costing issues concerning, for example, what to do when resources (e.g. bed days) are saved but the costs are not released.</w:t>
      </w:r>
    </w:p>
    <w:p w:rsidR="00EB53A7" w:rsidRPr="00EB53A7" w:rsidRDefault="00267735" w:rsidP="00267735">
      <w:pPr>
        <w:rPr>
          <w:rFonts w:ascii="Arial" w:hAnsi="Arial" w:cs="Arial"/>
        </w:rPr>
      </w:pPr>
      <w:r>
        <w:rPr>
          <w:rFonts w:ascii="Arial" w:hAnsi="Arial" w:cs="Arial"/>
        </w:rPr>
        <w:t xml:space="preserve">There is a pressing need to develop the subject of microeconomics of service interventions – a subject that has attracted nugatory attention compared to Health Technology Assessment. </w:t>
      </w:r>
      <w:r>
        <w:rPr>
          <w:rFonts w:ascii="Arial" w:hAnsi="Arial" w:cs="Arial"/>
        </w:rPr>
        <w:lastRenderedPageBreak/>
        <w:t>A workshop involving CLAHRCs, HS&amp;DR and MRC was recently convened under the chairmanship of Jo Rycroft-Malone, and a report will be produced by Dr Sam Watson.</w:t>
      </w:r>
    </w:p>
    <w:p w:rsidR="000748DA" w:rsidRDefault="00DE6FC2" w:rsidP="00EB53A7">
      <w:pPr>
        <w:rPr>
          <w:rStyle w:val="Hyperlink"/>
          <w:rFonts w:ascii="Arial" w:hAnsi="Arial" w:cs="Arial"/>
        </w:rPr>
      </w:pPr>
      <w:hyperlink r:id="rId14" w:history="1">
        <w:r w:rsidR="002C4569" w:rsidRPr="002C4569">
          <w:rPr>
            <w:rStyle w:val="Hyperlink"/>
            <w:rFonts w:ascii="Arial" w:hAnsi="Arial" w:cs="Arial"/>
          </w:rPr>
          <w:t>For further information, please contact CLAHRC West Midlands central team.</w:t>
        </w:r>
      </w:hyperlink>
    </w:p>
    <w:p w:rsidR="00834DE7" w:rsidRPr="00C5345F" w:rsidRDefault="000748DA" w:rsidP="00834DE7">
      <w:pPr>
        <w:rPr>
          <w:rFonts w:ascii="Arial" w:hAnsi="Arial" w:cs="Arial"/>
        </w:rPr>
      </w:pPr>
      <w:r>
        <w:rPr>
          <w:rStyle w:val="Hyperlink"/>
          <w:rFonts w:ascii="Arial" w:hAnsi="Arial" w:cs="Arial"/>
          <w:color w:val="auto"/>
          <w:u w:val="none"/>
        </w:rPr>
        <w:t xml:space="preserve">Richard is also the editor of the CLAHRC West Midlands News Blog; you may like to subscribe to this here: </w:t>
      </w:r>
      <w:hyperlink r:id="rId15" w:history="1">
        <w:r w:rsidRPr="00100267">
          <w:rPr>
            <w:rStyle w:val="Hyperlink"/>
            <w:rFonts w:ascii="Arial" w:hAnsi="Arial" w:cs="Arial"/>
          </w:rPr>
          <w:t>https://clahrcwmblog.wordpress.com/</w:t>
        </w:r>
      </w:hyperlink>
      <w:r>
        <w:rPr>
          <w:rStyle w:val="Hyperlink"/>
          <w:rFonts w:ascii="Arial" w:hAnsi="Arial" w:cs="Arial"/>
          <w:color w:val="auto"/>
          <w:u w:val="none"/>
        </w:rPr>
        <w:t xml:space="preserve">  </w:t>
      </w:r>
    </w:p>
    <w:sectPr w:rsidR="00834DE7" w:rsidRPr="00C534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13247"/>
    <w:multiLevelType w:val="hybridMultilevel"/>
    <w:tmpl w:val="F2425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69F"/>
    <w:rsid w:val="000748DA"/>
    <w:rsid w:val="0026169F"/>
    <w:rsid w:val="00267735"/>
    <w:rsid w:val="002C4569"/>
    <w:rsid w:val="003F2809"/>
    <w:rsid w:val="004D1FE0"/>
    <w:rsid w:val="006260D2"/>
    <w:rsid w:val="00677535"/>
    <w:rsid w:val="00834DE7"/>
    <w:rsid w:val="009F68D8"/>
    <w:rsid w:val="00B700D3"/>
    <w:rsid w:val="00C5345F"/>
    <w:rsid w:val="00DE6FC2"/>
    <w:rsid w:val="00E50FD7"/>
    <w:rsid w:val="00E64A30"/>
    <w:rsid w:val="00E97B67"/>
    <w:rsid w:val="00EB53A7"/>
    <w:rsid w:val="00EE3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FD7"/>
    <w:pPr>
      <w:ind w:left="720"/>
      <w:contextualSpacing/>
    </w:pPr>
  </w:style>
  <w:style w:type="table" w:styleId="TableGrid">
    <w:name w:val="Table Grid"/>
    <w:basedOn w:val="TableNormal"/>
    <w:uiPriority w:val="39"/>
    <w:rsid w:val="00C53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4A30"/>
    <w:rPr>
      <w:color w:val="0563C1" w:themeColor="hyperlink"/>
      <w:u w:val="single"/>
    </w:rPr>
  </w:style>
  <w:style w:type="character" w:styleId="FollowedHyperlink">
    <w:name w:val="FollowedHyperlink"/>
    <w:basedOn w:val="DefaultParagraphFont"/>
    <w:uiPriority w:val="99"/>
    <w:semiHidden/>
    <w:unhideWhenUsed/>
    <w:rsid w:val="00267735"/>
    <w:rPr>
      <w:color w:val="954F72" w:themeColor="followedHyperlink"/>
      <w:u w:val="single"/>
    </w:rPr>
  </w:style>
  <w:style w:type="paragraph" w:styleId="BalloonText">
    <w:name w:val="Balloon Text"/>
    <w:basedOn w:val="Normal"/>
    <w:link w:val="BalloonTextChar"/>
    <w:uiPriority w:val="99"/>
    <w:semiHidden/>
    <w:unhideWhenUsed/>
    <w:rsid w:val="00267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0FD7"/>
    <w:pPr>
      <w:ind w:left="720"/>
      <w:contextualSpacing/>
    </w:pPr>
  </w:style>
  <w:style w:type="table" w:styleId="TableGrid">
    <w:name w:val="Table Grid"/>
    <w:basedOn w:val="TableNormal"/>
    <w:uiPriority w:val="39"/>
    <w:rsid w:val="00C53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4A30"/>
    <w:rPr>
      <w:color w:val="0563C1" w:themeColor="hyperlink"/>
      <w:u w:val="single"/>
    </w:rPr>
  </w:style>
  <w:style w:type="character" w:styleId="FollowedHyperlink">
    <w:name w:val="FollowedHyperlink"/>
    <w:basedOn w:val="DefaultParagraphFont"/>
    <w:uiPriority w:val="99"/>
    <w:semiHidden/>
    <w:unhideWhenUsed/>
    <w:rsid w:val="00267735"/>
    <w:rPr>
      <w:color w:val="954F72" w:themeColor="followedHyperlink"/>
      <w:u w:val="single"/>
    </w:rPr>
  </w:style>
  <w:style w:type="paragraph" w:styleId="BalloonText">
    <w:name w:val="Balloon Text"/>
    <w:basedOn w:val="Normal"/>
    <w:link w:val="BalloonTextChar"/>
    <w:uiPriority w:val="99"/>
    <w:semiHidden/>
    <w:unhideWhenUsed/>
    <w:rsid w:val="00267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7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01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warwick.ac.uk/fac/med/about/centres/clahrc/research/theme6-research-methods/team/" TargetMode="External"/><Relationship Id="rId13" Type="http://schemas.openxmlformats.org/officeDocument/2006/relationships/hyperlink" Target="https://www.ncbi.nlm.nih.gov/books/NBK361263/" TargetMode="External"/><Relationship Id="rId3" Type="http://schemas.microsoft.com/office/2007/relationships/stylesWithEffects" Target="stylesWithEffects.xml"/><Relationship Id="rId7" Type="http://schemas.openxmlformats.org/officeDocument/2006/relationships/hyperlink" Target="https://www2.warwick.ac.uk/fac/med/about/centres/clahrc/impact/bites/clahrcwmbite_17_iodinesupplementation.pdf" TargetMode="External"/><Relationship Id="rId12" Type="http://schemas.openxmlformats.org/officeDocument/2006/relationships/hyperlink" Target="http://bmchealthservres.biomedcentral.com/articles/10.1186/1472-6963-14-31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thelancet.com/journals/landia/article/PIIS2213-8587(15)00212-0/abstract" TargetMode="External"/><Relationship Id="rId11" Type="http://schemas.openxmlformats.org/officeDocument/2006/relationships/hyperlink" Target="http://qualitysafety.bmj.com/content/21/Suppl_1/i29" TargetMode="External"/><Relationship Id="rId5" Type="http://schemas.openxmlformats.org/officeDocument/2006/relationships/webSettings" Target="webSettings.xml"/><Relationship Id="rId15" Type="http://schemas.openxmlformats.org/officeDocument/2006/relationships/hyperlink" Target="https://clahrcwmblog.wordpress.com/" TargetMode="External"/><Relationship Id="rId10" Type="http://schemas.openxmlformats.org/officeDocument/2006/relationships/hyperlink" Target="https://aheblog.com/" TargetMode="External"/><Relationship Id="rId4" Type="http://schemas.openxmlformats.org/officeDocument/2006/relationships/settings" Target="settings.xml"/><Relationship Id="rId9" Type="http://schemas.openxmlformats.org/officeDocument/2006/relationships/hyperlink" Target="https://f1000research.com/articles/5-2293/v1" TargetMode="External"/><Relationship Id="rId14" Type="http://schemas.openxmlformats.org/officeDocument/2006/relationships/hyperlink" Target="http://www2.warwick.ac.uk/fac/med/about/centres/clahrc/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1081</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Maillard</dc:creator>
  <cp:lastModifiedBy>Richard Lilford</cp:lastModifiedBy>
  <cp:revision>4</cp:revision>
  <cp:lastPrinted>2017-02-23T14:05:00Z</cp:lastPrinted>
  <dcterms:created xsi:type="dcterms:W3CDTF">2017-02-23T14:05:00Z</dcterms:created>
  <dcterms:modified xsi:type="dcterms:W3CDTF">2017-02-23T15:33:00Z</dcterms:modified>
</cp:coreProperties>
</file>