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2B7" w:rsidRPr="006F72B7" w:rsidRDefault="006F72B7" w:rsidP="007479D0">
      <w:pPr>
        <w:jc w:val="both"/>
        <w:rPr>
          <w:rFonts w:asciiTheme="minorHAnsi" w:hAnsiTheme="minorHAnsi" w:cstheme="minorHAnsi"/>
          <w:b/>
          <w:sz w:val="24"/>
          <w:szCs w:val="24"/>
        </w:rPr>
      </w:pPr>
      <w:r w:rsidRPr="006F72B7">
        <w:rPr>
          <w:rFonts w:asciiTheme="minorHAnsi" w:hAnsiTheme="minorHAnsi" w:cstheme="minorHAnsi"/>
          <w:b/>
          <w:sz w:val="24"/>
          <w:szCs w:val="24"/>
        </w:rPr>
        <w:t>CLAHRC West Midlands</w:t>
      </w:r>
    </w:p>
    <w:p w:rsidR="006F72B7" w:rsidRPr="006F72B7" w:rsidRDefault="006F72B7" w:rsidP="007479D0">
      <w:pPr>
        <w:jc w:val="both"/>
        <w:rPr>
          <w:rFonts w:asciiTheme="minorHAnsi" w:hAnsiTheme="minorHAnsi" w:cstheme="minorHAnsi"/>
          <w:b/>
          <w:sz w:val="24"/>
          <w:szCs w:val="24"/>
        </w:rPr>
      </w:pPr>
    </w:p>
    <w:p w:rsidR="000946C6" w:rsidRPr="006F72B7" w:rsidRDefault="007479D0" w:rsidP="007479D0">
      <w:pPr>
        <w:jc w:val="both"/>
        <w:rPr>
          <w:rFonts w:asciiTheme="minorHAnsi" w:hAnsiTheme="minorHAnsi" w:cstheme="minorHAnsi"/>
          <w:b/>
          <w:sz w:val="24"/>
          <w:szCs w:val="24"/>
        </w:rPr>
      </w:pPr>
      <w:r w:rsidRPr="006F72B7">
        <w:rPr>
          <w:rFonts w:asciiTheme="minorHAnsi" w:hAnsiTheme="minorHAnsi" w:cstheme="minorHAnsi"/>
          <w:b/>
          <w:sz w:val="24"/>
          <w:szCs w:val="24"/>
        </w:rPr>
        <w:t>Using GRIPP2 to report the impact of Public Involvement in Research</w:t>
      </w:r>
    </w:p>
    <w:p w:rsidR="00A64C56" w:rsidRPr="006F72B7" w:rsidRDefault="00A64C56" w:rsidP="007479D0">
      <w:pPr>
        <w:jc w:val="both"/>
        <w:rPr>
          <w:rFonts w:asciiTheme="minorHAnsi" w:hAnsiTheme="minorHAnsi" w:cstheme="minorHAnsi"/>
          <w:sz w:val="24"/>
          <w:szCs w:val="24"/>
        </w:rPr>
      </w:pPr>
    </w:p>
    <w:p w:rsidR="000946C6" w:rsidRPr="006F72B7" w:rsidRDefault="000946C6" w:rsidP="007479D0">
      <w:pPr>
        <w:jc w:val="both"/>
        <w:rPr>
          <w:rFonts w:asciiTheme="minorHAnsi" w:hAnsiTheme="minorHAnsi" w:cstheme="minorHAnsi"/>
          <w:sz w:val="24"/>
          <w:szCs w:val="24"/>
        </w:rPr>
      </w:pPr>
      <w:r w:rsidRPr="006F72B7">
        <w:rPr>
          <w:rFonts w:asciiTheme="minorHAnsi" w:hAnsiTheme="minorHAnsi" w:cstheme="minorHAnsi"/>
          <w:sz w:val="24"/>
          <w:szCs w:val="24"/>
        </w:rPr>
        <w:t>Patient and public involvement in health research provides the public with an opportunity to shape research and is now required by many funders</w:t>
      </w:r>
      <w:r w:rsidR="00BD5233" w:rsidRPr="006F72B7">
        <w:rPr>
          <w:rFonts w:asciiTheme="minorHAnsi" w:hAnsiTheme="minorHAnsi" w:cstheme="minorHAnsi"/>
          <w:sz w:val="24"/>
          <w:szCs w:val="24"/>
        </w:rPr>
        <w:t>,</w:t>
      </w:r>
      <w:r w:rsidRPr="006F72B7">
        <w:rPr>
          <w:rFonts w:asciiTheme="minorHAnsi" w:hAnsiTheme="minorHAnsi" w:cstheme="minorHAnsi"/>
          <w:sz w:val="24"/>
          <w:szCs w:val="24"/>
        </w:rPr>
        <w:t xml:space="preserve"> including NIHR. We are increasingly aware of the need not only to carry out high quality PPI, but to report </w:t>
      </w:r>
      <w:r w:rsidR="003A1FDD" w:rsidRPr="006F72B7">
        <w:rPr>
          <w:rFonts w:asciiTheme="minorHAnsi" w:hAnsiTheme="minorHAnsi" w:cstheme="minorHAnsi"/>
          <w:sz w:val="24"/>
          <w:szCs w:val="24"/>
        </w:rPr>
        <w:t>it i</w:t>
      </w:r>
      <w:r w:rsidRPr="006F72B7">
        <w:rPr>
          <w:rFonts w:asciiTheme="minorHAnsi" w:hAnsiTheme="minorHAnsi" w:cstheme="minorHAnsi"/>
          <w:sz w:val="24"/>
          <w:szCs w:val="24"/>
        </w:rPr>
        <w:t>n ways that others can understand and use</w:t>
      </w:r>
      <w:r w:rsidR="00BD5233" w:rsidRPr="006F72B7">
        <w:rPr>
          <w:rFonts w:asciiTheme="minorHAnsi" w:hAnsiTheme="minorHAnsi" w:cstheme="minorHAnsi"/>
          <w:sz w:val="24"/>
          <w:szCs w:val="24"/>
        </w:rPr>
        <w:t xml:space="preserve">. </w:t>
      </w:r>
    </w:p>
    <w:p w:rsidR="00BD5233" w:rsidRPr="006F72B7" w:rsidRDefault="00BD5233" w:rsidP="007479D0">
      <w:pPr>
        <w:jc w:val="both"/>
        <w:rPr>
          <w:rFonts w:asciiTheme="minorHAnsi" w:hAnsiTheme="minorHAnsi" w:cstheme="minorHAnsi"/>
          <w:sz w:val="24"/>
          <w:szCs w:val="24"/>
        </w:rPr>
      </w:pPr>
    </w:p>
    <w:p w:rsidR="000946C6" w:rsidRPr="006F72B7" w:rsidRDefault="003A1FDD" w:rsidP="007479D0">
      <w:pPr>
        <w:jc w:val="both"/>
        <w:rPr>
          <w:rFonts w:asciiTheme="minorHAnsi" w:hAnsiTheme="minorHAnsi" w:cstheme="minorHAnsi"/>
          <w:sz w:val="24"/>
          <w:szCs w:val="24"/>
        </w:rPr>
      </w:pPr>
      <w:r w:rsidRPr="006F72B7">
        <w:rPr>
          <w:rFonts w:asciiTheme="minorHAnsi" w:hAnsiTheme="minorHAnsi" w:cstheme="minorHAnsi"/>
          <w:sz w:val="24"/>
          <w:szCs w:val="24"/>
        </w:rPr>
        <w:t>PPI is no different from other areas of research where p</w:t>
      </w:r>
      <w:r w:rsidR="000946C6" w:rsidRPr="006F72B7">
        <w:rPr>
          <w:rFonts w:asciiTheme="minorHAnsi" w:hAnsiTheme="minorHAnsi" w:cstheme="minorHAnsi"/>
          <w:sz w:val="24"/>
          <w:szCs w:val="24"/>
        </w:rPr>
        <w:t>oor quality reporting i</w:t>
      </w:r>
      <w:r w:rsidRPr="006F72B7">
        <w:rPr>
          <w:rFonts w:asciiTheme="minorHAnsi" w:hAnsiTheme="minorHAnsi" w:cstheme="minorHAnsi"/>
          <w:sz w:val="24"/>
          <w:szCs w:val="24"/>
        </w:rPr>
        <w:t xml:space="preserve">s common. Such poor reporting was the </w:t>
      </w:r>
      <w:r w:rsidR="000946C6" w:rsidRPr="006F72B7">
        <w:rPr>
          <w:rFonts w:asciiTheme="minorHAnsi" w:hAnsiTheme="minorHAnsi" w:cstheme="minorHAnsi"/>
          <w:sz w:val="24"/>
          <w:szCs w:val="24"/>
        </w:rPr>
        <w:t>r</w:t>
      </w:r>
      <w:r w:rsidRPr="006F72B7">
        <w:rPr>
          <w:rFonts w:asciiTheme="minorHAnsi" w:hAnsiTheme="minorHAnsi" w:cstheme="minorHAnsi"/>
          <w:sz w:val="24"/>
          <w:szCs w:val="24"/>
        </w:rPr>
        <w:t xml:space="preserve">ationale behind the establishment of </w:t>
      </w:r>
      <w:r w:rsidR="000946C6" w:rsidRPr="006F72B7">
        <w:rPr>
          <w:rFonts w:asciiTheme="minorHAnsi" w:hAnsiTheme="minorHAnsi" w:cstheme="minorHAnsi"/>
          <w:sz w:val="24"/>
          <w:szCs w:val="24"/>
        </w:rPr>
        <w:t>the EQUATOR Network</w:t>
      </w:r>
      <w:r w:rsidR="00BD5233" w:rsidRPr="006F72B7">
        <w:rPr>
          <w:rFonts w:asciiTheme="minorHAnsi" w:hAnsiTheme="minorHAnsi" w:cstheme="minorHAnsi"/>
          <w:sz w:val="24"/>
          <w:szCs w:val="24"/>
        </w:rPr>
        <w:t xml:space="preserve"> who we have worked with closely</w:t>
      </w:r>
      <w:r w:rsidRPr="006F72B7">
        <w:rPr>
          <w:rFonts w:asciiTheme="minorHAnsi" w:hAnsiTheme="minorHAnsi" w:cstheme="minorHAnsi"/>
          <w:sz w:val="24"/>
          <w:szCs w:val="24"/>
        </w:rPr>
        <w:t xml:space="preserve">. </w:t>
      </w:r>
      <w:hyperlink r:id="rId5" w:history="1">
        <w:r w:rsidRPr="006F72B7">
          <w:rPr>
            <w:rStyle w:val="Hyperlink"/>
            <w:rFonts w:asciiTheme="minorHAnsi" w:hAnsiTheme="minorHAnsi" w:cstheme="minorHAnsi"/>
            <w:sz w:val="24"/>
            <w:szCs w:val="24"/>
          </w:rPr>
          <w:t>http://www.equator-network.org/</w:t>
        </w:r>
      </w:hyperlink>
      <w:r w:rsidRPr="006F72B7">
        <w:rPr>
          <w:rFonts w:asciiTheme="minorHAnsi" w:hAnsiTheme="minorHAnsi" w:cstheme="minorHAnsi"/>
          <w:sz w:val="24"/>
          <w:szCs w:val="24"/>
        </w:rPr>
        <w:t xml:space="preserve"> </w:t>
      </w:r>
    </w:p>
    <w:p w:rsidR="003A1FDD" w:rsidRPr="006F72B7" w:rsidRDefault="003A1FDD" w:rsidP="007479D0">
      <w:pPr>
        <w:jc w:val="both"/>
        <w:rPr>
          <w:rFonts w:asciiTheme="minorHAnsi" w:hAnsiTheme="minorHAnsi" w:cstheme="minorHAnsi"/>
          <w:sz w:val="24"/>
          <w:szCs w:val="24"/>
        </w:rPr>
      </w:pPr>
    </w:p>
    <w:p w:rsidR="003A1FDD" w:rsidRPr="006F72B7" w:rsidRDefault="003A1FDD" w:rsidP="007479D0">
      <w:pPr>
        <w:jc w:val="both"/>
        <w:rPr>
          <w:rFonts w:asciiTheme="minorHAnsi" w:hAnsiTheme="minorHAnsi" w:cstheme="minorHAnsi"/>
          <w:sz w:val="24"/>
          <w:szCs w:val="24"/>
        </w:rPr>
      </w:pPr>
      <w:r w:rsidRPr="006F72B7">
        <w:rPr>
          <w:rFonts w:asciiTheme="minorHAnsi" w:hAnsiTheme="minorHAnsi" w:cstheme="minorHAnsi"/>
          <w:sz w:val="24"/>
          <w:szCs w:val="24"/>
        </w:rPr>
        <w:t xml:space="preserve">Over the last few years we have developed guidance for the reporting of PPI, which originated from the challenges we had </w:t>
      </w:r>
      <w:r w:rsidR="00BD5233" w:rsidRPr="006F72B7">
        <w:rPr>
          <w:rFonts w:asciiTheme="minorHAnsi" w:hAnsiTheme="minorHAnsi" w:cstheme="minorHAnsi"/>
          <w:sz w:val="24"/>
          <w:szCs w:val="24"/>
        </w:rPr>
        <w:t xml:space="preserve">in </w:t>
      </w:r>
      <w:r w:rsidRPr="006F72B7">
        <w:rPr>
          <w:rFonts w:asciiTheme="minorHAnsi" w:hAnsiTheme="minorHAnsi" w:cstheme="minorHAnsi"/>
          <w:sz w:val="24"/>
          <w:szCs w:val="24"/>
        </w:rPr>
        <w:t>extracting data about PPI from papers. We could see people had undertaken important work, but key information was missing. This led to the development of the original GRIPP checklist</w:t>
      </w:r>
      <w:r w:rsidR="00BD5233" w:rsidRPr="006F72B7">
        <w:rPr>
          <w:rFonts w:asciiTheme="minorHAnsi" w:hAnsiTheme="minorHAnsi" w:cstheme="minorHAnsi"/>
          <w:sz w:val="24"/>
          <w:szCs w:val="24"/>
        </w:rPr>
        <w:t>,</w:t>
      </w:r>
      <w:r w:rsidRPr="006F72B7">
        <w:rPr>
          <w:rFonts w:asciiTheme="minorHAnsi" w:hAnsiTheme="minorHAnsi" w:cstheme="minorHAnsi"/>
          <w:sz w:val="24"/>
          <w:szCs w:val="24"/>
        </w:rPr>
        <w:t xml:space="preserve"> which was followed with an international consensus exercise that developed GRIPP2 (Staniszewska et al 2017).  The aim of GRIPP2 is to help people report information </w:t>
      </w:r>
      <w:r w:rsidR="00BD5233" w:rsidRPr="006F72B7">
        <w:rPr>
          <w:rFonts w:asciiTheme="minorHAnsi" w:hAnsiTheme="minorHAnsi" w:cstheme="minorHAnsi"/>
          <w:sz w:val="24"/>
          <w:szCs w:val="24"/>
        </w:rPr>
        <w:t xml:space="preserve">about the PPI they have undertaken in a study </w:t>
      </w:r>
      <w:r w:rsidRPr="006F72B7">
        <w:rPr>
          <w:rFonts w:asciiTheme="minorHAnsi" w:hAnsiTheme="minorHAnsi" w:cstheme="minorHAnsi"/>
          <w:sz w:val="24"/>
          <w:szCs w:val="24"/>
        </w:rPr>
        <w:t xml:space="preserve">that would be useful to others and </w:t>
      </w:r>
      <w:r w:rsidR="00BD5233" w:rsidRPr="006F72B7">
        <w:rPr>
          <w:rFonts w:asciiTheme="minorHAnsi" w:hAnsiTheme="minorHAnsi" w:cstheme="minorHAnsi"/>
          <w:sz w:val="24"/>
          <w:szCs w:val="24"/>
        </w:rPr>
        <w:t xml:space="preserve">thus to </w:t>
      </w:r>
      <w:r w:rsidRPr="006F72B7">
        <w:rPr>
          <w:rFonts w:asciiTheme="minorHAnsi" w:hAnsiTheme="minorHAnsi" w:cstheme="minorHAnsi"/>
          <w:sz w:val="24"/>
          <w:szCs w:val="24"/>
        </w:rPr>
        <w:t>enhance the PPI evidence base</w:t>
      </w:r>
      <w:r w:rsidR="00BD5233" w:rsidRPr="006F72B7">
        <w:rPr>
          <w:rFonts w:asciiTheme="minorHAnsi" w:hAnsiTheme="minorHAnsi" w:cstheme="minorHAnsi"/>
          <w:sz w:val="24"/>
          <w:szCs w:val="24"/>
        </w:rPr>
        <w:t xml:space="preserve"> through more complete reporting</w:t>
      </w:r>
      <w:r w:rsidRPr="006F72B7">
        <w:rPr>
          <w:rFonts w:asciiTheme="minorHAnsi" w:hAnsiTheme="minorHAnsi" w:cstheme="minorHAnsi"/>
          <w:sz w:val="24"/>
          <w:szCs w:val="24"/>
        </w:rPr>
        <w:t xml:space="preserve">. In addition GRIPP2 can be used when planning a study, to help teams identify the aims for the PPI, plan the methods they will use and to monitor progress. </w:t>
      </w:r>
    </w:p>
    <w:p w:rsidR="00B01EE5" w:rsidRPr="006F72B7" w:rsidRDefault="00B01EE5" w:rsidP="007479D0">
      <w:pPr>
        <w:jc w:val="both"/>
        <w:rPr>
          <w:rFonts w:asciiTheme="minorHAnsi" w:hAnsiTheme="minorHAnsi" w:cstheme="minorHAnsi"/>
          <w:sz w:val="24"/>
          <w:szCs w:val="24"/>
        </w:rPr>
      </w:pPr>
    </w:p>
    <w:p w:rsidR="00B01EE5" w:rsidRPr="006F72B7" w:rsidRDefault="00B01EE5" w:rsidP="007479D0">
      <w:pPr>
        <w:jc w:val="both"/>
        <w:rPr>
          <w:rFonts w:asciiTheme="minorHAnsi" w:hAnsiTheme="minorHAnsi" w:cstheme="minorHAnsi"/>
          <w:sz w:val="24"/>
          <w:szCs w:val="24"/>
        </w:rPr>
      </w:pPr>
      <w:r w:rsidRPr="006F72B7">
        <w:rPr>
          <w:rFonts w:asciiTheme="minorHAnsi" w:hAnsiTheme="minorHAnsi" w:cstheme="minorHAnsi"/>
          <w:sz w:val="24"/>
          <w:szCs w:val="24"/>
        </w:rPr>
        <w:t xml:space="preserve">One of the key areas where GRIPP2 can be used is for the reporting of impact. At present the best way to capture impact is through qualitative description as we don’t yet have quantitative tools to measure the extent of impact. One of the key areas of work for the future will be to develop an agreed conceptual framework that captures the key dimensions of impact (Staniszewska et al 2011). For now, using GRIPP2 alerts people to the need to plan for and capture impact. There is no one way to do this but commonly the recording and transcription of meetings provides a vital role in capturing the impacts that occur in a discussion between patients and researchers but are hard to capture afterwards. This information is the building blocks we need to continue developing our understanding of impact. </w:t>
      </w:r>
    </w:p>
    <w:p w:rsidR="003A1FDD" w:rsidRPr="006F72B7" w:rsidRDefault="003A1FDD" w:rsidP="007479D0">
      <w:pPr>
        <w:jc w:val="both"/>
        <w:rPr>
          <w:rFonts w:asciiTheme="minorHAnsi" w:hAnsiTheme="minorHAnsi" w:cstheme="minorHAnsi"/>
          <w:sz w:val="24"/>
          <w:szCs w:val="24"/>
        </w:rPr>
      </w:pPr>
    </w:p>
    <w:p w:rsidR="003A1FDD" w:rsidRPr="006F72B7" w:rsidRDefault="003A1FDD" w:rsidP="007479D0">
      <w:pPr>
        <w:jc w:val="both"/>
        <w:rPr>
          <w:rFonts w:asciiTheme="minorHAnsi" w:hAnsiTheme="minorHAnsi" w:cstheme="minorHAnsi"/>
          <w:sz w:val="24"/>
          <w:szCs w:val="24"/>
        </w:rPr>
      </w:pPr>
      <w:r w:rsidRPr="006F72B7">
        <w:rPr>
          <w:rFonts w:asciiTheme="minorHAnsi" w:hAnsiTheme="minorHAnsi" w:cstheme="minorHAnsi"/>
          <w:sz w:val="24"/>
          <w:szCs w:val="24"/>
        </w:rPr>
        <w:t xml:space="preserve">In developing GRIPP2, we acknowledged that the core concepts underpinning the checklist originated in the world of research. In response to this need we have started a study to better understand what patients think should be reported about their involvement. </w:t>
      </w:r>
      <w:r w:rsidR="000946C6" w:rsidRPr="006F72B7">
        <w:rPr>
          <w:rFonts w:asciiTheme="minorHAnsi" w:hAnsiTheme="minorHAnsi" w:cstheme="minorHAnsi"/>
          <w:sz w:val="24"/>
          <w:szCs w:val="24"/>
        </w:rPr>
        <w:t xml:space="preserve">We </w:t>
      </w:r>
      <w:r w:rsidRPr="006F72B7">
        <w:rPr>
          <w:rFonts w:asciiTheme="minorHAnsi" w:hAnsiTheme="minorHAnsi" w:cstheme="minorHAnsi"/>
          <w:sz w:val="24"/>
          <w:szCs w:val="24"/>
        </w:rPr>
        <w:t xml:space="preserve">want </w:t>
      </w:r>
      <w:r w:rsidR="000946C6" w:rsidRPr="006F72B7">
        <w:rPr>
          <w:rFonts w:asciiTheme="minorHAnsi" w:hAnsiTheme="minorHAnsi" w:cstheme="minorHAnsi"/>
          <w:sz w:val="24"/>
          <w:szCs w:val="24"/>
        </w:rPr>
        <w:t>to engage with patients, patient organisations and the public to create broader discussion about what patients and publi</w:t>
      </w:r>
      <w:r w:rsidR="00BD5233" w:rsidRPr="006F72B7">
        <w:rPr>
          <w:rFonts w:asciiTheme="minorHAnsi" w:hAnsiTheme="minorHAnsi" w:cstheme="minorHAnsi"/>
          <w:sz w:val="24"/>
          <w:szCs w:val="24"/>
        </w:rPr>
        <w:t xml:space="preserve">cs feel is important to report. </w:t>
      </w:r>
    </w:p>
    <w:p w:rsidR="00BD5233" w:rsidRPr="006F72B7" w:rsidRDefault="00BD5233" w:rsidP="007479D0">
      <w:pPr>
        <w:jc w:val="both"/>
        <w:rPr>
          <w:rFonts w:asciiTheme="minorHAnsi" w:hAnsiTheme="minorHAnsi" w:cstheme="minorHAnsi"/>
          <w:sz w:val="24"/>
          <w:szCs w:val="24"/>
        </w:rPr>
      </w:pPr>
    </w:p>
    <w:p w:rsidR="00BD5233" w:rsidRPr="006F72B7" w:rsidRDefault="00BD5233" w:rsidP="007479D0">
      <w:pPr>
        <w:jc w:val="both"/>
        <w:rPr>
          <w:rFonts w:asciiTheme="minorHAnsi" w:hAnsiTheme="minorHAnsi" w:cstheme="minorHAnsi"/>
          <w:sz w:val="24"/>
          <w:szCs w:val="24"/>
        </w:rPr>
      </w:pPr>
      <w:r w:rsidRPr="006F72B7">
        <w:rPr>
          <w:rFonts w:asciiTheme="minorHAnsi" w:hAnsiTheme="minorHAnsi" w:cstheme="minorHAnsi"/>
          <w:b/>
          <w:sz w:val="24"/>
          <w:szCs w:val="24"/>
        </w:rPr>
        <w:t>Please get in touch if you are interested in contributing to this study</w:t>
      </w:r>
      <w:r w:rsidRPr="006F72B7">
        <w:rPr>
          <w:rFonts w:asciiTheme="minorHAnsi" w:hAnsiTheme="minorHAnsi" w:cstheme="minorHAnsi"/>
          <w:sz w:val="24"/>
          <w:szCs w:val="24"/>
        </w:rPr>
        <w:t xml:space="preserve">. We are establishing a small patient reference group to collaborate with and there will be a meeting in Warwick in the autumn where we hope to generate discussion about what is important to report form the patient perspective. This work will inform the future development of GRIPP3. </w:t>
      </w:r>
    </w:p>
    <w:p w:rsidR="0010023F" w:rsidRPr="006F72B7" w:rsidRDefault="006A4982" w:rsidP="007479D0">
      <w:pPr>
        <w:jc w:val="both"/>
        <w:rPr>
          <w:rFonts w:asciiTheme="minorHAnsi" w:hAnsiTheme="minorHAnsi" w:cstheme="minorHAnsi"/>
          <w:sz w:val="24"/>
          <w:szCs w:val="24"/>
        </w:rPr>
      </w:pPr>
      <w:hyperlink r:id="rId6" w:history="1">
        <w:r w:rsidR="000B63BF" w:rsidRPr="006F72B7">
          <w:rPr>
            <w:rStyle w:val="Hyperlink"/>
            <w:rFonts w:asciiTheme="minorHAnsi" w:hAnsiTheme="minorHAnsi" w:cstheme="minorHAnsi"/>
            <w:sz w:val="24"/>
            <w:szCs w:val="24"/>
          </w:rPr>
          <w:t>sophie.staniszewska@warwick.ac.uk</w:t>
        </w:r>
      </w:hyperlink>
    </w:p>
    <w:p w:rsidR="003A1FDD" w:rsidRPr="006F72B7" w:rsidRDefault="003A1FDD" w:rsidP="007479D0">
      <w:pPr>
        <w:jc w:val="both"/>
        <w:rPr>
          <w:rFonts w:asciiTheme="minorHAnsi" w:hAnsiTheme="minorHAnsi" w:cstheme="minorHAnsi"/>
          <w:sz w:val="24"/>
          <w:szCs w:val="24"/>
        </w:rPr>
      </w:pPr>
    </w:p>
    <w:p w:rsidR="000946C6" w:rsidRPr="006F72B7" w:rsidRDefault="000946C6" w:rsidP="007479D0">
      <w:pPr>
        <w:jc w:val="both"/>
        <w:rPr>
          <w:rStyle w:val="Hyperlink"/>
          <w:rFonts w:asciiTheme="minorHAnsi" w:hAnsiTheme="minorHAnsi" w:cstheme="minorHAnsi"/>
          <w:sz w:val="24"/>
          <w:szCs w:val="24"/>
          <w:lang w:val="en"/>
        </w:rPr>
      </w:pPr>
      <w:r w:rsidRPr="006F72B7">
        <w:rPr>
          <w:rFonts w:asciiTheme="minorHAnsi" w:hAnsiTheme="minorHAnsi" w:cstheme="minorHAnsi"/>
          <w:sz w:val="24"/>
          <w:szCs w:val="24"/>
        </w:rPr>
        <w:lastRenderedPageBreak/>
        <w:t xml:space="preserve">Staniszewska S et al (2017). </w:t>
      </w:r>
      <w:r w:rsidRPr="006F72B7">
        <w:rPr>
          <w:rFonts w:asciiTheme="minorHAnsi" w:hAnsiTheme="minorHAnsi" w:cstheme="minorHAnsi"/>
          <w:sz w:val="24"/>
          <w:szCs w:val="24"/>
          <w:lang w:val="en"/>
        </w:rPr>
        <w:t xml:space="preserve">GRIPP2 reporting checklists: tools to improve reporting of patient and public involvement in research. </w:t>
      </w:r>
      <w:r w:rsidRPr="006F72B7">
        <w:rPr>
          <w:rStyle w:val="journaltitle2"/>
          <w:rFonts w:asciiTheme="minorHAnsi" w:hAnsiTheme="minorHAnsi" w:cstheme="minorHAnsi"/>
          <w:sz w:val="24"/>
          <w:szCs w:val="24"/>
          <w:lang w:val="en"/>
          <w:specVanish w:val="0"/>
        </w:rPr>
        <w:t xml:space="preserve">Research Involvement and Engagement </w:t>
      </w:r>
      <w:r w:rsidRPr="006F72B7">
        <w:rPr>
          <w:rStyle w:val="articlecitationyear1"/>
          <w:rFonts w:asciiTheme="minorHAnsi" w:hAnsiTheme="minorHAnsi" w:cstheme="minorHAnsi"/>
          <w:i/>
          <w:sz w:val="24"/>
          <w:szCs w:val="24"/>
          <w:lang w:val="en"/>
          <w:specVanish w:val="0"/>
        </w:rPr>
        <w:t>2017</w:t>
      </w:r>
      <w:r w:rsidRPr="006F72B7">
        <w:rPr>
          <w:rStyle w:val="articlecitationyear1"/>
          <w:rFonts w:asciiTheme="minorHAnsi" w:hAnsiTheme="minorHAnsi" w:cstheme="minorHAnsi"/>
          <w:sz w:val="24"/>
          <w:szCs w:val="24"/>
          <w:lang w:val="en"/>
          <w:specVanish w:val="0"/>
        </w:rPr>
        <w:t xml:space="preserve">:13 </w:t>
      </w:r>
      <w:hyperlink r:id="rId7" w:history="1">
        <w:r w:rsidR="0010023F" w:rsidRPr="006F72B7">
          <w:rPr>
            <w:rStyle w:val="Hyperlink"/>
            <w:rFonts w:asciiTheme="minorHAnsi" w:hAnsiTheme="minorHAnsi" w:cstheme="minorHAnsi"/>
            <w:sz w:val="24"/>
            <w:szCs w:val="24"/>
            <w:lang w:val="en"/>
          </w:rPr>
          <w:t>https://doi.org/10.1186/s40900-017-0062-2</w:t>
        </w:r>
      </w:hyperlink>
    </w:p>
    <w:p w:rsidR="00B01EE5" w:rsidRPr="006F72B7" w:rsidRDefault="00B01EE5" w:rsidP="007479D0">
      <w:pPr>
        <w:jc w:val="both"/>
        <w:rPr>
          <w:rStyle w:val="Hyperlink"/>
          <w:rFonts w:asciiTheme="minorHAnsi" w:hAnsiTheme="minorHAnsi" w:cstheme="minorHAnsi"/>
          <w:sz w:val="24"/>
          <w:szCs w:val="24"/>
          <w:lang w:val="en"/>
        </w:rPr>
      </w:pPr>
    </w:p>
    <w:p w:rsidR="00B01EE5" w:rsidRPr="006F72B7" w:rsidRDefault="00B01EE5" w:rsidP="007479D0">
      <w:pPr>
        <w:jc w:val="both"/>
        <w:rPr>
          <w:rStyle w:val="ft"/>
          <w:rFonts w:asciiTheme="minorHAnsi" w:hAnsiTheme="minorHAnsi" w:cstheme="minorHAnsi"/>
          <w:color w:val="222222"/>
          <w:sz w:val="24"/>
          <w:szCs w:val="24"/>
        </w:rPr>
      </w:pPr>
      <w:r w:rsidRPr="006F72B7">
        <w:rPr>
          <w:rFonts w:asciiTheme="minorHAnsi" w:hAnsiTheme="minorHAnsi" w:cstheme="minorHAnsi"/>
          <w:sz w:val="24"/>
          <w:szCs w:val="24"/>
        </w:rPr>
        <w:t xml:space="preserve">Staniszewska S, </w:t>
      </w:r>
      <w:proofErr w:type="spellStart"/>
      <w:r w:rsidRPr="006F72B7">
        <w:rPr>
          <w:rFonts w:asciiTheme="minorHAnsi" w:hAnsiTheme="minorHAnsi" w:cstheme="minorHAnsi"/>
          <w:sz w:val="24"/>
          <w:szCs w:val="24"/>
        </w:rPr>
        <w:t>Adebajo</w:t>
      </w:r>
      <w:proofErr w:type="spellEnd"/>
      <w:r w:rsidRPr="006F72B7">
        <w:rPr>
          <w:rFonts w:asciiTheme="minorHAnsi" w:hAnsiTheme="minorHAnsi" w:cstheme="minorHAnsi"/>
          <w:sz w:val="24"/>
          <w:szCs w:val="24"/>
        </w:rPr>
        <w:t xml:space="preserve"> A, Barber R, Beresford P, Brady L, Brett J, Elliott J, Evans D, Haywood K, Jones D, Mockford C, Nettle M, Rose D, Williamson T (2011). Patient and public involvement: the case for measurement. International Journal of Consumer Studies. </w:t>
      </w:r>
      <w:r w:rsidRPr="006F72B7">
        <w:rPr>
          <w:rStyle w:val="ft"/>
          <w:rFonts w:asciiTheme="minorHAnsi" w:hAnsiTheme="minorHAnsi" w:cstheme="minorHAnsi"/>
          <w:color w:val="222222"/>
          <w:sz w:val="24"/>
          <w:szCs w:val="24"/>
        </w:rPr>
        <w:t xml:space="preserve">Volume 35, (6): 628–632. </w:t>
      </w:r>
    </w:p>
    <w:p w:rsidR="000946C6" w:rsidRPr="006F72B7" w:rsidRDefault="000946C6" w:rsidP="007479D0">
      <w:pPr>
        <w:jc w:val="both"/>
        <w:rPr>
          <w:rFonts w:asciiTheme="minorHAnsi" w:hAnsiTheme="minorHAnsi" w:cstheme="minorHAnsi"/>
          <w:sz w:val="24"/>
          <w:szCs w:val="24"/>
        </w:rPr>
      </w:pPr>
    </w:p>
    <w:p w:rsidR="00BD5233" w:rsidRPr="006F72B7" w:rsidRDefault="00BD5233" w:rsidP="007479D0">
      <w:pPr>
        <w:jc w:val="both"/>
        <w:rPr>
          <w:rFonts w:asciiTheme="minorHAnsi" w:hAnsiTheme="minorHAnsi" w:cstheme="minorHAnsi"/>
          <w:color w:val="444444"/>
          <w:sz w:val="24"/>
          <w:szCs w:val="24"/>
          <w:lang w:val="en-US"/>
        </w:rPr>
      </w:pPr>
      <w:r w:rsidRPr="006F72B7">
        <w:rPr>
          <w:rFonts w:asciiTheme="minorHAnsi" w:hAnsiTheme="minorHAnsi" w:cstheme="minorHAnsi"/>
          <w:color w:val="444444"/>
          <w:sz w:val="24"/>
          <w:szCs w:val="24"/>
          <w:lang w:val="en-US"/>
        </w:rPr>
        <w:t xml:space="preserve">Doug Altman, founder of the EQUATOR Network and Centre for Statistics in Medicine at the University of Oxford, passed away on Sunday 3 June 2018. Doug supported the development of GRIPP2 with kindness, insight and inspiration. </w:t>
      </w:r>
    </w:p>
    <w:p w:rsidR="00BD5233" w:rsidRPr="006F72B7" w:rsidRDefault="00BD5233" w:rsidP="00BD5233">
      <w:pPr>
        <w:rPr>
          <w:rFonts w:asciiTheme="minorHAnsi" w:hAnsiTheme="minorHAnsi" w:cstheme="minorHAnsi"/>
          <w:color w:val="1F497D"/>
          <w:sz w:val="24"/>
          <w:szCs w:val="24"/>
        </w:rPr>
      </w:pPr>
    </w:p>
    <w:p w:rsidR="00BD5233" w:rsidRPr="006F72B7" w:rsidRDefault="00BD5233" w:rsidP="00BD5233">
      <w:pPr>
        <w:spacing w:after="150" w:line="315" w:lineRule="atLeast"/>
        <w:ind w:left="300" w:right="300"/>
        <w:rPr>
          <w:rFonts w:asciiTheme="minorHAnsi" w:hAnsiTheme="minorHAnsi" w:cstheme="minorHAnsi"/>
          <w:color w:val="444444"/>
          <w:sz w:val="24"/>
          <w:szCs w:val="24"/>
          <w:lang w:val="en-US"/>
        </w:rPr>
      </w:pPr>
      <w:r w:rsidRPr="006F72B7">
        <w:rPr>
          <w:rFonts w:asciiTheme="minorHAnsi" w:hAnsiTheme="minorHAnsi" w:cstheme="minorHAnsi"/>
          <w:noProof/>
          <w:color w:val="444444"/>
          <w:sz w:val="24"/>
          <w:szCs w:val="24"/>
          <w:lang w:eastAsia="en-GB"/>
        </w:rPr>
        <w:drawing>
          <wp:inline distT="0" distB="0" distL="0" distR="0">
            <wp:extent cx="4819650" cy="2409825"/>
            <wp:effectExtent l="0" t="0" r="0" b="9525"/>
            <wp:docPr id="1" name="Picture 1" descr="http://www.equator-network.org/wp-content/uploads/2018/06/Doug-in-mem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quator-network.org/wp-content/uploads/2018/06/Doug-in-memor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2409825"/>
                    </a:xfrm>
                    <a:prstGeom prst="rect">
                      <a:avLst/>
                    </a:prstGeom>
                    <a:noFill/>
                    <a:ln>
                      <a:noFill/>
                    </a:ln>
                  </pic:spPr>
                </pic:pic>
              </a:graphicData>
            </a:graphic>
          </wp:inline>
        </w:drawing>
      </w:r>
    </w:p>
    <w:p w:rsidR="00101A1D" w:rsidRDefault="00101A1D" w:rsidP="00BD5233">
      <w:pPr>
        <w:spacing w:after="150" w:line="315" w:lineRule="atLeast"/>
        <w:ind w:left="300" w:right="300"/>
        <w:rPr>
          <w:rStyle w:val="Hyperlink"/>
          <w:rFonts w:asciiTheme="minorHAnsi" w:hAnsiTheme="minorHAnsi" w:cstheme="minorHAnsi"/>
          <w:sz w:val="24"/>
          <w:szCs w:val="24"/>
          <w:lang w:val="en-US"/>
        </w:rPr>
      </w:pPr>
      <w:r w:rsidRPr="006F72B7">
        <w:rPr>
          <w:rFonts w:asciiTheme="minorHAnsi" w:hAnsiTheme="minorHAnsi" w:cstheme="minorHAnsi"/>
          <w:color w:val="444444"/>
          <w:sz w:val="24"/>
          <w:szCs w:val="24"/>
          <w:lang w:val="en-US"/>
        </w:rPr>
        <w:t xml:space="preserve">Photograph with kind permission from </w:t>
      </w:r>
      <w:hyperlink r:id="rId9" w:history="1">
        <w:r w:rsidRPr="006F72B7">
          <w:rPr>
            <w:rStyle w:val="Hyperlink"/>
            <w:rFonts w:asciiTheme="minorHAnsi" w:hAnsiTheme="minorHAnsi" w:cstheme="minorHAnsi"/>
            <w:sz w:val="24"/>
            <w:szCs w:val="24"/>
            <w:lang w:val="en-US"/>
          </w:rPr>
          <w:t>NDORMS</w:t>
        </w:r>
      </w:hyperlink>
    </w:p>
    <w:p w:rsidR="006A4982" w:rsidRDefault="006A4982">
      <w:pPr>
        <w:spacing w:after="160" w:line="259" w:lineRule="auto"/>
        <w:rPr>
          <w:rStyle w:val="Hyperlink"/>
          <w:rFonts w:asciiTheme="minorHAnsi" w:hAnsiTheme="minorHAnsi" w:cstheme="minorHAnsi"/>
          <w:sz w:val="24"/>
          <w:szCs w:val="24"/>
          <w:lang w:val="en-US"/>
        </w:rPr>
      </w:pPr>
      <w:r>
        <w:rPr>
          <w:rStyle w:val="Hyperlink"/>
          <w:rFonts w:asciiTheme="minorHAnsi" w:hAnsiTheme="minorHAnsi" w:cstheme="minorHAnsi"/>
          <w:sz w:val="24"/>
          <w:szCs w:val="24"/>
          <w:lang w:val="en-US"/>
        </w:rPr>
        <w:br w:type="page"/>
      </w:r>
    </w:p>
    <w:p w:rsidR="006A4982" w:rsidRPr="002A73C3" w:rsidRDefault="006A4982" w:rsidP="006A4982">
      <w:pPr>
        <w:spacing w:before="100" w:beforeAutospacing="1" w:after="160" w:line="252" w:lineRule="auto"/>
        <w:jc w:val="both"/>
        <w:rPr>
          <w:rFonts w:asciiTheme="minorHAnsi" w:hAnsiTheme="minorHAnsi" w:cstheme="minorHAnsi"/>
          <w:b/>
          <w:sz w:val="20"/>
          <w:szCs w:val="20"/>
        </w:rPr>
      </w:pPr>
      <w:r w:rsidRPr="002A73C3">
        <w:rPr>
          <w:rFonts w:asciiTheme="minorHAnsi" w:hAnsiTheme="minorHAnsi" w:cstheme="minorHAnsi"/>
          <w:b/>
          <w:sz w:val="20"/>
          <w:szCs w:val="20"/>
        </w:rPr>
        <w:lastRenderedPageBreak/>
        <w:t>Quality and Impact of Patient and Public Involvement (PPI) in Primary Care Research</w:t>
      </w:r>
    </w:p>
    <w:p w:rsidR="006A4982" w:rsidRPr="002A73C3" w:rsidRDefault="006A4982" w:rsidP="006A4982">
      <w:pPr>
        <w:spacing w:before="100" w:beforeAutospacing="1" w:after="160" w:line="252" w:lineRule="auto"/>
        <w:jc w:val="both"/>
        <w:rPr>
          <w:rFonts w:asciiTheme="minorHAnsi" w:hAnsiTheme="minorHAnsi" w:cstheme="minorHAnsi"/>
          <w:sz w:val="20"/>
          <w:szCs w:val="20"/>
        </w:rPr>
      </w:pPr>
      <w:r w:rsidRPr="002A73C3">
        <w:rPr>
          <w:rFonts w:asciiTheme="minorHAnsi" w:hAnsiTheme="minorHAnsi" w:cstheme="minorHAnsi"/>
          <w:sz w:val="20"/>
          <w:szCs w:val="20"/>
        </w:rPr>
        <w:t xml:space="preserve">Researchers at </w:t>
      </w:r>
      <w:proofErr w:type="spellStart"/>
      <w:r w:rsidRPr="002A73C3">
        <w:rPr>
          <w:rFonts w:asciiTheme="minorHAnsi" w:hAnsiTheme="minorHAnsi" w:cstheme="minorHAnsi"/>
          <w:sz w:val="20"/>
          <w:szCs w:val="20"/>
        </w:rPr>
        <w:t>Keele</w:t>
      </w:r>
      <w:proofErr w:type="spellEnd"/>
      <w:r w:rsidRPr="002A73C3">
        <w:rPr>
          <w:rFonts w:asciiTheme="minorHAnsi" w:hAnsiTheme="minorHAnsi" w:cstheme="minorHAnsi"/>
          <w:sz w:val="20"/>
          <w:szCs w:val="20"/>
        </w:rPr>
        <w:t xml:space="preserve">, in collaboration with Birmingham University and UCL, have published the findings of a NIHR School for Primary Care Research (SPCR) funded study examining the </w:t>
      </w:r>
      <w:hyperlink r:id="rId10" w:tgtFrame="_blank" w:history="1">
        <w:r w:rsidRPr="002A73C3">
          <w:rPr>
            <w:rStyle w:val="Hyperlink"/>
            <w:rFonts w:asciiTheme="minorHAnsi" w:hAnsiTheme="minorHAnsi" w:cstheme="minorHAnsi"/>
            <w:color w:val="0563C1"/>
            <w:sz w:val="20"/>
            <w:szCs w:val="20"/>
          </w:rPr>
          <w:t>extent, quality and impact of patient and public involvement (PPI) in primary care research</w:t>
        </w:r>
      </w:hyperlink>
      <w:r w:rsidRPr="002A73C3">
        <w:rPr>
          <w:rFonts w:asciiTheme="minorHAnsi" w:hAnsiTheme="minorHAnsi" w:cstheme="minorHAnsi"/>
          <w:sz w:val="20"/>
          <w:szCs w:val="20"/>
        </w:rPr>
        <w:t>.</w:t>
      </w:r>
    </w:p>
    <w:p w:rsidR="006A4982" w:rsidRPr="002A73C3" w:rsidRDefault="006A4982" w:rsidP="006A4982">
      <w:pPr>
        <w:spacing w:before="100" w:beforeAutospacing="1" w:after="160" w:line="252" w:lineRule="auto"/>
        <w:jc w:val="both"/>
        <w:rPr>
          <w:rFonts w:asciiTheme="minorHAnsi" w:hAnsiTheme="minorHAnsi" w:cstheme="minorHAnsi"/>
          <w:sz w:val="20"/>
          <w:szCs w:val="20"/>
        </w:rPr>
      </w:pPr>
      <w:r w:rsidRPr="002A73C3">
        <w:rPr>
          <w:rFonts w:asciiTheme="minorHAnsi" w:hAnsiTheme="minorHAnsi" w:cstheme="minorHAnsi"/>
          <w:sz w:val="20"/>
          <w:szCs w:val="20"/>
        </w:rPr>
        <w:t xml:space="preserve">Developed and conducted in partnership with public contributors, the study examined in depth the role of PPI in 200 primary care projects and a survey of 191 researchers. Previous studies have tended to focus on extent and impact of PPI. But knowing the </w:t>
      </w:r>
      <w:r w:rsidRPr="002A73C3">
        <w:rPr>
          <w:rFonts w:asciiTheme="minorHAnsi" w:hAnsiTheme="minorHAnsi" w:cstheme="minorHAnsi"/>
          <w:b/>
          <w:bCs/>
          <w:sz w:val="20"/>
          <w:szCs w:val="20"/>
        </w:rPr>
        <w:t>quality</w:t>
      </w:r>
      <w:r w:rsidRPr="002A73C3">
        <w:rPr>
          <w:rFonts w:asciiTheme="minorHAnsi" w:hAnsiTheme="minorHAnsi" w:cstheme="minorHAnsi"/>
          <w:sz w:val="20"/>
          <w:szCs w:val="20"/>
        </w:rPr>
        <w:t xml:space="preserve"> of PPI is just as essential. This is the first study to systematically investigate the quality and impact of PPI across a wide cohort of primary care research studies.</w:t>
      </w:r>
    </w:p>
    <w:p w:rsidR="006A4982" w:rsidRPr="002A73C3" w:rsidRDefault="006A4982" w:rsidP="006A4982">
      <w:pPr>
        <w:spacing w:before="100" w:beforeAutospacing="1" w:after="160" w:line="252" w:lineRule="auto"/>
        <w:jc w:val="both"/>
        <w:rPr>
          <w:rFonts w:asciiTheme="minorHAnsi" w:hAnsiTheme="minorHAnsi" w:cstheme="minorHAnsi"/>
          <w:sz w:val="20"/>
          <w:szCs w:val="20"/>
        </w:rPr>
      </w:pPr>
      <w:r w:rsidRPr="002A73C3">
        <w:rPr>
          <w:rFonts w:asciiTheme="minorHAnsi" w:hAnsiTheme="minorHAnsi" w:cstheme="minorHAnsi"/>
          <w:sz w:val="20"/>
          <w:szCs w:val="20"/>
        </w:rPr>
        <w:t>The research team found that between 2008 and 2014, only a quarter (24%) of grant applications included PPI and less than half of studies (46%) provided details of PPI conducted during the study in their annual and/or final reports. Inconsistencies between the plans to conduct PPI during a study and the reported delivery of that activity were found. There were also inconsistencies in PPI practice across research design and topics. Examples of good practice were evident, making a positive impact to research. However, the main cost of PPI for researchers was their time.</w:t>
      </w:r>
    </w:p>
    <w:p w:rsidR="006A4982" w:rsidRDefault="006A4982" w:rsidP="006A4982">
      <w:pPr>
        <w:spacing w:before="100" w:beforeAutospacing="1" w:after="100" w:afterAutospacing="1"/>
        <w:jc w:val="both"/>
        <w:rPr>
          <w:rFonts w:asciiTheme="minorHAnsi" w:hAnsiTheme="minorHAnsi" w:cstheme="minorHAnsi"/>
          <w:sz w:val="20"/>
          <w:szCs w:val="20"/>
        </w:rPr>
      </w:pPr>
      <w:r w:rsidRPr="002A73C3">
        <w:rPr>
          <w:rFonts w:asciiTheme="minorHAnsi" w:hAnsiTheme="minorHAnsi" w:cstheme="minorHAnsi"/>
          <w:sz w:val="20"/>
          <w:szCs w:val="20"/>
        </w:rPr>
        <w:t xml:space="preserve">This study has highlighted the </w:t>
      </w:r>
      <w:r w:rsidRPr="002A73C3">
        <w:rPr>
          <w:rFonts w:asciiTheme="minorHAnsi" w:hAnsiTheme="minorHAnsi" w:cstheme="minorHAnsi"/>
          <w:color w:val="131413"/>
          <w:sz w:val="20"/>
          <w:szCs w:val="20"/>
        </w:rPr>
        <w:t xml:space="preserve">benefits, harms and costs (financial and non-financial) of PPI </w:t>
      </w:r>
      <w:r w:rsidRPr="002A73C3">
        <w:rPr>
          <w:rFonts w:asciiTheme="minorHAnsi" w:hAnsiTheme="minorHAnsi" w:cstheme="minorHAnsi"/>
          <w:sz w:val="20"/>
          <w:szCs w:val="20"/>
        </w:rPr>
        <w:t xml:space="preserve">to produce a ‘Cost and Consequences Framework’ </w:t>
      </w:r>
      <w:r w:rsidRPr="002A73C3">
        <w:rPr>
          <w:rFonts w:asciiTheme="minorHAnsi" w:hAnsiTheme="minorHAnsi" w:cstheme="minorHAnsi"/>
          <w:color w:val="131413"/>
          <w:sz w:val="20"/>
          <w:szCs w:val="20"/>
        </w:rPr>
        <w:t>which may help others assess the impacts of PPI</w:t>
      </w:r>
      <w:r w:rsidRPr="002A73C3">
        <w:rPr>
          <w:rFonts w:asciiTheme="minorHAnsi" w:hAnsiTheme="minorHAnsi" w:cstheme="minorHAnsi"/>
          <w:sz w:val="20"/>
          <w:szCs w:val="20"/>
        </w:rPr>
        <w:t>. Furthermore, the findings and recommendations have influenced the SPCR’s current strategy and resources for PPI.</w:t>
      </w:r>
    </w:p>
    <w:p w:rsidR="006A4982" w:rsidRDefault="006A4982" w:rsidP="006A4982">
      <w:pPr>
        <w:spacing w:before="100" w:beforeAutospacing="1" w:after="100" w:afterAutospacing="1"/>
        <w:jc w:val="both"/>
        <w:rPr>
          <w:rFonts w:asciiTheme="minorHAnsi" w:hAnsiTheme="minorHAnsi" w:cstheme="minorHAnsi"/>
          <w:sz w:val="20"/>
          <w:szCs w:val="20"/>
        </w:rPr>
      </w:pPr>
    </w:p>
    <w:p w:rsidR="006A4982" w:rsidRPr="002146E3" w:rsidRDefault="006A4982" w:rsidP="006A4982">
      <w:pPr>
        <w:jc w:val="both"/>
        <w:rPr>
          <w:rFonts w:cs="Arial"/>
          <w:b/>
          <w:sz w:val="24"/>
          <w:szCs w:val="24"/>
          <w:lang w:val="en-US"/>
        </w:rPr>
      </w:pPr>
      <w:r w:rsidRPr="002146E3">
        <w:rPr>
          <w:rFonts w:cs="Arial"/>
          <w:b/>
          <w:sz w:val="24"/>
          <w:szCs w:val="24"/>
          <w:lang w:val="en-US"/>
        </w:rPr>
        <w:t>PPI advice for evaluation of BUMP</w:t>
      </w:r>
    </w:p>
    <w:p w:rsidR="006A4982" w:rsidRPr="002146E3" w:rsidRDefault="006A4982" w:rsidP="006A4982">
      <w:pPr>
        <w:jc w:val="both"/>
        <w:rPr>
          <w:rFonts w:cs="Arial"/>
          <w:sz w:val="24"/>
          <w:szCs w:val="24"/>
          <w:lang w:val="en-US"/>
        </w:rPr>
      </w:pPr>
    </w:p>
    <w:p w:rsidR="006A4982" w:rsidRPr="002146E3" w:rsidRDefault="006A4982" w:rsidP="006A4982">
      <w:pPr>
        <w:jc w:val="both"/>
        <w:rPr>
          <w:rFonts w:cs="Arial"/>
          <w:sz w:val="24"/>
          <w:szCs w:val="24"/>
          <w:lang w:val="en-US"/>
        </w:rPr>
      </w:pPr>
      <w:r w:rsidRPr="002146E3">
        <w:rPr>
          <w:rFonts w:cs="Arial"/>
          <w:sz w:val="24"/>
          <w:szCs w:val="24"/>
          <w:lang w:val="en-US"/>
        </w:rPr>
        <w:t xml:space="preserve">CLAHRC WM researchers from our Maternity and Child Health Theme are evaluating how the </w:t>
      </w:r>
      <w:hyperlink r:id="rId11" w:history="1">
        <w:r w:rsidRPr="002146E3">
          <w:rPr>
            <w:rStyle w:val="Hyperlink"/>
            <w:rFonts w:cs="Arial"/>
            <w:sz w:val="24"/>
            <w:szCs w:val="24"/>
            <w:lang w:val="en-US"/>
          </w:rPr>
          <w:t xml:space="preserve">Birmingham and </w:t>
        </w:r>
        <w:proofErr w:type="spellStart"/>
        <w:r w:rsidRPr="002146E3">
          <w:rPr>
            <w:rStyle w:val="Hyperlink"/>
            <w:rFonts w:cs="Arial"/>
            <w:sz w:val="24"/>
            <w:szCs w:val="24"/>
            <w:lang w:val="en-US"/>
          </w:rPr>
          <w:t>Solihull</w:t>
        </w:r>
        <w:proofErr w:type="spellEnd"/>
        <w:r w:rsidRPr="002146E3">
          <w:rPr>
            <w:rStyle w:val="Hyperlink"/>
            <w:rFonts w:cs="Arial"/>
            <w:sz w:val="24"/>
            <w:szCs w:val="24"/>
            <w:lang w:val="en-US"/>
          </w:rPr>
          <w:t xml:space="preserve"> United Maternity and Newborn Partnership (BUMP)</w:t>
        </w:r>
      </w:hyperlink>
      <w:r w:rsidRPr="002146E3">
        <w:rPr>
          <w:rFonts w:cs="Arial"/>
          <w:sz w:val="24"/>
          <w:szCs w:val="24"/>
          <w:lang w:val="en-US"/>
        </w:rPr>
        <w:t xml:space="preserve"> is putting into practice the recommendations of the National Maternity Review called ‘</w:t>
      </w:r>
      <w:hyperlink r:id="rId12" w:history="1">
        <w:r w:rsidRPr="002146E3">
          <w:rPr>
            <w:rStyle w:val="Hyperlink"/>
            <w:rFonts w:cs="Arial"/>
            <w:sz w:val="24"/>
            <w:szCs w:val="24"/>
            <w:lang w:val="en-US"/>
          </w:rPr>
          <w:t>Better Births</w:t>
        </w:r>
      </w:hyperlink>
      <w:r w:rsidRPr="002146E3">
        <w:rPr>
          <w:rFonts w:cs="Arial"/>
          <w:sz w:val="24"/>
          <w:szCs w:val="24"/>
          <w:lang w:val="en-US"/>
        </w:rPr>
        <w:t>’. The evaluation is looking at what service changes are planned, how the implementation process is going, and what is helping and hindering getting any changes put into practice. The results will be used to inform BUMP as one of the Early Adopter sites as well as other maternity services in order to facilitate shared learning.</w:t>
      </w:r>
    </w:p>
    <w:p w:rsidR="006A4982" w:rsidRPr="002146E3" w:rsidRDefault="006A4982" w:rsidP="006A4982">
      <w:pPr>
        <w:jc w:val="both"/>
        <w:rPr>
          <w:rFonts w:cs="Arial"/>
          <w:sz w:val="24"/>
          <w:szCs w:val="24"/>
          <w:lang w:val="en-US"/>
        </w:rPr>
      </w:pPr>
    </w:p>
    <w:p w:rsidR="006A4982" w:rsidRPr="002146E3" w:rsidRDefault="006A4982" w:rsidP="006A4982">
      <w:pPr>
        <w:jc w:val="both"/>
        <w:rPr>
          <w:iCs/>
          <w:sz w:val="24"/>
          <w:szCs w:val="24"/>
        </w:rPr>
      </w:pPr>
      <w:r w:rsidRPr="002146E3">
        <w:rPr>
          <w:iCs/>
          <w:sz w:val="24"/>
          <w:szCs w:val="24"/>
        </w:rPr>
        <w:t>Involving our Advisors in our evaluation really challenged us and made us think about how we put women and babies at the centre of our research in maternity services.  Graham, Jane and Ruth gave us advice regarding what questions we needed to ask, and what measures to undertake, to evaluate the role women and families play in the work the NHS is doing to improve maternity services</w:t>
      </w:r>
      <w:r w:rsidRPr="002146E3">
        <w:rPr>
          <w:sz w:val="24"/>
          <w:szCs w:val="24"/>
        </w:rPr>
        <w:t>. They helped make sure we scrutinised the implementation closely, and stressed the importance of understanding how BUMP is involving women in the design and implementation of the changes to services.</w:t>
      </w:r>
      <w:r w:rsidRPr="002146E3">
        <w:rPr>
          <w:iCs/>
          <w:sz w:val="24"/>
          <w:szCs w:val="24"/>
        </w:rPr>
        <w:t xml:space="preserve">  We involved our Advisors in creating participant information leaflets to ensure that the language is clear and understandable to women and families. This has improved our evaluation, and means our findings and recommendations for services will have a stronger focus on how real people can and should be involved in service improvement.  We can also tell our own story about the value of involving patients and public to our NHS partners!</w:t>
      </w:r>
    </w:p>
    <w:p w:rsidR="006A4982" w:rsidRPr="002146E3" w:rsidRDefault="006A4982" w:rsidP="006A4982">
      <w:pPr>
        <w:jc w:val="both"/>
        <w:rPr>
          <w:iCs/>
          <w:sz w:val="24"/>
          <w:szCs w:val="24"/>
        </w:rPr>
      </w:pPr>
    </w:p>
    <w:p w:rsidR="006A4982" w:rsidRPr="006A4982" w:rsidRDefault="006A4982" w:rsidP="006A4982">
      <w:pPr>
        <w:jc w:val="both"/>
        <w:rPr>
          <w:iCs/>
          <w:sz w:val="24"/>
          <w:szCs w:val="24"/>
        </w:rPr>
      </w:pPr>
      <w:r w:rsidRPr="002146E3">
        <w:rPr>
          <w:iCs/>
          <w:sz w:val="24"/>
          <w:szCs w:val="24"/>
        </w:rPr>
        <w:t>For more information about the BUMP evaluation, contact Beck Taylor: b.taylor.3@bham.ac.uk</w:t>
      </w:r>
    </w:p>
    <w:p w:rsidR="006A4982" w:rsidRPr="006F72B7" w:rsidRDefault="006A4982" w:rsidP="006A4982">
      <w:pPr>
        <w:spacing w:after="150" w:line="315" w:lineRule="atLeast"/>
        <w:ind w:right="300"/>
        <w:rPr>
          <w:rFonts w:asciiTheme="minorHAnsi" w:hAnsiTheme="minorHAnsi" w:cstheme="minorHAnsi"/>
          <w:color w:val="444444"/>
          <w:sz w:val="24"/>
          <w:szCs w:val="24"/>
          <w:lang w:val="en-US"/>
        </w:rPr>
      </w:pPr>
      <w:bookmarkStart w:id="0" w:name="_GoBack"/>
      <w:bookmarkEnd w:id="0"/>
    </w:p>
    <w:sectPr w:rsidR="006A4982" w:rsidRPr="006F72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655EFB"/>
    <w:multiLevelType w:val="hybridMultilevel"/>
    <w:tmpl w:val="56E4F7E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6C6"/>
    <w:rsid w:val="000946C6"/>
    <w:rsid w:val="000B63BF"/>
    <w:rsid w:val="0010023F"/>
    <w:rsid w:val="00101A1D"/>
    <w:rsid w:val="003A1FDD"/>
    <w:rsid w:val="00555858"/>
    <w:rsid w:val="006A4982"/>
    <w:rsid w:val="006F72B7"/>
    <w:rsid w:val="007479D0"/>
    <w:rsid w:val="00A64C56"/>
    <w:rsid w:val="00B01EE5"/>
    <w:rsid w:val="00BD5233"/>
    <w:rsid w:val="00BD58D9"/>
    <w:rsid w:val="00D86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F207E-41FA-40A8-A13A-09A96D46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6C6"/>
    <w:pPr>
      <w:spacing w:after="0" w:line="240" w:lineRule="auto"/>
    </w:pPr>
    <w:rPr>
      <w:rFonts w:ascii="Calibri" w:hAnsi="Calibri" w:cs="Times New Roman"/>
    </w:rPr>
  </w:style>
  <w:style w:type="paragraph" w:styleId="Heading3">
    <w:name w:val="heading 3"/>
    <w:basedOn w:val="Normal"/>
    <w:link w:val="Heading3Char"/>
    <w:uiPriority w:val="9"/>
    <w:qFormat/>
    <w:rsid w:val="00BD5233"/>
    <w:pPr>
      <w:spacing w:before="100" w:beforeAutospacing="1" w:after="90" w:line="360" w:lineRule="atLeast"/>
      <w:outlineLvl w:val="2"/>
    </w:pPr>
    <w:rPr>
      <w:rFonts w:ascii="Arial" w:eastAsia="Times New Roman" w:hAnsi="Arial" w:cs="Arial"/>
      <w:b/>
      <w:bCs/>
      <w:color w:val="333333"/>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6C6"/>
    <w:pPr>
      <w:ind w:left="720"/>
    </w:pPr>
  </w:style>
  <w:style w:type="character" w:styleId="Hyperlink">
    <w:name w:val="Hyperlink"/>
    <w:basedOn w:val="DefaultParagraphFont"/>
    <w:uiPriority w:val="99"/>
    <w:unhideWhenUsed/>
    <w:rsid w:val="000946C6"/>
    <w:rPr>
      <w:color w:val="0563C1" w:themeColor="hyperlink"/>
      <w:u w:val="single"/>
    </w:rPr>
  </w:style>
  <w:style w:type="character" w:customStyle="1" w:styleId="journaltitle2">
    <w:name w:val="journaltitle2"/>
    <w:rsid w:val="000946C6"/>
    <w:rPr>
      <w:i/>
      <w:iCs/>
      <w:vanish/>
      <w:webHidden w:val="0"/>
      <w:specVanish/>
    </w:rPr>
  </w:style>
  <w:style w:type="character" w:customStyle="1" w:styleId="articlecitationyear1">
    <w:name w:val="articlecitation_year1"/>
    <w:rsid w:val="000946C6"/>
    <w:rPr>
      <w:vanish/>
      <w:webHidden w:val="0"/>
      <w:specVanish/>
    </w:rPr>
  </w:style>
  <w:style w:type="character" w:customStyle="1" w:styleId="Heading3Char">
    <w:name w:val="Heading 3 Char"/>
    <w:basedOn w:val="DefaultParagraphFont"/>
    <w:link w:val="Heading3"/>
    <w:uiPriority w:val="9"/>
    <w:rsid w:val="00BD5233"/>
    <w:rPr>
      <w:rFonts w:ascii="Arial" w:eastAsia="Times New Roman" w:hAnsi="Arial" w:cs="Arial"/>
      <w:b/>
      <w:bCs/>
      <w:color w:val="333333"/>
      <w:sz w:val="26"/>
      <w:szCs w:val="26"/>
      <w:lang w:eastAsia="en-GB"/>
    </w:rPr>
  </w:style>
  <w:style w:type="paragraph" w:styleId="z-TopofForm">
    <w:name w:val="HTML Top of Form"/>
    <w:basedOn w:val="Normal"/>
    <w:next w:val="Normal"/>
    <w:link w:val="z-TopofFormChar"/>
    <w:hidden/>
    <w:uiPriority w:val="99"/>
    <w:semiHidden/>
    <w:unhideWhenUsed/>
    <w:rsid w:val="00BD5233"/>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D5233"/>
    <w:rPr>
      <w:rFonts w:ascii="Arial" w:eastAsia="Times New Roman" w:hAnsi="Arial" w:cs="Arial"/>
      <w:vanish/>
      <w:sz w:val="16"/>
      <w:szCs w:val="16"/>
      <w:lang w:eastAsia="en-GB"/>
    </w:rPr>
  </w:style>
  <w:style w:type="character" w:customStyle="1" w:styleId="asterisk">
    <w:name w:val="asterisk"/>
    <w:basedOn w:val="DefaultParagraphFont"/>
    <w:rsid w:val="00BD5233"/>
  </w:style>
  <w:style w:type="paragraph" w:styleId="z-BottomofForm">
    <w:name w:val="HTML Bottom of Form"/>
    <w:basedOn w:val="Normal"/>
    <w:next w:val="Normal"/>
    <w:link w:val="z-BottomofFormChar"/>
    <w:hidden/>
    <w:uiPriority w:val="99"/>
    <w:semiHidden/>
    <w:unhideWhenUsed/>
    <w:rsid w:val="00BD5233"/>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D5233"/>
    <w:rPr>
      <w:rFonts w:ascii="Arial" w:eastAsia="Times New Roman" w:hAnsi="Arial" w:cs="Arial"/>
      <w:vanish/>
      <w:sz w:val="16"/>
      <w:szCs w:val="16"/>
      <w:lang w:eastAsia="en-GB"/>
    </w:rPr>
  </w:style>
  <w:style w:type="character" w:customStyle="1" w:styleId="ft">
    <w:name w:val="ft"/>
    <w:basedOn w:val="DefaultParagraphFont"/>
    <w:rsid w:val="00B01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659681">
      <w:bodyDiv w:val="1"/>
      <w:marLeft w:val="0"/>
      <w:marRight w:val="0"/>
      <w:marTop w:val="0"/>
      <w:marBottom w:val="0"/>
      <w:divBdr>
        <w:top w:val="none" w:sz="0" w:space="0" w:color="auto"/>
        <w:left w:val="none" w:sz="0" w:space="0" w:color="auto"/>
        <w:bottom w:val="none" w:sz="0" w:space="0" w:color="auto"/>
        <w:right w:val="none" w:sz="0" w:space="0" w:color="auto"/>
      </w:divBdr>
    </w:div>
    <w:div w:id="1470247532">
      <w:bodyDiv w:val="1"/>
      <w:marLeft w:val="0"/>
      <w:marRight w:val="0"/>
      <w:marTop w:val="0"/>
      <w:marBottom w:val="0"/>
      <w:divBdr>
        <w:top w:val="none" w:sz="0" w:space="0" w:color="auto"/>
        <w:left w:val="none" w:sz="0" w:space="0" w:color="auto"/>
        <w:bottom w:val="none" w:sz="0" w:space="0" w:color="auto"/>
        <w:right w:val="none" w:sz="0" w:space="0" w:color="auto"/>
      </w:divBdr>
      <w:divsChild>
        <w:div w:id="140776598">
          <w:marLeft w:val="0"/>
          <w:marRight w:val="0"/>
          <w:marTop w:val="0"/>
          <w:marBottom w:val="0"/>
          <w:divBdr>
            <w:top w:val="none" w:sz="0" w:space="0" w:color="auto"/>
            <w:left w:val="none" w:sz="0" w:space="0" w:color="auto"/>
            <w:bottom w:val="none" w:sz="0" w:space="0" w:color="auto"/>
            <w:right w:val="none" w:sz="0" w:space="0" w:color="auto"/>
          </w:divBdr>
          <w:divsChild>
            <w:div w:id="255135316">
              <w:marLeft w:val="0"/>
              <w:marRight w:val="0"/>
              <w:marTop w:val="0"/>
              <w:marBottom w:val="0"/>
              <w:divBdr>
                <w:top w:val="none" w:sz="0" w:space="0" w:color="auto"/>
                <w:left w:val="none" w:sz="0" w:space="0" w:color="auto"/>
                <w:bottom w:val="none" w:sz="0" w:space="0" w:color="auto"/>
                <w:right w:val="none" w:sz="0" w:space="0" w:color="auto"/>
              </w:divBdr>
            </w:div>
            <w:div w:id="2073313415">
              <w:marLeft w:val="0"/>
              <w:marRight w:val="0"/>
              <w:marTop w:val="0"/>
              <w:marBottom w:val="0"/>
              <w:divBdr>
                <w:top w:val="none" w:sz="0" w:space="0" w:color="auto"/>
                <w:left w:val="none" w:sz="0" w:space="0" w:color="auto"/>
                <w:bottom w:val="none" w:sz="0" w:space="0" w:color="auto"/>
                <w:right w:val="none" w:sz="0" w:space="0" w:color="auto"/>
              </w:divBdr>
              <w:divsChild>
                <w:div w:id="797453529">
                  <w:marLeft w:val="0"/>
                  <w:marRight w:val="0"/>
                  <w:marTop w:val="0"/>
                  <w:marBottom w:val="0"/>
                  <w:divBdr>
                    <w:top w:val="none" w:sz="0" w:space="0" w:color="auto"/>
                    <w:left w:val="none" w:sz="0" w:space="0" w:color="auto"/>
                    <w:bottom w:val="none" w:sz="0" w:space="0" w:color="auto"/>
                    <w:right w:val="none" w:sz="0" w:space="0" w:color="auto"/>
                  </w:divBdr>
                </w:div>
                <w:div w:id="528757526">
                  <w:marLeft w:val="0"/>
                  <w:marRight w:val="0"/>
                  <w:marTop w:val="0"/>
                  <w:marBottom w:val="0"/>
                  <w:divBdr>
                    <w:top w:val="none" w:sz="0" w:space="0" w:color="auto"/>
                    <w:left w:val="none" w:sz="0" w:space="0" w:color="auto"/>
                    <w:bottom w:val="none" w:sz="0" w:space="0" w:color="auto"/>
                    <w:right w:val="none" w:sz="0" w:space="0" w:color="auto"/>
                  </w:divBdr>
                  <w:divsChild>
                    <w:div w:id="1547716464">
                      <w:marLeft w:val="0"/>
                      <w:marRight w:val="0"/>
                      <w:marTop w:val="0"/>
                      <w:marBottom w:val="0"/>
                      <w:divBdr>
                        <w:top w:val="none" w:sz="0" w:space="0" w:color="auto"/>
                        <w:left w:val="none" w:sz="0" w:space="0" w:color="auto"/>
                        <w:bottom w:val="none" w:sz="0" w:space="0" w:color="auto"/>
                        <w:right w:val="none" w:sz="0" w:space="0" w:color="auto"/>
                      </w:divBdr>
                      <w:divsChild>
                        <w:div w:id="352346618">
                          <w:marLeft w:val="0"/>
                          <w:marRight w:val="0"/>
                          <w:marTop w:val="0"/>
                          <w:marBottom w:val="0"/>
                          <w:divBdr>
                            <w:top w:val="none" w:sz="0" w:space="0" w:color="auto"/>
                            <w:left w:val="none" w:sz="0" w:space="0" w:color="auto"/>
                            <w:bottom w:val="none" w:sz="0" w:space="0" w:color="auto"/>
                            <w:right w:val="none" w:sz="0" w:space="0" w:color="auto"/>
                          </w:divBdr>
                          <w:divsChild>
                            <w:div w:id="700473895">
                              <w:marLeft w:val="0"/>
                              <w:marRight w:val="0"/>
                              <w:marTop w:val="0"/>
                              <w:marBottom w:val="0"/>
                              <w:divBdr>
                                <w:top w:val="none" w:sz="0" w:space="0" w:color="auto"/>
                                <w:left w:val="none" w:sz="0" w:space="0" w:color="auto"/>
                                <w:bottom w:val="none" w:sz="0" w:space="0" w:color="auto"/>
                                <w:right w:val="none" w:sz="0" w:space="0" w:color="auto"/>
                              </w:divBdr>
                              <w:divsChild>
                                <w:div w:id="605966001">
                                  <w:marLeft w:val="0"/>
                                  <w:marRight w:val="0"/>
                                  <w:marTop w:val="0"/>
                                  <w:marBottom w:val="0"/>
                                  <w:divBdr>
                                    <w:top w:val="none" w:sz="0" w:space="0" w:color="auto"/>
                                    <w:left w:val="none" w:sz="0" w:space="0" w:color="auto"/>
                                    <w:bottom w:val="none" w:sz="0" w:space="0" w:color="auto"/>
                                    <w:right w:val="none" w:sz="0" w:space="0" w:color="auto"/>
                                  </w:divBdr>
                                </w:div>
                                <w:div w:id="90857302">
                                  <w:marLeft w:val="0"/>
                                  <w:marRight w:val="0"/>
                                  <w:marTop w:val="0"/>
                                  <w:marBottom w:val="0"/>
                                  <w:divBdr>
                                    <w:top w:val="none" w:sz="0" w:space="0" w:color="auto"/>
                                    <w:left w:val="none" w:sz="0" w:space="0" w:color="auto"/>
                                    <w:bottom w:val="none" w:sz="0" w:space="0" w:color="auto"/>
                                    <w:right w:val="none" w:sz="0" w:space="0" w:color="auto"/>
                                  </w:divBdr>
                                </w:div>
                                <w:div w:id="4398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2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86/s40900-017-0062-2" TargetMode="External"/><Relationship Id="rId12" Type="http://schemas.openxmlformats.org/officeDocument/2006/relationships/hyperlink" Target="https://www.england.nhs.uk/wp-content/uploads/2016/02/national-maternity-review-repo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phie.staniszewska@warwick.ac.uk" TargetMode="External"/><Relationship Id="rId11" Type="http://schemas.openxmlformats.org/officeDocument/2006/relationships/hyperlink" Target="https://yourbump.nhs.uk/" TargetMode="External"/><Relationship Id="rId5" Type="http://schemas.openxmlformats.org/officeDocument/2006/relationships/hyperlink" Target="http://www.equator-network.org/" TargetMode="External"/><Relationship Id="rId10" Type="http://schemas.openxmlformats.org/officeDocument/2006/relationships/hyperlink" Target="https://researchinvolvement.biomedcentral.com/articles/10.1186/s40900-018-0100-8" TargetMode="External"/><Relationship Id="rId4" Type="http://schemas.openxmlformats.org/officeDocument/2006/relationships/webSettings" Target="webSettings.xml"/><Relationship Id="rId9" Type="http://schemas.openxmlformats.org/officeDocument/2006/relationships/hyperlink" Target="https://www.ndorms.ox.ac.uk/news/thank-you-doug-altm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CF76A61A</Template>
  <TotalTime>0</TotalTime>
  <Pages>3</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Staniszewska, Sophie</dc:creator>
  <cp:keywords/>
  <dc:description/>
  <cp:lastModifiedBy>Sewell, Katie</cp:lastModifiedBy>
  <cp:revision>2</cp:revision>
  <dcterms:created xsi:type="dcterms:W3CDTF">2018-10-15T12:09:00Z</dcterms:created>
  <dcterms:modified xsi:type="dcterms:W3CDTF">2018-10-15T12:09:00Z</dcterms:modified>
</cp:coreProperties>
</file>