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5494" w:rsidRPr="002A3689" w:rsidRDefault="00725494" w:rsidP="00725494">
      <w:pPr>
        <w:spacing w:after="0" w:line="240" w:lineRule="auto"/>
        <w:rPr>
          <w:b/>
        </w:rPr>
      </w:pPr>
      <w:r w:rsidRPr="002A3689">
        <w:rPr>
          <w:b/>
        </w:rPr>
        <w:t>CLAHRC West Midlands</w:t>
      </w:r>
    </w:p>
    <w:p w:rsidR="00FC221D" w:rsidRPr="00277F46" w:rsidRDefault="00277F46">
      <w:pPr>
        <w:rPr>
          <w:b/>
        </w:rPr>
      </w:pPr>
      <w:r w:rsidRPr="00277F46">
        <w:rPr>
          <w:b/>
        </w:rPr>
        <w:t xml:space="preserve">Psychometric tool developed to support CCGs to improve </w:t>
      </w:r>
      <w:r>
        <w:rPr>
          <w:b/>
        </w:rPr>
        <w:t xml:space="preserve">their </w:t>
      </w:r>
      <w:r w:rsidRPr="00277F46">
        <w:rPr>
          <w:b/>
        </w:rPr>
        <w:t>absorptive capacity and ultimately their use of evidence in healthcare commission</w:t>
      </w:r>
      <w:r>
        <w:rPr>
          <w:b/>
        </w:rPr>
        <w:t>ing</w:t>
      </w:r>
      <w:r w:rsidRPr="00277F46">
        <w:rPr>
          <w:b/>
        </w:rPr>
        <w:t xml:space="preserve"> decision</w:t>
      </w:r>
      <w:r>
        <w:rPr>
          <w:b/>
        </w:rPr>
        <w:t>s</w:t>
      </w:r>
      <w:r w:rsidRPr="00277F46">
        <w:rPr>
          <w:b/>
        </w:rPr>
        <w:t xml:space="preserve">. </w:t>
      </w:r>
    </w:p>
    <w:p w:rsidR="00FC221D" w:rsidRDefault="00FC221D" w:rsidP="00FC221D">
      <w:r>
        <w:t xml:space="preserve">In order to move ‘from what we know to what we do’ in the commissioning of health services, decisions should be underpinned by clinical and pluralist evidence; i.e. more than formal research evidence, but also evidence about patient experience, cost efficiency, and tacit knowledge held by clinical and managerial practitioners. Further, commissioners then need to enact a feedback loop to judge the success of the local service intervention, and so decide whether to scale it up. </w:t>
      </w:r>
    </w:p>
    <w:p w:rsidR="00073EC7" w:rsidRDefault="00FC221D" w:rsidP="00FC221D">
      <w:r>
        <w:t xml:space="preserve">A study, to be published in the NIHR Journals Library shortly, led by Graeme Currie, Deputy Director of CLAHRC West Midlands and Theme Lead for Implementation </w:t>
      </w:r>
      <w:r w:rsidR="00277F46">
        <w:t xml:space="preserve">and Organisational Studies </w:t>
      </w:r>
      <w:r>
        <w:t>theme, reveals that commissioners have insufficient critical review capacity to use evidence to inform decisions.</w:t>
      </w:r>
      <w:r w:rsidR="00073EC7">
        <w:t xml:space="preserve"> </w:t>
      </w:r>
    </w:p>
    <w:p w:rsidR="00277F46" w:rsidRDefault="00073EC7" w:rsidP="00FC221D">
      <w:r>
        <w:t xml:space="preserve">The study applied a theoretical concept from organisation science, </w:t>
      </w:r>
      <w:r w:rsidR="00FC221D">
        <w:t xml:space="preserve">that of absorptive capacity (ACAP). ACAP is synonymous with the term, ‘critical review capacity’. Absorptive capacity has four dimensions: acquisition of knowledge; assimilation of knowledge (combining new knowledge with pre-existing knowledge); transformation of knowledge (applying new knowledge to develop a service intervention); exploitation (evaluation of the service intervention towards potential scale up if judged successful). </w:t>
      </w:r>
    </w:p>
    <w:p w:rsidR="00FC221D" w:rsidRDefault="00277F46" w:rsidP="00FC221D">
      <w:r>
        <w:t>Findings from this</w:t>
      </w:r>
      <w:r w:rsidR="00FC221D">
        <w:t xml:space="preserve"> study </w:t>
      </w:r>
      <w:r>
        <w:t>show</w:t>
      </w:r>
      <w:r w:rsidR="00FC221D">
        <w:t>s</w:t>
      </w:r>
      <w:r>
        <w:t xml:space="preserve"> that</w:t>
      </w:r>
      <w:r w:rsidR="00FC221D">
        <w:t xml:space="preserve"> CCG led</w:t>
      </w:r>
      <w:r>
        <w:t xml:space="preserve"> commissioning networks acquire</w:t>
      </w:r>
      <w:r w:rsidR="00FC221D">
        <w:t xml:space="preserve"> pluralist evidence </w:t>
      </w:r>
      <w:r>
        <w:t>relatively effectively, but</w:t>
      </w:r>
      <w:r w:rsidR="00FC221D">
        <w:t xml:space="preserve"> the way this informed decision making was weaker, particularly when considering any decision to scale up promising local innovation. </w:t>
      </w:r>
      <w:r>
        <w:t xml:space="preserve">The study also highlighted that </w:t>
      </w:r>
      <w:r w:rsidR="00FC221D">
        <w:t xml:space="preserve">certain types of evidence that were of </w:t>
      </w:r>
      <w:r>
        <w:t>‘</w:t>
      </w:r>
      <w:r w:rsidR="00FC221D">
        <w:t>marginal concern</w:t>
      </w:r>
      <w:r>
        <w:t>’</w:t>
      </w:r>
      <w:r w:rsidR="00FC221D">
        <w:t xml:space="preserve"> for commissioners, specifically as to how patient experience informed service development.</w:t>
      </w:r>
    </w:p>
    <w:p w:rsidR="00277F46" w:rsidRDefault="00277F46" w:rsidP="00FC221D">
      <w:r>
        <w:t xml:space="preserve">The research outcomes have been translated in to the development of </w:t>
      </w:r>
      <w:r w:rsidR="00FC221D">
        <w:t>a psychometric tool for CCG led commissioning networks to use to assess their ACAP, which can be benchmarked against other CCGs. The intention is not that it is used to ‘measure’ performance, but that it is used as an organisation development tool</w:t>
      </w:r>
      <w:r w:rsidR="00FC221D" w:rsidRPr="006F1C45">
        <w:t xml:space="preserve">. </w:t>
      </w:r>
      <w:r w:rsidRPr="006F1C45">
        <w:t xml:space="preserve">The tool has been presented to NHS </w:t>
      </w:r>
      <w:proofErr w:type="spellStart"/>
      <w:r w:rsidRPr="006F1C45">
        <w:t>RightCare</w:t>
      </w:r>
      <w:proofErr w:type="spellEnd"/>
      <w:r w:rsidR="001D51D1" w:rsidRPr="006F1C45">
        <w:t xml:space="preserve"> at a recent engagement event held at The Shard in London</w:t>
      </w:r>
      <w:r w:rsidRPr="006F1C45">
        <w:t xml:space="preserve">, </w:t>
      </w:r>
      <w:r w:rsidR="006F1C45" w:rsidRPr="006F1C45">
        <w:t>and they</w:t>
      </w:r>
      <w:r w:rsidRPr="006F1C45">
        <w:t xml:space="preserve"> remain interested in maximising this opportunity to engage and collect information from all CCGs in England.</w:t>
      </w:r>
      <w:r>
        <w:t xml:space="preserve"> </w:t>
      </w:r>
    </w:p>
    <w:p w:rsidR="00277F46" w:rsidRDefault="00277F46">
      <w:r>
        <w:t>This work will shortly be published in the NIHR Journal series. For further information please follow the links below:</w:t>
      </w:r>
      <w:r w:rsidR="006F1C45">
        <w:br/>
      </w:r>
      <w:r w:rsidR="006F1C45">
        <w:br/>
      </w:r>
      <w:r w:rsidR="006F1C45" w:rsidRPr="006F1C45">
        <w:rPr>
          <w:b/>
        </w:rPr>
        <w:t>NIHR HS&amp;DR Project Website (Final Report will be published here shortly)</w:t>
      </w:r>
      <w:r w:rsidR="006F1C45">
        <w:br/>
      </w:r>
      <w:hyperlink r:id="rId4" w:anchor="/" w:history="1">
        <w:r w:rsidR="006F1C45" w:rsidRPr="00654C72">
          <w:rPr>
            <w:rStyle w:val="Hyperlink"/>
          </w:rPr>
          <w:t>https://www.journalslibrary.nihr.ac.uk/programmes/hsdr/12500201/#/</w:t>
        </w:r>
      </w:hyperlink>
      <w:r w:rsidR="006F1C45">
        <w:t xml:space="preserve"> </w:t>
      </w:r>
    </w:p>
    <w:p w:rsidR="00277F46" w:rsidRDefault="00277F46">
      <w:r w:rsidRPr="006F1C45">
        <w:rPr>
          <w:b/>
        </w:rPr>
        <w:t xml:space="preserve">Evidence Use in Healthcare Website: </w:t>
      </w:r>
      <w:hyperlink r:id="rId5" w:history="1">
        <w:r w:rsidR="00FC221D" w:rsidRPr="00654C72">
          <w:rPr>
            <w:rStyle w:val="Hyperlink"/>
          </w:rPr>
          <w:t>https://www2.warwick.ac.uk/fac/soc/wbs/research/ikon/commissioning/</w:t>
        </w:r>
      </w:hyperlink>
      <w:r w:rsidR="00FC221D">
        <w:t xml:space="preserve"> </w:t>
      </w:r>
    </w:p>
    <w:p w:rsidR="001F63E9" w:rsidRDefault="00277F46">
      <w:pPr>
        <w:rPr>
          <w:rStyle w:val="Hyperlink"/>
        </w:rPr>
      </w:pPr>
      <w:r w:rsidRPr="006F1C45">
        <w:rPr>
          <w:b/>
        </w:rPr>
        <w:t xml:space="preserve">NIHR CLAHRC WM BITE: </w:t>
      </w:r>
      <w:r w:rsidRPr="006F1C45">
        <w:rPr>
          <w:b/>
        </w:rPr>
        <w:br/>
      </w:r>
      <w:hyperlink r:id="rId6" w:history="1">
        <w:r w:rsidRPr="00654C72">
          <w:rPr>
            <w:rStyle w:val="Hyperlink"/>
          </w:rPr>
          <w:t>https://www2.warwick.ac.uk/fac/med/about/centres/clahrc/impact/bites/clahrc_wm_-_ccg_tool.pdf</w:t>
        </w:r>
      </w:hyperlink>
    </w:p>
    <w:p w:rsidR="001F63E9" w:rsidRDefault="001F63E9">
      <w:pPr>
        <w:rPr>
          <w:rStyle w:val="Hyperlink"/>
        </w:rPr>
      </w:pPr>
    </w:p>
    <w:p w:rsidR="001F63E9" w:rsidRDefault="001F63E9">
      <w:pPr>
        <w:rPr>
          <w:rStyle w:val="Hyperlink"/>
        </w:rPr>
      </w:pPr>
      <w:r>
        <w:rPr>
          <w:rStyle w:val="Hyperlink"/>
        </w:rPr>
        <w:br w:type="page"/>
      </w:r>
    </w:p>
    <w:p w:rsidR="001F63E9" w:rsidRPr="002A3689" w:rsidRDefault="001F63E9" w:rsidP="001F63E9">
      <w:pPr>
        <w:spacing w:after="0" w:line="240" w:lineRule="auto"/>
        <w:rPr>
          <w:b/>
        </w:rPr>
      </w:pPr>
      <w:r w:rsidRPr="002A3689">
        <w:rPr>
          <w:b/>
        </w:rPr>
        <w:lastRenderedPageBreak/>
        <w:t>CLAHRC West Midlands</w:t>
      </w:r>
    </w:p>
    <w:p w:rsidR="001F63E9" w:rsidRPr="002A3689" w:rsidRDefault="001F63E9" w:rsidP="001F63E9">
      <w:pPr>
        <w:spacing w:after="0" w:line="240" w:lineRule="auto"/>
        <w:rPr>
          <w:b/>
        </w:rPr>
      </w:pPr>
      <w:r w:rsidRPr="002A3689">
        <w:rPr>
          <w:b/>
        </w:rPr>
        <w:t>MUS Service in a Hospital Setting:</w:t>
      </w:r>
      <w:r>
        <w:rPr>
          <w:b/>
        </w:rPr>
        <w:t xml:space="preserve"> Conditions for Integrated Care</w:t>
      </w:r>
    </w:p>
    <w:p w:rsidR="001F63E9" w:rsidRPr="002A3689" w:rsidRDefault="001F63E9" w:rsidP="001F63E9">
      <w:pPr>
        <w:spacing w:after="0" w:line="240" w:lineRule="auto"/>
      </w:pPr>
    </w:p>
    <w:p w:rsidR="001F63E9" w:rsidRPr="002A3689" w:rsidRDefault="001F63E9" w:rsidP="001F63E9">
      <w:pPr>
        <w:spacing w:after="0" w:line="240" w:lineRule="auto"/>
      </w:pPr>
      <w:r w:rsidRPr="002A3689">
        <w:t xml:space="preserve">NHS trusts are prioritising integrated approaches to improve the quality of care for complex diseases. Integrated care remains however rare, especially between acute and mental health providers. Research in Warwick Business School carried out by Giovanni </w:t>
      </w:r>
      <w:proofErr w:type="spellStart"/>
      <w:r w:rsidRPr="002A3689">
        <w:t>Radaelli</w:t>
      </w:r>
      <w:proofErr w:type="spellEnd"/>
      <w:r w:rsidRPr="002A3689">
        <w:t xml:space="preserve"> and Graeme Currie, as part of CLAHRC WM, sought to investigate possible enablers of integrated care.</w:t>
      </w:r>
    </w:p>
    <w:p w:rsidR="001F63E9" w:rsidRPr="002A3689" w:rsidRDefault="001F63E9" w:rsidP="001F63E9">
      <w:pPr>
        <w:spacing w:after="0" w:line="240" w:lineRule="auto"/>
      </w:pPr>
    </w:p>
    <w:p w:rsidR="001F63E9" w:rsidRPr="002A3689" w:rsidRDefault="001F63E9" w:rsidP="001F63E9">
      <w:pPr>
        <w:spacing w:after="0" w:line="240" w:lineRule="auto"/>
      </w:pPr>
      <w:r w:rsidRPr="002A3689">
        <w:t>Specifically, the introduction of a new service for patients with medically unexplained symptoms (MUS), which received an innovation award, was studied as a potential exemplar for integrated care. MUS represent persistent bodily complaints for which physical causes cannot be found, and psychological cause are suspected. The new MUS service embeds psychotherapy services in the management of these patients. Once acute specialists are reassured that no physiological cause exists, they refer patients to the new service, which delivers cognitive behavioural therapy and psychodynamic interpersonal therapy. The need for MUS service is important given MUS itself represents 20 per cent of new consultations in primary care, 50 per cent of new referrals to secondary care and 20-25 per cent of all frequent attenders. This accrues cost of an estimated £3.2 billion per year for the NHS.</w:t>
      </w:r>
    </w:p>
    <w:p w:rsidR="001F63E9" w:rsidRPr="002A3689" w:rsidRDefault="001F63E9" w:rsidP="001F63E9">
      <w:pPr>
        <w:spacing w:after="0" w:line="240" w:lineRule="auto"/>
      </w:pPr>
    </w:p>
    <w:p w:rsidR="001F63E9" w:rsidRDefault="001F63E9" w:rsidP="001F63E9">
      <w:pPr>
        <w:spacing w:after="0" w:line="240" w:lineRule="auto"/>
      </w:pPr>
      <w:r w:rsidRPr="002A3689">
        <w:t>The study highlights four conditions for success of the new service. First, integration did not radically alter professional jurisdictions. The mental health</w:t>
      </w:r>
      <w:r>
        <w:t xml:space="preserve"> </w:t>
      </w:r>
      <w:r w:rsidRPr="002A3689">
        <w:t>team were carefully not to intrude upon decisions of acute specialists, who remained free to decide who to refer and when. Conversely, the mental health team maintained exclusive jurisdiction over what patients would be accepted in the MUS service. Second, integration did not originate from full collaboration between the parties. The mental health team engaged acute specialists only during the implementation of the new service, to preserve ownership. Third, integration arose through ‘small wins’. Initially, acute specialists referred only few ‘very obvious’ patient cases to acquire information about the effectiveness and sustainability of the new service. The mental health team kept the momentum alive by providing constant feedback regarding its successes. Finally, more intangible considerations were taken into account by MUS service leads. They not only considered of costs and benefits of the new service, but also managed perceptions of risk associated with the new service, and more generally the emotions of clinicians faced with service change.</w:t>
      </w:r>
    </w:p>
    <w:p w:rsidR="00277F46" w:rsidRDefault="00277F46">
      <w:bookmarkStart w:id="0" w:name="_GoBack"/>
      <w:bookmarkEnd w:id="0"/>
      <w:r>
        <w:t xml:space="preserve"> </w:t>
      </w:r>
    </w:p>
    <w:sectPr w:rsidR="00277F4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221D"/>
    <w:rsid w:val="00073EC7"/>
    <w:rsid w:val="001D51D1"/>
    <w:rsid w:val="001F63E9"/>
    <w:rsid w:val="00277F46"/>
    <w:rsid w:val="006F1C45"/>
    <w:rsid w:val="00725494"/>
    <w:rsid w:val="00E52CDA"/>
    <w:rsid w:val="00FC22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4F18EE-AD18-4096-A257-2AB4D4E23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C221D"/>
    <w:rPr>
      <w:color w:val="0563C1" w:themeColor="hyperlink"/>
      <w:u w:val="single"/>
    </w:rPr>
  </w:style>
  <w:style w:type="character" w:customStyle="1" w:styleId="UnresolvedMention">
    <w:name w:val="Unresolved Mention"/>
    <w:basedOn w:val="DefaultParagraphFont"/>
    <w:uiPriority w:val="99"/>
    <w:semiHidden/>
    <w:unhideWhenUsed/>
    <w:rsid w:val="00FC221D"/>
    <w:rPr>
      <w:color w:val="808080"/>
      <w:shd w:val="clear" w:color="auto" w:fill="E6E6E6"/>
    </w:rPr>
  </w:style>
  <w:style w:type="character" w:styleId="FollowedHyperlink">
    <w:name w:val="FollowedHyperlink"/>
    <w:basedOn w:val="DefaultParagraphFont"/>
    <w:uiPriority w:val="99"/>
    <w:semiHidden/>
    <w:unhideWhenUsed/>
    <w:rsid w:val="006F1C4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2.warwick.ac.uk/fac/med/about/centres/clahrc/impact/bites/clahrc_wm_-_ccg_tool.pdf" TargetMode="External"/><Relationship Id="rId5" Type="http://schemas.openxmlformats.org/officeDocument/2006/relationships/hyperlink" Target="https://www2.warwick.ac.uk/fac/soc/wbs/research/ikon/commissioning/" TargetMode="External"/><Relationship Id="rId4" Type="http://schemas.openxmlformats.org/officeDocument/2006/relationships/hyperlink" Target="https://www.journalslibrary.nihr.ac.uk/programmes/hsdr/1250020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CF76A61A</Template>
  <TotalTime>0</TotalTime>
  <Pages>2</Pages>
  <Words>861</Words>
  <Characters>4912</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Maillard, Nathalie</dc:creator>
  <cp:keywords/>
  <dc:description/>
  <cp:lastModifiedBy>Sewell, Katie</cp:lastModifiedBy>
  <cp:revision>2</cp:revision>
  <dcterms:created xsi:type="dcterms:W3CDTF">2018-10-15T11:39:00Z</dcterms:created>
  <dcterms:modified xsi:type="dcterms:W3CDTF">2018-10-15T11:39:00Z</dcterms:modified>
</cp:coreProperties>
</file>