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E76" w:rsidRPr="008F1BD3" w:rsidRDefault="00743EE7">
      <w:r w:rsidRPr="008F1BD3">
        <w:t>Introduction: Multiple sclerosis is a demyelinating disease of the central nervous</w:t>
      </w:r>
      <w:r w:rsidR="007F3EED">
        <w:t xml:space="preserve"> system</w:t>
      </w:r>
      <w:r w:rsidRPr="008F1BD3">
        <w:t xml:space="preserve">, and the most common cause of neurological disability in young adults. </w:t>
      </w:r>
      <w:r w:rsidR="00434E00">
        <w:t>In t</w:t>
      </w:r>
      <w:r w:rsidRPr="008F1BD3">
        <w:t xml:space="preserve">he early 1990s no disease modifying treatments were </w:t>
      </w:r>
      <w:proofErr w:type="gramStart"/>
      <w:r w:rsidRPr="008F1BD3">
        <w:t>available,</w:t>
      </w:r>
      <w:proofErr w:type="gramEnd"/>
      <w:r w:rsidRPr="008F1BD3">
        <w:t xml:space="preserve"> there now exist a large number of potential options, spread across the four possible types of disease progression: primary progressive, secondary progressive, relapsing remitting and progressive relapsing. Economic evaluations have tended to focus on a single comparison between treatment options for patients on a single one of these disease courses, with much less work on attempting to synthesise multiple different treatment options into a single framework.</w:t>
      </w:r>
    </w:p>
    <w:p w:rsidR="00743EE7" w:rsidRPr="008F1BD3" w:rsidRDefault="00743EE7">
      <w:r w:rsidRPr="008F1BD3">
        <w:t>Methods:</w:t>
      </w:r>
      <w:r w:rsidR="001D481B" w:rsidRPr="008F1BD3">
        <w:t xml:space="preserve"> </w:t>
      </w:r>
      <w:r w:rsidR="0088342C" w:rsidRPr="008F1BD3">
        <w:t xml:space="preserve">A discrete event simulation model was constructed to extrapolate trial </w:t>
      </w:r>
      <w:r w:rsidR="00640A4B">
        <w:t>data</w:t>
      </w:r>
      <w:r w:rsidR="0088342C" w:rsidRPr="008F1BD3">
        <w:t xml:space="preserve"> to a lifetime horizon, using </w:t>
      </w:r>
      <w:r w:rsidR="00C361F4">
        <w:t xml:space="preserve">mortality rates, </w:t>
      </w:r>
      <w:r w:rsidR="0088342C" w:rsidRPr="008F1BD3">
        <w:t xml:space="preserve">relapse rates and disease progression, measured using the Expanded Disability Status Scale. </w:t>
      </w:r>
      <w:r w:rsidR="00841F6D">
        <w:t xml:space="preserve">Adverse event and </w:t>
      </w:r>
      <w:r w:rsidR="00C361F4">
        <w:t xml:space="preserve">treatment modification and </w:t>
      </w:r>
      <w:r w:rsidR="00841F6D">
        <w:t>discontinuation rates are also simulated to give a full disease and event history for each of the 10,000 patients simulated for each treatment option.</w:t>
      </w:r>
      <w:r w:rsidR="00ED626B">
        <w:t xml:space="preserve"> Using an adjusted indirect comparison and meta-analysis, we </w:t>
      </w:r>
      <w:bookmarkStart w:id="0" w:name="_GoBack"/>
      <w:bookmarkEnd w:id="0"/>
      <w:r w:rsidR="00ED626B">
        <w:t>bring the results from a number of different trials together, and then apply the calculated relative risks to a simulated patient population which reflects that of the UK multiple sclerosis community. Treatments in this indirect comparison</w:t>
      </w:r>
      <w:r w:rsidR="00434E00">
        <w:t xml:space="preserve"> of over 20 trials</w:t>
      </w:r>
      <w:r w:rsidR="00ED626B">
        <w:t xml:space="preserve"> include established agents such as interferon betas, </w:t>
      </w:r>
      <w:proofErr w:type="spellStart"/>
      <w:r w:rsidR="00ED626B">
        <w:t>glatiramer</w:t>
      </w:r>
      <w:proofErr w:type="spellEnd"/>
      <w:r w:rsidR="00ED626B">
        <w:t xml:space="preserve"> acetate and </w:t>
      </w:r>
      <w:proofErr w:type="spellStart"/>
      <w:r w:rsidR="00ED626B">
        <w:t>fingolimod</w:t>
      </w:r>
      <w:proofErr w:type="spellEnd"/>
      <w:r w:rsidR="00ED626B">
        <w:t xml:space="preserve">, as well as more novel options including </w:t>
      </w:r>
      <w:proofErr w:type="spellStart"/>
      <w:r w:rsidR="00ED626B">
        <w:t>alemtuzumab</w:t>
      </w:r>
      <w:proofErr w:type="spellEnd"/>
      <w:r w:rsidR="00ED626B">
        <w:t xml:space="preserve">, </w:t>
      </w:r>
      <w:proofErr w:type="spellStart"/>
      <w:r w:rsidR="00ED626B">
        <w:t>teriflunomide</w:t>
      </w:r>
      <w:proofErr w:type="spellEnd"/>
      <w:r w:rsidR="00ED626B">
        <w:t xml:space="preserve"> and </w:t>
      </w:r>
      <w:proofErr w:type="spellStart"/>
      <w:r w:rsidR="00ED626B">
        <w:t>laquinimod</w:t>
      </w:r>
      <w:proofErr w:type="spellEnd"/>
      <w:r w:rsidR="00ED626B">
        <w:t>.</w:t>
      </w:r>
    </w:p>
    <w:p w:rsidR="000A2A2F" w:rsidRPr="008F1BD3" w:rsidRDefault="000A2A2F" w:rsidP="0015608C">
      <w:r w:rsidRPr="008F1BD3">
        <w:t xml:space="preserve">Costs and </w:t>
      </w:r>
      <w:r w:rsidR="00841F6D">
        <w:t xml:space="preserve">health state </w:t>
      </w:r>
      <w:r w:rsidRPr="008F1BD3">
        <w:t>utiliti</w:t>
      </w:r>
      <w:r w:rsidR="00841F6D">
        <w:t>es are then attached to each person, from the perspective of the UK NHS. Costs included are medications, relapse costs, event costs and the costs for the management of long-term disability. Utility decrements are associated with relapses, disease progression, age and medication side effects, with acute utility losses also included for certain adverse events.</w:t>
      </w:r>
      <w:r w:rsidR="0015608C">
        <w:t xml:space="preserve"> From this we can calculate total average per person costs and quality-adju</w:t>
      </w:r>
      <w:r w:rsidR="009E3FAC">
        <w:t>sted life-years (QALYs) f</w:t>
      </w:r>
      <w:r w:rsidR="0015608C">
        <w:t>o</w:t>
      </w:r>
      <w:r w:rsidR="009E3FAC">
        <w:t>r</w:t>
      </w:r>
      <w:r w:rsidR="0015608C">
        <w:t xml:space="preserve"> every treatment option in our indirect comparison.</w:t>
      </w:r>
    </w:p>
    <w:p w:rsidR="0088342C" w:rsidRPr="008F1BD3" w:rsidRDefault="00743EE7">
      <w:r w:rsidRPr="008F1BD3">
        <w:t>Results/Discussion:</w:t>
      </w:r>
      <w:r w:rsidR="0088342C" w:rsidRPr="008F1BD3">
        <w:t xml:space="preserve"> This simulation model allows us to compare different treatment options for multiple sclerosis both in term of QALYs (net health benefit) and cost-effectiveness (net monetary benefit). It also provides a framework which can be updated when either new treatment options become available or new information is collected concerning existing treatments.</w:t>
      </w:r>
      <w:r w:rsidR="00640A4B">
        <w:t xml:space="preserve"> This is a fundamentally different approach to simply looking at a set of pairwise comparisons each based on a single trial</w:t>
      </w:r>
      <w:r w:rsidR="00814FA5">
        <w:t>.</w:t>
      </w:r>
    </w:p>
    <w:p w:rsidR="00743EE7" w:rsidRDefault="0088342C">
      <w:r w:rsidRPr="008F1BD3">
        <w:t>The results from these simulations are not yet available but would be by the time of paper submission.</w:t>
      </w:r>
    </w:p>
    <w:sectPr w:rsidR="00743E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EE7"/>
    <w:rsid w:val="000A2A2F"/>
    <w:rsid w:val="0015608C"/>
    <w:rsid w:val="001D481B"/>
    <w:rsid w:val="003F6F6B"/>
    <w:rsid w:val="00434E00"/>
    <w:rsid w:val="00640A4B"/>
    <w:rsid w:val="006640DE"/>
    <w:rsid w:val="006A48C0"/>
    <w:rsid w:val="00743EE7"/>
    <w:rsid w:val="007F3EED"/>
    <w:rsid w:val="00814FA5"/>
    <w:rsid w:val="00841F6D"/>
    <w:rsid w:val="0088342C"/>
    <w:rsid w:val="008F1BD3"/>
    <w:rsid w:val="009E3FAC"/>
    <w:rsid w:val="00BC41D4"/>
    <w:rsid w:val="00C361F4"/>
    <w:rsid w:val="00C95148"/>
    <w:rsid w:val="00ED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7F4164D1</Template>
  <TotalTime>106</TotalTime>
  <Pages>1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Joshua Pink</dc:creator>
  <cp:keywords/>
  <dc:description/>
  <cp:lastModifiedBy>Joshua Pink</cp:lastModifiedBy>
  <cp:revision>14</cp:revision>
  <dcterms:created xsi:type="dcterms:W3CDTF">2013-04-09T12:42:00Z</dcterms:created>
  <dcterms:modified xsi:type="dcterms:W3CDTF">2013-04-09T14:31:00Z</dcterms:modified>
</cp:coreProperties>
</file>