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2D9" w:rsidRDefault="007709C1">
      <w:pPr>
        <w:rPr>
          <w:b/>
        </w:rPr>
      </w:pPr>
      <w:r>
        <w:rPr>
          <w:b/>
        </w:rPr>
        <w:t>Best practice in decision-analytic modelling: A review of the literature and exploration of good practice guidelines</w:t>
      </w:r>
    </w:p>
    <w:p w:rsidR="001F5893" w:rsidRPr="006F4D0C" w:rsidRDefault="004D3D0F" w:rsidP="001F5893">
      <w:pPr>
        <w:jc w:val="both"/>
        <w:rPr>
          <w:b/>
        </w:rPr>
      </w:pPr>
      <w:bookmarkStart w:id="0" w:name="_GoBack"/>
      <w:bookmarkEnd w:id="0"/>
      <w:r w:rsidRPr="006F4D0C">
        <w:rPr>
          <w:b/>
        </w:rPr>
        <w:t>Background</w:t>
      </w:r>
      <w:r w:rsidR="008922D9" w:rsidRPr="006F4D0C">
        <w:rPr>
          <w:b/>
        </w:rPr>
        <w:t>:</w:t>
      </w:r>
      <w:r w:rsidR="007709C1">
        <w:rPr>
          <w:b/>
        </w:rPr>
        <w:t xml:space="preserve"> </w:t>
      </w:r>
    </w:p>
    <w:p w:rsidR="00FF3896" w:rsidRDefault="001F5893" w:rsidP="006F4D0C">
      <w:pPr>
        <w:jc w:val="both"/>
        <w:rPr>
          <w:rFonts w:cstheme="minorHAnsi"/>
          <w:b/>
          <w:bCs/>
        </w:rPr>
      </w:pPr>
      <w:r w:rsidRPr="008432B3">
        <w:rPr>
          <w:rFonts w:cstheme="minorHAnsi"/>
          <w:lang w:eastAsia="en-GB"/>
        </w:rPr>
        <w:t xml:space="preserve">In the UK there are </w:t>
      </w:r>
      <w:r w:rsidR="00635C34">
        <w:rPr>
          <w:rFonts w:cstheme="minorHAnsi"/>
          <w:lang w:eastAsia="en-GB"/>
        </w:rPr>
        <w:t>various</w:t>
      </w:r>
      <w:r w:rsidRPr="008432B3">
        <w:rPr>
          <w:rFonts w:cstheme="minorHAnsi"/>
          <w:lang w:eastAsia="en-GB"/>
        </w:rPr>
        <w:t xml:space="preserve"> sources of good practice guidelines</w:t>
      </w:r>
      <w:r w:rsidR="00F35CC7">
        <w:rPr>
          <w:rFonts w:cstheme="minorHAnsi"/>
          <w:lang w:eastAsia="en-GB"/>
        </w:rPr>
        <w:t xml:space="preserve"> </w:t>
      </w:r>
      <w:r w:rsidR="00FF3896">
        <w:rPr>
          <w:rFonts w:cstheme="minorHAnsi"/>
          <w:lang w:eastAsia="en-GB"/>
        </w:rPr>
        <w:t>for</w:t>
      </w:r>
      <w:r w:rsidR="00F35CC7">
        <w:rPr>
          <w:rFonts w:cstheme="minorHAnsi"/>
          <w:lang w:eastAsia="en-GB"/>
        </w:rPr>
        <w:t xml:space="preserve"> decision-analytic modelling</w:t>
      </w:r>
      <w:r w:rsidR="00717CA3">
        <w:rPr>
          <w:rFonts w:cstheme="minorHAnsi"/>
          <w:lang w:eastAsia="en-GB"/>
        </w:rPr>
        <w:t xml:space="preserve"> including:</w:t>
      </w:r>
      <w:r w:rsidRPr="008432B3">
        <w:rPr>
          <w:rFonts w:cstheme="minorHAnsi"/>
          <w:lang w:eastAsia="en-GB"/>
        </w:rPr>
        <w:t xml:space="preserve"> </w:t>
      </w:r>
      <w:r w:rsidR="00F35CC7">
        <w:rPr>
          <w:rFonts w:cstheme="minorHAnsi"/>
          <w:lang w:eastAsia="en-GB"/>
        </w:rPr>
        <w:t xml:space="preserve">the </w:t>
      </w:r>
      <w:r w:rsidRPr="008432B3">
        <w:rPr>
          <w:rFonts w:cstheme="minorHAnsi"/>
          <w:lang w:eastAsia="en-GB"/>
        </w:rPr>
        <w:t xml:space="preserve">National Institute for Health and </w:t>
      </w:r>
      <w:r w:rsidR="00845586">
        <w:rPr>
          <w:rFonts w:cstheme="minorHAnsi"/>
          <w:lang w:eastAsia="en-GB"/>
        </w:rPr>
        <w:t>Care</w:t>
      </w:r>
      <w:r w:rsidR="00845586" w:rsidRPr="008432B3">
        <w:rPr>
          <w:rFonts w:cstheme="minorHAnsi"/>
          <w:lang w:eastAsia="en-GB"/>
        </w:rPr>
        <w:t xml:space="preserve"> </w:t>
      </w:r>
      <w:r w:rsidR="005E7C59">
        <w:rPr>
          <w:rFonts w:cstheme="minorHAnsi"/>
          <w:lang w:eastAsia="en-GB"/>
        </w:rPr>
        <w:t>Excellence</w:t>
      </w:r>
      <w:r w:rsidR="00493802">
        <w:rPr>
          <w:rFonts w:cstheme="minorHAnsi"/>
          <w:lang w:eastAsia="en-GB"/>
        </w:rPr>
        <w:t xml:space="preserve"> </w:t>
      </w:r>
      <w:r w:rsidR="005E7C59">
        <w:rPr>
          <w:rFonts w:cstheme="minorHAnsi"/>
          <w:lang w:eastAsia="en-GB"/>
        </w:rPr>
        <w:t>(NICE) reference case</w:t>
      </w:r>
      <w:r w:rsidRPr="008432B3">
        <w:rPr>
          <w:rFonts w:cstheme="minorHAnsi"/>
          <w:lang w:eastAsia="en-GB"/>
        </w:rPr>
        <w:t xml:space="preserve"> </w:t>
      </w:r>
      <w:r>
        <w:rPr>
          <w:rFonts w:cstheme="minorHAnsi"/>
          <w:lang w:eastAsia="en-GB"/>
        </w:rPr>
        <w:t>2008</w:t>
      </w:r>
      <w:r w:rsidRPr="008432B3">
        <w:rPr>
          <w:rFonts w:cstheme="minorHAnsi"/>
          <w:lang w:eastAsia="en-GB"/>
        </w:rPr>
        <w:t xml:space="preserve">, </w:t>
      </w:r>
      <w:r>
        <w:rPr>
          <w:rFonts w:cstheme="minorHAnsi"/>
          <w:lang w:eastAsia="en-GB"/>
        </w:rPr>
        <w:t>the ISPOR Task Force on Good Research Practice</w:t>
      </w:r>
      <w:r w:rsidRPr="008432B3">
        <w:rPr>
          <w:rFonts w:cstheme="minorHAnsi"/>
          <w:lang w:eastAsia="en-GB"/>
        </w:rPr>
        <w:t xml:space="preserve">, </w:t>
      </w:r>
      <w:r w:rsidR="00717CA3">
        <w:rPr>
          <w:rFonts w:cstheme="minorHAnsi"/>
          <w:lang w:eastAsia="en-GB"/>
        </w:rPr>
        <w:t xml:space="preserve">and </w:t>
      </w:r>
      <w:r w:rsidR="005E7C59">
        <w:rPr>
          <w:rFonts w:cstheme="minorHAnsi"/>
          <w:lang w:eastAsia="en-GB"/>
        </w:rPr>
        <w:t xml:space="preserve">the </w:t>
      </w:r>
      <w:r w:rsidR="006F4D0C">
        <w:rPr>
          <w:rFonts w:cstheme="minorHAnsi"/>
          <w:lang w:eastAsia="en-GB"/>
        </w:rPr>
        <w:t>P</w:t>
      </w:r>
      <w:r w:rsidRPr="008432B3">
        <w:rPr>
          <w:rFonts w:cstheme="minorHAnsi"/>
          <w:lang w:eastAsia="en-GB"/>
        </w:rPr>
        <w:t xml:space="preserve">hilips </w:t>
      </w:r>
      <w:r w:rsidR="005E7C59">
        <w:rPr>
          <w:rFonts w:cstheme="minorHAnsi"/>
          <w:lang w:eastAsia="en-GB"/>
        </w:rPr>
        <w:t>checklist.</w:t>
      </w:r>
      <w:r w:rsidRPr="008432B3">
        <w:rPr>
          <w:rFonts w:cstheme="minorHAnsi"/>
          <w:lang w:eastAsia="en-GB"/>
        </w:rPr>
        <w:t xml:space="preserve"> </w:t>
      </w:r>
      <w:r w:rsidR="00F35CC7">
        <w:rPr>
          <w:rFonts w:cstheme="minorHAnsi"/>
          <w:lang w:eastAsia="en-GB"/>
        </w:rPr>
        <w:t xml:space="preserve">Even though all these references </w:t>
      </w:r>
      <w:r w:rsidR="00CA7DB1">
        <w:rPr>
          <w:rFonts w:cstheme="minorHAnsi"/>
          <w:lang w:eastAsia="en-GB"/>
        </w:rPr>
        <w:t xml:space="preserve">constitute </w:t>
      </w:r>
      <w:r w:rsidR="005E7C59">
        <w:rPr>
          <w:rFonts w:cstheme="minorHAnsi"/>
          <w:lang w:eastAsia="en-GB"/>
        </w:rPr>
        <w:t xml:space="preserve">guidelines for </w:t>
      </w:r>
      <w:r w:rsidR="00CA7DB1">
        <w:rPr>
          <w:rFonts w:cstheme="minorHAnsi"/>
          <w:lang w:eastAsia="en-GB"/>
        </w:rPr>
        <w:t>good practice</w:t>
      </w:r>
      <w:r w:rsidR="00F35CC7">
        <w:rPr>
          <w:rFonts w:cstheme="minorHAnsi"/>
          <w:lang w:eastAsia="en-GB"/>
        </w:rPr>
        <w:t xml:space="preserve">, </w:t>
      </w:r>
      <w:r w:rsidR="006F4D0C">
        <w:rPr>
          <w:rFonts w:cstheme="minorHAnsi"/>
          <w:lang w:eastAsia="en-GB"/>
        </w:rPr>
        <w:t xml:space="preserve">it seems </w:t>
      </w:r>
      <w:r w:rsidR="00635C34">
        <w:rPr>
          <w:rFonts w:cstheme="minorHAnsi"/>
          <w:lang w:eastAsia="en-GB"/>
        </w:rPr>
        <w:t>they</w:t>
      </w:r>
      <w:r w:rsidR="006F4D0C">
        <w:rPr>
          <w:rFonts w:cstheme="minorHAnsi"/>
          <w:lang w:eastAsia="en-GB"/>
        </w:rPr>
        <w:t xml:space="preserve"> are not fully implemented</w:t>
      </w:r>
      <w:r w:rsidR="005E7C59" w:rsidRPr="005E7C59">
        <w:rPr>
          <w:rFonts w:cstheme="minorHAnsi"/>
          <w:lang w:eastAsia="en-GB"/>
        </w:rPr>
        <w:t xml:space="preserve"> </w:t>
      </w:r>
      <w:r w:rsidR="005E7C59">
        <w:rPr>
          <w:rFonts w:cstheme="minorHAnsi"/>
          <w:lang w:eastAsia="en-GB"/>
        </w:rPr>
        <w:t>in practice. For example,</w:t>
      </w:r>
      <w:r w:rsidR="006F4D0C">
        <w:rPr>
          <w:rFonts w:cstheme="minorHAnsi"/>
          <w:lang w:eastAsia="en-GB"/>
        </w:rPr>
        <w:t xml:space="preserve"> </w:t>
      </w:r>
      <w:r w:rsidR="006E0765">
        <w:rPr>
          <w:rFonts w:cstheme="minorHAnsi"/>
          <w:lang w:eastAsia="en-GB"/>
        </w:rPr>
        <w:t>g</w:t>
      </w:r>
      <w:r w:rsidR="006F4D0C">
        <w:rPr>
          <w:rFonts w:cstheme="minorHAnsi"/>
          <w:lang w:eastAsia="en-GB"/>
        </w:rPr>
        <w:t xml:space="preserve">uidelines </w:t>
      </w:r>
      <w:r w:rsidR="00635C34">
        <w:rPr>
          <w:rFonts w:cstheme="minorHAnsi"/>
          <w:lang w:eastAsia="en-GB"/>
        </w:rPr>
        <w:t>recommend</w:t>
      </w:r>
      <w:r w:rsidR="00835DF9">
        <w:rPr>
          <w:rFonts w:cstheme="minorHAnsi"/>
          <w:lang w:eastAsia="en-GB"/>
        </w:rPr>
        <w:t xml:space="preserve"> the</w:t>
      </w:r>
      <w:r w:rsidR="006F4D0C">
        <w:rPr>
          <w:rFonts w:cstheme="minorHAnsi"/>
          <w:lang w:eastAsia="en-GB"/>
        </w:rPr>
        <w:t xml:space="preserve"> </w:t>
      </w:r>
      <w:r w:rsidR="006F4D0C" w:rsidRPr="008432B3">
        <w:rPr>
          <w:rFonts w:cstheme="minorHAnsi"/>
          <w:lang w:eastAsia="en-GB"/>
        </w:rPr>
        <w:t>consideration of structural uncertainty</w:t>
      </w:r>
      <w:r w:rsidR="006F4D0C">
        <w:rPr>
          <w:rFonts w:cstheme="minorHAnsi"/>
          <w:lang w:eastAsia="en-GB"/>
        </w:rPr>
        <w:t xml:space="preserve">, </w:t>
      </w:r>
      <w:r w:rsidR="00635C34">
        <w:rPr>
          <w:rFonts w:cstheme="minorHAnsi"/>
          <w:lang w:eastAsia="en-GB"/>
        </w:rPr>
        <w:t>but</w:t>
      </w:r>
      <w:r w:rsidR="006F4D0C">
        <w:rPr>
          <w:rFonts w:cstheme="minorHAnsi"/>
          <w:lang w:eastAsia="en-GB"/>
        </w:rPr>
        <w:t xml:space="preserve"> i</w:t>
      </w:r>
      <w:r w:rsidR="006F4D0C" w:rsidRPr="008432B3">
        <w:rPr>
          <w:rFonts w:cstheme="minorHAnsi"/>
          <w:lang w:eastAsia="en-GB"/>
        </w:rPr>
        <w:t>n practice</w:t>
      </w:r>
      <w:r w:rsidR="006F4D0C">
        <w:rPr>
          <w:rFonts w:cstheme="minorHAnsi"/>
          <w:lang w:eastAsia="en-GB"/>
        </w:rPr>
        <w:t>,</w:t>
      </w:r>
      <w:r w:rsidR="006F4D0C" w:rsidRPr="008432B3">
        <w:rPr>
          <w:rFonts w:cstheme="minorHAnsi"/>
          <w:lang w:eastAsia="en-GB"/>
        </w:rPr>
        <w:t xml:space="preserve"> alternative model structures are rarely considered when presenting results</w:t>
      </w:r>
      <w:r w:rsidR="00C04799">
        <w:rPr>
          <w:rFonts w:cstheme="minorHAnsi"/>
          <w:lang w:eastAsia="en-GB"/>
        </w:rPr>
        <w:t>. S</w:t>
      </w:r>
      <w:r w:rsidR="006F4D0C">
        <w:rPr>
          <w:rFonts w:cstheme="minorHAnsi"/>
          <w:lang w:eastAsia="en-GB"/>
        </w:rPr>
        <w:t xml:space="preserve">imilarly, </w:t>
      </w:r>
      <w:r w:rsidR="00F35CC7">
        <w:rPr>
          <w:rFonts w:cstheme="minorHAnsi"/>
          <w:lang w:eastAsia="en-GB"/>
        </w:rPr>
        <w:t xml:space="preserve">there is not complete agreement </w:t>
      </w:r>
      <w:r w:rsidR="00635C34">
        <w:rPr>
          <w:rFonts w:cstheme="minorHAnsi"/>
          <w:lang w:eastAsia="en-GB"/>
        </w:rPr>
        <w:t>as</w:t>
      </w:r>
      <w:r w:rsidR="00F35CC7">
        <w:rPr>
          <w:rFonts w:cstheme="minorHAnsi"/>
          <w:lang w:eastAsia="en-GB"/>
        </w:rPr>
        <w:t xml:space="preserve"> to </w:t>
      </w:r>
      <w:r w:rsidR="00C04799">
        <w:rPr>
          <w:rFonts w:cstheme="minorHAnsi"/>
          <w:lang w:eastAsia="en-GB"/>
        </w:rPr>
        <w:t>the</w:t>
      </w:r>
      <w:r w:rsidR="00F35CC7" w:rsidRPr="008432B3">
        <w:rPr>
          <w:rFonts w:cstheme="minorHAnsi"/>
          <w:lang w:eastAsia="en-GB"/>
        </w:rPr>
        <w:t xml:space="preserve"> extent </w:t>
      </w:r>
      <w:r w:rsidR="00C04799">
        <w:rPr>
          <w:rFonts w:cstheme="minorHAnsi"/>
          <w:lang w:eastAsia="en-GB"/>
        </w:rPr>
        <w:t xml:space="preserve">that </w:t>
      </w:r>
      <w:r w:rsidR="00F35CC7" w:rsidRPr="008432B3">
        <w:rPr>
          <w:rFonts w:cstheme="minorHAnsi"/>
          <w:lang w:eastAsia="en-GB"/>
        </w:rPr>
        <w:t xml:space="preserve">the sensitivity of </w:t>
      </w:r>
      <w:r w:rsidR="00C04799">
        <w:rPr>
          <w:rFonts w:cstheme="minorHAnsi"/>
          <w:lang w:eastAsia="en-GB"/>
        </w:rPr>
        <w:t xml:space="preserve">a </w:t>
      </w:r>
      <w:r w:rsidR="00F35CC7" w:rsidRPr="008432B3">
        <w:rPr>
          <w:rFonts w:cstheme="minorHAnsi"/>
          <w:lang w:eastAsia="en-GB"/>
        </w:rPr>
        <w:t xml:space="preserve">model’s </w:t>
      </w:r>
      <w:r w:rsidR="00C04799">
        <w:rPr>
          <w:rFonts w:cstheme="minorHAnsi"/>
          <w:lang w:eastAsia="en-GB"/>
        </w:rPr>
        <w:t>results</w:t>
      </w:r>
      <w:r w:rsidR="00C04799" w:rsidRPr="008432B3">
        <w:rPr>
          <w:rFonts w:cstheme="minorHAnsi"/>
          <w:lang w:eastAsia="en-GB"/>
        </w:rPr>
        <w:t xml:space="preserve"> </w:t>
      </w:r>
      <w:r w:rsidR="00F35CC7" w:rsidRPr="008432B3">
        <w:rPr>
          <w:rFonts w:cstheme="minorHAnsi"/>
          <w:lang w:eastAsia="en-GB"/>
        </w:rPr>
        <w:t xml:space="preserve">to underlying assumptions </w:t>
      </w:r>
      <w:r w:rsidR="00F35CC7">
        <w:rPr>
          <w:rFonts w:cstheme="minorHAnsi"/>
          <w:lang w:eastAsia="en-GB"/>
        </w:rPr>
        <w:t xml:space="preserve">should be </w:t>
      </w:r>
      <w:r w:rsidR="00F35CC7" w:rsidRPr="008432B3">
        <w:rPr>
          <w:rFonts w:cstheme="minorHAnsi"/>
          <w:lang w:eastAsia="en-GB"/>
        </w:rPr>
        <w:t>explored and reported</w:t>
      </w:r>
      <w:r w:rsidR="006F4D0C">
        <w:rPr>
          <w:rFonts w:cstheme="minorHAnsi"/>
          <w:lang w:eastAsia="en-GB"/>
        </w:rPr>
        <w:t xml:space="preserve">. </w:t>
      </w:r>
    </w:p>
    <w:p w:rsidR="00EA4160" w:rsidRDefault="00872935" w:rsidP="00EA4160">
      <w:pPr>
        <w:jc w:val="both"/>
        <w:rPr>
          <w:rFonts w:cstheme="minorHAnsi"/>
        </w:rPr>
      </w:pPr>
      <w:r w:rsidRPr="00872935">
        <w:rPr>
          <w:b/>
        </w:rPr>
        <w:t>Method</w:t>
      </w:r>
      <w:r w:rsidR="00FC27EF">
        <w:rPr>
          <w:b/>
        </w:rPr>
        <w:t>s</w:t>
      </w:r>
      <w:r w:rsidR="008922D9">
        <w:rPr>
          <w:b/>
        </w:rPr>
        <w:t xml:space="preserve">: </w:t>
      </w:r>
      <w:r w:rsidR="007709C1">
        <w:t xml:space="preserve">A systematic review was undertaken </w:t>
      </w:r>
      <w:r w:rsidR="007709C1">
        <w:rPr>
          <w:rFonts w:cstheme="minorHAnsi"/>
        </w:rPr>
        <w:t xml:space="preserve">to identify </w:t>
      </w:r>
      <w:r w:rsidR="00B2310A">
        <w:rPr>
          <w:rFonts w:cstheme="minorHAnsi"/>
        </w:rPr>
        <w:t xml:space="preserve">papers presenting </w:t>
      </w:r>
      <w:r w:rsidR="00C04799">
        <w:rPr>
          <w:rFonts w:cstheme="minorHAnsi"/>
        </w:rPr>
        <w:t>guidance for best practice</w:t>
      </w:r>
      <w:r w:rsidR="007709C1">
        <w:rPr>
          <w:rFonts w:cstheme="minorHAnsi"/>
        </w:rPr>
        <w:t xml:space="preserve"> in decision-analytic modelling in the evaluation of healthcare, and to assess if there </w:t>
      </w:r>
      <w:r w:rsidR="00C04799">
        <w:rPr>
          <w:rFonts w:cstheme="minorHAnsi"/>
        </w:rPr>
        <w:t xml:space="preserve">was agreement in this guidance. </w:t>
      </w:r>
      <w:r w:rsidR="006F4D0C">
        <w:rPr>
          <w:rFonts w:cstheme="minorHAnsi"/>
        </w:rPr>
        <w:t xml:space="preserve"> The research question was: “what published guidelines on decision-analytic modelling are available to researchers in healthcare?” </w:t>
      </w:r>
      <w:r w:rsidR="008E28A6">
        <w:rPr>
          <w:rFonts w:cstheme="minorHAnsi"/>
        </w:rPr>
        <w:t xml:space="preserve">The inclusion </w:t>
      </w:r>
      <w:r w:rsidR="00080229">
        <w:rPr>
          <w:rFonts w:cstheme="minorHAnsi"/>
        </w:rPr>
        <w:t>criteria were</w:t>
      </w:r>
      <w:r w:rsidR="008E28A6">
        <w:rPr>
          <w:rFonts w:cstheme="minorHAnsi"/>
        </w:rPr>
        <w:t>:</w:t>
      </w:r>
      <w:r w:rsidR="00845586">
        <w:rPr>
          <w:rFonts w:cstheme="minorHAnsi"/>
        </w:rPr>
        <w:t xml:space="preserve"> modelling papers other than</w:t>
      </w:r>
      <w:r w:rsidR="008E28A6">
        <w:rPr>
          <w:rFonts w:cstheme="minorHAnsi"/>
        </w:rPr>
        <w:t xml:space="preserve"> applied, infectious disease</w:t>
      </w:r>
      <w:r w:rsidR="00845586">
        <w:rPr>
          <w:rFonts w:cstheme="minorHAnsi"/>
        </w:rPr>
        <w:t>,</w:t>
      </w:r>
      <w:r w:rsidR="008E28A6">
        <w:rPr>
          <w:rFonts w:cstheme="minorHAnsi"/>
        </w:rPr>
        <w:t xml:space="preserve"> statistical </w:t>
      </w:r>
      <w:r w:rsidR="00845586">
        <w:rPr>
          <w:rFonts w:cstheme="minorHAnsi"/>
        </w:rPr>
        <w:t xml:space="preserve">and </w:t>
      </w:r>
      <w:r w:rsidR="008E28A6">
        <w:rPr>
          <w:rFonts w:cstheme="minorHAnsi"/>
        </w:rPr>
        <w:t xml:space="preserve">econometrical modelling papers. The initial categorisation of studies </w:t>
      </w:r>
      <w:r w:rsidR="00835DF9">
        <w:rPr>
          <w:rFonts w:cstheme="minorHAnsi"/>
        </w:rPr>
        <w:t>included</w:t>
      </w:r>
      <w:r w:rsidR="00993FED">
        <w:rPr>
          <w:rFonts w:cstheme="minorHAnsi"/>
        </w:rPr>
        <w:t>:</w:t>
      </w:r>
      <w:r w:rsidR="008E28A6">
        <w:rPr>
          <w:rFonts w:cstheme="minorHAnsi"/>
        </w:rPr>
        <w:t xml:space="preserve"> papers reporting on </w:t>
      </w:r>
      <w:r w:rsidR="007D2A3C">
        <w:rPr>
          <w:rFonts w:cstheme="minorHAnsi"/>
        </w:rPr>
        <w:t>methods</w:t>
      </w:r>
      <w:r w:rsidR="00993FED">
        <w:rPr>
          <w:rFonts w:cstheme="minorHAnsi"/>
        </w:rPr>
        <w:t xml:space="preserve"> and</w:t>
      </w:r>
      <w:r w:rsidR="007D2A3C">
        <w:rPr>
          <w:rFonts w:cstheme="minorHAnsi"/>
        </w:rPr>
        <w:t>/</w:t>
      </w:r>
      <w:r w:rsidR="00993FED">
        <w:rPr>
          <w:rFonts w:cstheme="minorHAnsi"/>
        </w:rPr>
        <w:t xml:space="preserve">or </w:t>
      </w:r>
      <w:r w:rsidR="007D2A3C">
        <w:rPr>
          <w:rFonts w:cstheme="minorHAnsi"/>
        </w:rPr>
        <w:t>guidelines</w:t>
      </w:r>
      <w:r w:rsidR="00993FED">
        <w:rPr>
          <w:rFonts w:cstheme="minorHAnsi"/>
        </w:rPr>
        <w:t xml:space="preserve">, </w:t>
      </w:r>
      <w:r w:rsidR="007D2A3C">
        <w:rPr>
          <w:rFonts w:cstheme="minorHAnsi"/>
        </w:rPr>
        <w:t>HTA reports on decision-analytic modelling, and other studies on decision-analytic modelling good practice</w:t>
      </w:r>
      <w:r w:rsidR="008E28A6">
        <w:rPr>
          <w:rFonts w:cstheme="minorHAnsi"/>
        </w:rPr>
        <w:t>.</w:t>
      </w:r>
      <w:r w:rsidR="00EA4160">
        <w:rPr>
          <w:rFonts w:cstheme="minorHAnsi"/>
        </w:rPr>
        <w:t xml:space="preserve"> The </w:t>
      </w:r>
      <w:r w:rsidR="00EA4160" w:rsidRPr="000D36EF">
        <w:rPr>
          <w:rFonts w:cstheme="minorHAnsi"/>
        </w:rPr>
        <w:t>review cover</w:t>
      </w:r>
      <w:r w:rsidR="00EA4160">
        <w:rPr>
          <w:rFonts w:cstheme="minorHAnsi"/>
        </w:rPr>
        <w:t>ed</w:t>
      </w:r>
      <w:r w:rsidR="00EA4160" w:rsidRPr="000D36EF">
        <w:rPr>
          <w:rFonts w:cstheme="minorHAnsi"/>
        </w:rPr>
        <w:t xml:space="preserve"> the period 1990 to date</w:t>
      </w:r>
      <w:r w:rsidR="00EA4160">
        <w:rPr>
          <w:rFonts w:cstheme="minorHAnsi"/>
        </w:rPr>
        <w:t>, a period that coincides with the broad application of economic evaluation in healthcare</w:t>
      </w:r>
      <w:r w:rsidR="00EA4160" w:rsidRPr="000D36EF">
        <w:rPr>
          <w:rFonts w:cstheme="minorHAnsi"/>
        </w:rPr>
        <w:t xml:space="preserve">. </w:t>
      </w:r>
      <w:r w:rsidR="00EA4160">
        <w:rPr>
          <w:rFonts w:cstheme="minorHAnsi"/>
        </w:rPr>
        <w:t>Electronic bibliographic databases searched included: Cochrane Library, MEDLINE(R) and EMBASE</w:t>
      </w:r>
      <w:r w:rsidR="00EA4160" w:rsidRPr="000D36EF">
        <w:rPr>
          <w:rFonts w:cstheme="minorHAnsi"/>
        </w:rPr>
        <w:t>.</w:t>
      </w:r>
    </w:p>
    <w:p w:rsidR="00026F86" w:rsidRPr="00026F86" w:rsidRDefault="00E3091D" w:rsidP="009021B2">
      <w:pPr>
        <w:jc w:val="both"/>
      </w:pPr>
      <w:r w:rsidRPr="00E3091D">
        <w:rPr>
          <w:b/>
        </w:rPr>
        <w:t>Results</w:t>
      </w:r>
      <w:r w:rsidR="00FC27EF">
        <w:rPr>
          <w:b/>
        </w:rPr>
        <w:t>:</w:t>
      </w:r>
      <w:r w:rsidR="00EA4160">
        <w:rPr>
          <w:b/>
        </w:rPr>
        <w:t xml:space="preserve"> </w:t>
      </w:r>
      <w:r w:rsidR="00635C34">
        <w:t>4,150 studies</w:t>
      </w:r>
      <w:r w:rsidR="00EA4160">
        <w:t xml:space="preserve"> were initially identified, of which 3,9</w:t>
      </w:r>
      <w:r w:rsidR="00A16921">
        <w:t>83</w:t>
      </w:r>
      <w:r w:rsidR="00EA4160">
        <w:t xml:space="preserve"> were excluded </w:t>
      </w:r>
      <w:r w:rsidR="00CA7DB1">
        <w:t>as applied studies</w:t>
      </w:r>
      <w:r w:rsidR="00026F86">
        <w:t>.</w:t>
      </w:r>
      <w:r w:rsidR="00EA4160">
        <w:t xml:space="preserve"> A</w:t>
      </w:r>
      <w:r w:rsidR="00A16921">
        <w:t>n initial</w:t>
      </w:r>
      <w:r w:rsidR="00EA4160">
        <w:t xml:space="preserve"> categorisation of studies</w:t>
      </w:r>
      <w:r w:rsidR="00A16921">
        <w:t xml:space="preserve"> excluded</w:t>
      </w:r>
      <w:r w:rsidR="00EA4160">
        <w:t xml:space="preserve"> 100 titles</w:t>
      </w:r>
      <w:r w:rsidR="00C04799">
        <w:t xml:space="preserve"> and</w:t>
      </w:r>
      <w:r w:rsidR="00EA4160">
        <w:t xml:space="preserve"> </w:t>
      </w:r>
      <w:r w:rsidR="00A16921">
        <w:t>a further</w:t>
      </w:r>
      <w:r w:rsidR="00EA4160">
        <w:t xml:space="preserve"> categorisation of studies exclu</w:t>
      </w:r>
      <w:r w:rsidR="00A16921">
        <w:t>ded</w:t>
      </w:r>
      <w:r w:rsidR="00EA4160">
        <w:t xml:space="preserve"> </w:t>
      </w:r>
      <w:r w:rsidR="00A16921">
        <w:t>additional</w:t>
      </w:r>
      <w:r w:rsidR="00EB4ED6">
        <w:t xml:space="preserve"> 32 papers as corresponding to other general guidelines, conference abstracts, and opinion or critique articles. </w:t>
      </w:r>
      <w:r w:rsidR="009021B2">
        <w:t xml:space="preserve">In total 35 papers were identified and included in this review: 17 corresponded to data </w:t>
      </w:r>
      <w:r w:rsidR="00B2310A">
        <w:t>inputs</w:t>
      </w:r>
      <w:r w:rsidR="009021B2">
        <w:t xml:space="preserve">, 8 were general guidelines, 6 concentrated on model structure and 4 papers discussed methods or guidelines for model transparency or validity. </w:t>
      </w:r>
      <w:r w:rsidR="00080229" w:rsidRPr="009021B2">
        <w:t xml:space="preserve">This review has identified </w:t>
      </w:r>
      <w:r w:rsidR="009021B2" w:rsidRPr="009021B2">
        <w:t>main areas of agreement and disagreement among guidelines</w:t>
      </w:r>
      <w:r w:rsidR="00026F86" w:rsidRPr="00026F86">
        <w:t>.</w:t>
      </w:r>
    </w:p>
    <w:p w:rsidR="00502612" w:rsidRDefault="00493802" w:rsidP="00C948B7">
      <w:pPr>
        <w:jc w:val="both"/>
      </w:pPr>
      <w:r>
        <w:rPr>
          <w:b/>
        </w:rPr>
        <w:t xml:space="preserve">Discussion: </w:t>
      </w:r>
      <w:r w:rsidR="00680542" w:rsidRPr="00680542">
        <w:t>Th</w:t>
      </w:r>
      <w:r w:rsidR="00680542">
        <w:t>is</w:t>
      </w:r>
      <w:r w:rsidR="00680542" w:rsidRPr="00680542">
        <w:t xml:space="preserve"> paper </w:t>
      </w:r>
      <w:r w:rsidR="007B57D7">
        <w:t>will</w:t>
      </w:r>
      <w:r w:rsidR="007D2A3C">
        <w:t xml:space="preserve"> discuss agreed standards for what constitutes ‘g</w:t>
      </w:r>
      <w:r w:rsidR="00680542" w:rsidRPr="00680542">
        <w:t xml:space="preserve">ood practice </w:t>
      </w:r>
      <w:r w:rsidR="007D2A3C">
        <w:t>when modelling’</w:t>
      </w:r>
      <w:r w:rsidR="007B57D7">
        <w:t xml:space="preserve"> highlighting </w:t>
      </w:r>
      <w:r w:rsidR="00680542" w:rsidRPr="00680542">
        <w:t xml:space="preserve">any </w:t>
      </w:r>
      <w:r w:rsidR="00C948B7">
        <w:t xml:space="preserve">identified </w:t>
      </w:r>
      <w:r w:rsidR="00680542" w:rsidRPr="00680542">
        <w:t>conflicting area</w:t>
      </w:r>
      <w:r w:rsidR="007B57D7">
        <w:t>(s)</w:t>
      </w:r>
      <w:r w:rsidR="00680542">
        <w:t xml:space="preserve"> of guidelines</w:t>
      </w:r>
      <w:r w:rsidR="007B57D7">
        <w:t xml:space="preserve">. We welcome </w:t>
      </w:r>
      <w:r w:rsidR="00A554FB">
        <w:t xml:space="preserve">a discussion from the </w:t>
      </w:r>
      <w:r w:rsidR="007B57D7">
        <w:t xml:space="preserve">HESG </w:t>
      </w:r>
      <w:r w:rsidR="00C948B7">
        <w:t xml:space="preserve">on setting </w:t>
      </w:r>
      <w:r w:rsidR="007B57D7">
        <w:t>standards</w:t>
      </w:r>
      <w:r w:rsidR="00C948B7">
        <w:t xml:space="preserve"> for guidelines</w:t>
      </w:r>
      <w:r w:rsidR="007B57D7">
        <w:t xml:space="preserve"> with particular emphasis on issues around model structure, use of data and model validation</w:t>
      </w:r>
      <w:r w:rsidR="00680542">
        <w:t>.</w:t>
      </w:r>
      <w:r w:rsidR="00680542" w:rsidRPr="00680542">
        <w:t xml:space="preserve">   </w:t>
      </w:r>
    </w:p>
    <w:p w:rsidR="007D2A3C" w:rsidRPr="00680542" w:rsidRDefault="007D2A3C"/>
    <w:sectPr w:rsidR="007D2A3C" w:rsidRPr="00680542" w:rsidSect="008912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FC8"/>
    <w:multiLevelType w:val="hybridMultilevel"/>
    <w:tmpl w:val="351004A8"/>
    <w:lvl w:ilvl="0" w:tplc="DD3E56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88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D6F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8A5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44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9085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440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287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46C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8C09DB"/>
    <w:multiLevelType w:val="hybridMultilevel"/>
    <w:tmpl w:val="36801F84"/>
    <w:lvl w:ilvl="0" w:tplc="919EDE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C0C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345D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7AF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841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E29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DC6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72A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74C1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CB63F2"/>
    <w:multiLevelType w:val="hybridMultilevel"/>
    <w:tmpl w:val="F38611DA"/>
    <w:lvl w:ilvl="0" w:tplc="31A4D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4B1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04F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63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7E3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83E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AA7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C60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80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A191089"/>
    <w:multiLevelType w:val="hybridMultilevel"/>
    <w:tmpl w:val="F02A0980"/>
    <w:lvl w:ilvl="0" w:tplc="C3A2A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AC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38C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EA1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E04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43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E80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EA2A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D251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E862185"/>
    <w:multiLevelType w:val="hybridMultilevel"/>
    <w:tmpl w:val="43BE46CA"/>
    <w:lvl w:ilvl="0" w:tplc="0A1ADF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18D7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30E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8A3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DAC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24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025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2E65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948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28C"/>
    <w:rsid w:val="00026F86"/>
    <w:rsid w:val="00080229"/>
    <w:rsid w:val="000C0AFE"/>
    <w:rsid w:val="000C0F0B"/>
    <w:rsid w:val="000D501F"/>
    <w:rsid w:val="00125DCD"/>
    <w:rsid w:val="001A1BA5"/>
    <w:rsid w:val="001F5893"/>
    <w:rsid w:val="00233009"/>
    <w:rsid w:val="00233C5D"/>
    <w:rsid w:val="00277546"/>
    <w:rsid w:val="0028287C"/>
    <w:rsid w:val="002B63DA"/>
    <w:rsid w:val="002F7DE9"/>
    <w:rsid w:val="00360E84"/>
    <w:rsid w:val="0036728C"/>
    <w:rsid w:val="00367331"/>
    <w:rsid w:val="00390CFA"/>
    <w:rsid w:val="003D65AB"/>
    <w:rsid w:val="00420F71"/>
    <w:rsid w:val="00461C68"/>
    <w:rsid w:val="004745A2"/>
    <w:rsid w:val="004935BF"/>
    <w:rsid w:val="00493802"/>
    <w:rsid w:val="004D1FFA"/>
    <w:rsid w:val="004D3D0F"/>
    <w:rsid w:val="004D79A5"/>
    <w:rsid w:val="004D7A2D"/>
    <w:rsid w:val="00502612"/>
    <w:rsid w:val="00503FD7"/>
    <w:rsid w:val="005358FC"/>
    <w:rsid w:val="005A0342"/>
    <w:rsid w:val="005E7C59"/>
    <w:rsid w:val="006333A5"/>
    <w:rsid w:val="00635B31"/>
    <w:rsid w:val="00635C34"/>
    <w:rsid w:val="00650D1D"/>
    <w:rsid w:val="00680542"/>
    <w:rsid w:val="006E0765"/>
    <w:rsid w:val="006F4D0C"/>
    <w:rsid w:val="007016F5"/>
    <w:rsid w:val="00702444"/>
    <w:rsid w:val="00717CA3"/>
    <w:rsid w:val="007709C1"/>
    <w:rsid w:val="007A4ED5"/>
    <w:rsid w:val="007B57D7"/>
    <w:rsid w:val="007D2A3C"/>
    <w:rsid w:val="0082037D"/>
    <w:rsid w:val="00835DF9"/>
    <w:rsid w:val="00843B8C"/>
    <w:rsid w:val="00845586"/>
    <w:rsid w:val="00872935"/>
    <w:rsid w:val="00876298"/>
    <w:rsid w:val="008912DD"/>
    <w:rsid w:val="0089221F"/>
    <w:rsid w:val="008922D9"/>
    <w:rsid w:val="008A5D0E"/>
    <w:rsid w:val="008B0860"/>
    <w:rsid w:val="008E28A6"/>
    <w:rsid w:val="009021B2"/>
    <w:rsid w:val="009205D6"/>
    <w:rsid w:val="00933255"/>
    <w:rsid w:val="009708DC"/>
    <w:rsid w:val="00993FED"/>
    <w:rsid w:val="009D7361"/>
    <w:rsid w:val="009E1BFF"/>
    <w:rsid w:val="009F427F"/>
    <w:rsid w:val="00A07034"/>
    <w:rsid w:val="00A16921"/>
    <w:rsid w:val="00A4184A"/>
    <w:rsid w:val="00A45BA7"/>
    <w:rsid w:val="00A554FB"/>
    <w:rsid w:val="00AC0E78"/>
    <w:rsid w:val="00B0152D"/>
    <w:rsid w:val="00B136B6"/>
    <w:rsid w:val="00B2310A"/>
    <w:rsid w:val="00BF447A"/>
    <w:rsid w:val="00C04799"/>
    <w:rsid w:val="00C35F32"/>
    <w:rsid w:val="00C8409C"/>
    <w:rsid w:val="00C85D2B"/>
    <w:rsid w:val="00C948B7"/>
    <w:rsid w:val="00CA7DB1"/>
    <w:rsid w:val="00D07333"/>
    <w:rsid w:val="00D15AD8"/>
    <w:rsid w:val="00D66AC9"/>
    <w:rsid w:val="00D71F7D"/>
    <w:rsid w:val="00DF6FD6"/>
    <w:rsid w:val="00E234D0"/>
    <w:rsid w:val="00E3091D"/>
    <w:rsid w:val="00E96843"/>
    <w:rsid w:val="00EA4160"/>
    <w:rsid w:val="00EA6669"/>
    <w:rsid w:val="00EB4ED6"/>
    <w:rsid w:val="00EF037F"/>
    <w:rsid w:val="00EF4754"/>
    <w:rsid w:val="00F02E6A"/>
    <w:rsid w:val="00F17CB0"/>
    <w:rsid w:val="00F35650"/>
    <w:rsid w:val="00F35CC7"/>
    <w:rsid w:val="00F46500"/>
    <w:rsid w:val="00F47165"/>
    <w:rsid w:val="00FC27EF"/>
    <w:rsid w:val="00FF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2D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9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7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3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3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3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33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D1FF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2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9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4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5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7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9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276F0DD9</Template>
  <TotalTime>2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penalomc</dc:creator>
  <cp:lastModifiedBy>mhsjba</cp:lastModifiedBy>
  <cp:revision>3</cp:revision>
  <cp:lastPrinted>2013-04-05T09:19:00Z</cp:lastPrinted>
  <dcterms:created xsi:type="dcterms:W3CDTF">2013-04-05T12:42:00Z</dcterms:created>
  <dcterms:modified xsi:type="dcterms:W3CDTF">2013-04-12T11:18:00Z</dcterms:modified>
</cp:coreProperties>
</file>