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5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77BF57" w14:textId="229F1653" w:rsidR="002871D8" w:rsidRPr="00380AB0" w:rsidRDefault="00116E8B" w:rsidP="00116E8B">
      <w:pPr>
        <w:jc w:val="center"/>
        <w:rPr>
          <w:rFonts w:ascii="Arial" w:hAnsi="Arial" w:cs="Arial"/>
          <w:b/>
          <w:sz w:val="22"/>
          <w:szCs w:val="22"/>
          <w:lang w:val="en-GB"/>
        </w:rPr>
      </w:pPr>
      <w:r w:rsidRPr="00380AB0">
        <w:rPr>
          <w:rFonts w:ascii="Arial" w:hAnsi="Arial" w:cs="Arial"/>
          <w:b/>
          <w:sz w:val="22"/>
          <w:szCs w:val="22"/>
          <w:lang w:val="en-GB"/>
        </w:rPr>
        <w:t xml:space="preserve">Structural and functional analysis of the solute-binding protein </w:t>
      </w:r>
      <w:proofErr w:type="spellStart"/>
      <w:r w:rsidRPr="00380AB0">
        <w:rPr>
          <w:rFonts w:ascii="Arial" w:hAnsi="Arial" w:cs="Arial"/>
          <w:b/>
          <w:sz w:val="22"/>
          <w:szCs w:val="22"/>
          <w:lang w:val="en-GB"/>
        </w:rPr>
        <w:t>UgpB</w:t>
      </w:r>
      <w:proofErr w:type="spellEnd"/>
      <w:r w:rsidR="00A31A06">
        <w:rPr>
          <w:rFonts w:ascii="Arial" w:hAnsi="Arial" w:cs="Arial"/>
          <w:b/>
          <w:sz w:val="22"/>
          <w:szCs w:val="22"/>
          <w:lang w:val="en-GB"/>
        </w:rPr>
        <w:t xml:space="preserve"> involved in </w:t>
      </w:r>
      <w:r w:rsidR="00A378D3">
        <w:rPr>
          <w:rFonts w:ascii="Arial" w:hAnsi="Arial" w:cs="Arial"/>
          <w:b/>
          <w:sz w:val="22"/>
          <w:szCs w:val="22"/>
          <w:lang w:val="en-GB"/>
        </w:rPr>
        <w:t>glyco</w:t>
      </w:r>
      <w:r w:rsidR="00A31A06">
        <w:rPr>
          <w:rFonts w:ascii="Arial" w:hAnsi="Arial" w:cs="Arial"/>
          <w:b/>
          <w:sz w:val="22"/>
          <w:szCs w:val="22"/>
          <w:lang w:val="en-GB"/>
        </w:rPr>
        <w:t>lipid recognition</w:t>
      </w:r>
      <w:r w:rsidRPr="00380AB0">
        <w:rPr>
          <w:rFonts w:ascii="Arial" w:hAnsi="Arial" w:cs="Arial"/>
          <w:b/>
          <w:sz w:val="22"/>
          <w:szCs w:val="22"/>
          <w:lang w:val="en-GB"/>
        </w:rPr>
        <w:t xml:space="preserve"> from </w:t>
      </w:r>
      <w:r w:rsidRPr="00380AB0">
        <w:rPr>
          <w:rFonts w:ascii="Arial" w:hAnsi="Arial" w:cs="Arial"/>
          <w:b/>
          <w:i/>
          <w:sz w:val="22"/>
          <w:szCs w:val="22"/>
          <w:lang w:val="en-GB"/>
        </w:rPr>
        <w:t>Mycobacterium tuberculosis</w:t>
      </w:r>
    </w:p>
    <w:p w14:paraId="4BF441A7" w14:textId="77777777" w:rsidR="005E749F" w:rsidRPr="00380AB0" w:rsidRDefault="005E749F" w:rsidP="00116E8B">
      <w:pPr>
        <w:jc w:val="center"/>
        <w:rPr>
          <w:rFonts w:ascii="Arial" w:hAnsi="Arial" w:cs="Arial"/>
          <w:b/>
          <w:sz w:val="22"/>
          <w:szCs w:val="22"/>
          <w:lang w:val="en-GB"/>
        </w:rPr>
      </w:pPr>
    </w:p>
    <w:p w14:paraId="40AF58B2" w14:textId="1126A679" w:rsidR="00A36BDD" w:rsidRPr="004F2310" w:rsidRDefault="004806E9" w:rsidP="00A36BDD">
      <w:pPr>
        <w:jc w:val="center"/>
        <w:rPr>
          <w:rFonts w:ascii="Arial" w:hAnsi="Arial" w:cs="Arial"/>
          <w:sz w:val="22"/>
          <w:szCs w:val="22"/>
          <w:vertAlign w:val="superscript"/>
          <w:lang w:val="en-GB"/>
        </w:rPr>
      </w:pPr>
      <w:r w:rsidRPr="004F2310">
        <w:rPr>
          <w:rFonts w:ascii="Arial" w:hAnsi="Arial" w:cs="Arial"/>
          <w:sz w:val="22"/>
          <w:szCs w:val="22"/>
          <w:lang w:val="en-GB"/>
        </w:rPr>
        <w:t>J. Fenn</w:t>
      </w:r>
      <w:r w:rsidR="00A36BDD" w:rsidRPr="004F2310">
        <w:rPr>
          <w:rFonts w:ascii="Arial" w:hAnsi="Arial" w:cs="Arial"/>
          <w:sz w:val="22"/>
          <w:szCs w:val="22"/>
          <w:vertAlign w:val="superscript"/>
          <w:lang w:val="en-GB"/>
        </w:rPr>
        <w:t>1</w:t>
      </w:r>
      <w:r w:rsidRPr="004F2310">
        <w:rPr>
          <w:rFonts w:ascii="Arial" w:hAnsi="Arial" w:cs="Arial"/>
          <w:sz w:val="22"/>
          <w:szCs w:val="22"/>
          <w:lang w:val="en-GB"/>
        </w:rPr>
        <w:t>, R. Nepravishta</w:t>
      </w:r>
      <w:r w:rsidR="00A36BDD" w:rsidRPr="004F2310">
        <w:rPr>
          <w:rFonts w:ascii="Arial" w:hAnsi="Arial" w:cs="Arial"/>
          <w:sz w:val="22"/>
          <w:szCs w:val="22"/>
          <w:vertAlign w:val="superscript"/>
          <w:lang w:val="en-GB"/>
        </w:rPr>
        <w:t>2</w:t>
      </w:r>
      <w:r w:rsidRPr="004F2310">
        <w:rPr>
          <w:rFonts w:ascii="Arial" w:hAnsi="Arial" w:cs="Arial"/>
          <w:sz w:val="22"/>
          <w:szCs w:val="22"/>
          <w:lang w:val="en-GB"/>
        </w:rPr>
        <w:t>,</w:t>
      </w:r>
      <w:r w:rsidR="006B7161">
        <w:rPr>
          <w:rFonts w:ascii="Arial" w:hAnsi="Arial" w:cs="Arial"/>
          <w:sz w:val="22"/>
          <w:szCs w:val="22"/>
          <w:lang w:val="en-GB"/>
        </w:rPr>
        <w:t xml:space="preserve"> J. Harrison</w:t>
      </w:r>
      <w:r w:rsidR="006B7161">
        <w:rPr>
          <w:rFonts w:ascii="Arial" w:hAnsi="Arial" w:cs="Arial"/>
          <w:sz w:val="22"/>
          <w:szCs w:val="22"/>
          <w:vertAlign w:val="superscript"/>
          <w:lang w:val="en-GB"/>
        </w:rPr>
        <w:t>1</w:t>
      </w:r>
      <w:r w:rsidR="006B7161">
        <w:rPr>
          <w:rFonts w:ascii="Arial" w:hAnsi="Arial" w:cs="Arial"/>
          <w:sz w:val="22"/>
          <w:szCs w:val="22"/>
          <w:lang w:val="en-GB"/>
        </w:rPr>
        <w:t>,</w:t>
      </w:r>
      <w:r w:rsidR="00AB02E0">
        <w:rPr>
          <w:rFonts w:ascii="Arial" w:hAnsi="Arial" w:cs="Arial"/>
          <w:sz w:val="22"/>
          <w:szCs w:val="22"/>
          <w:lang w:val="en-GB"/>
        </w:rPr>
        <w:t xml:space="preserve"> A. D. Cameron</w:t>
      </w:r>
      <w:r w:rsidR="00AB02E0">
        <w:rPr>
          <w:rFonts w:ascii="Arial" w:hAnsi="Arial" w:cs="Arial"/>
          <w:sz w:val="22"/>
          <w:szCs w:val="22"/>
          <w:vertAlign w:val="superscript"/>
          <w:lang w:val="en-GB"/>
        </w:rPr>
        <w:t>1</w:t>
      </w:r>
      <w:r w:rsidR="006B7161">
        <w:rPr>
          <w:rFonts w:ascii="Arial" w:hAnsi="Arial" w:cs="Arial"/>
          <w:sz w:val="22"/>
          <w:szCs w:val="22"/>
          <w:lang w:val="en-GB"/>
        </w:rPr>
        <w:t>,</w:t>
      </w:r>
      <w:r w:rsidRPr="004F2310">
        <w:rPr>
          <w:rFonts w:ascii="Arial" w:hAnsi="Arial" w:cs="Arial"/>
          <w:sz w:val="22"/>
          <w:szCs w:val="22"/>
          <w:lang w:val="en-GB"/>
        </w:rPr>
        <w:t xml:space="preserve"> J. Angulo</w:t>
      </w:r>
      <w:r w:rsidR="00A36BDD" w:rsidRPr="004F2310">
        <w:rPr>
          <w:rFonts w:ascii="Arial" w:hAnsi="Arial" w:cs="Arial"/>
          <w:sz w:val="22"/>
          <w:szCs w:val="22"/>
          <w:vertAlign w:val="superscript"/>
          <w:lang w:val="en-GB"/>
        </w:rPr>
        <w:t>2</w:t>
      </w:r>
      <w:r w:rsidRPr="004F2310">
        <w:rPr>
          <w:rFonts w:ascii="Arial" w:hAnsi="Arial" w:cs="Arial"/>
          <w:sz w:val="22"/>
          <w:szCs w:val="22"/>
          <w:lang w:val="en-GB"/>
        </w:rPr>
        <w:t>, E. Fullam</w:t>
      </w:r>
      <w:r w:rsidR="00A36BDD" w:rsidRPr="004F2310">
        <w:rPr>
          <w:rFonts w:ascii="Arial" w:hAnsi="Arial" w:cs="Arial"/>
          <w:sz w:val="22"/>
          <w:szCs w:val="22"/>
          <w:vertAlign w:val="superscript"/>
          <w:lang w:val="en-GB"/>
        </w:rPr>
        <w:t>1</w:t>
      </w:r>
    </w:p>
    <w:p w14:paraId="13F6B460" w14:textId="77777777" w:rsidR="00A36BDD" w:rsidRPr="004F2310" w:rsidRDefault="00A36BDD" w:rsidP="00A36BDD">
      <w:pPr>
        <w:jc w:val="center"/>
        <w:rPr>
          <w:rFonts w:ascii="Arial" w:hAnsi="Arial" w:cs="Arial"/>
          <w:sz w:val="22"/>
          <w:szCs w:val="22"/>
          <w:lang w:val="en-GB"/>
        </w:rPr>
      </w:pPr>
    </w:p>
    <w:p w14:paraId="7A727182" w14:textId="1F890C97" w:rsidR="00A36BDD" w:rsidRDefault="00A36BDD" w:rsidP="00A36BDD">
      <w:pPr>
        <w:jc w:val="center"/>
        <w:rPr>
          <w:rFonts w:ascii="Arial" w:hAnsi="Arial" w:cs="Arial"/>
          <w:sz w:val="22"/>
          <w:szCs w:val="22"/>
          <w:vertAlign w:val="superscript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School of Life Sciences, University of Warwick, Coventry</w:t>
      </w:r>
      <w:r w:rsidR="004806E9">
        <w:rPr>
          <w:rFonts w:ascii="Arial" w:hAnsi="Arial" w:cs="Arial"/>
          <w:sz w:val="22"/>
          <w:szCs w:val="22"/>
          <w:vertAlign w:val="superscript"/>
          <w:lang w:val="en-GB"/>
        </w:rPr>
        <w:t>1</w:t>
      </w:r>
    </w:p>
    <w:p w14:paraId="03609616" w14:textId="77777777" w:rsidR="00C74BB1" w:rsidRPr="004806E9" w:rsidRDefault="00C74BB1" w:rsidP="00A36BDD">
      <w:pPr>
        <w:jc w:val="center"/>
        <w:rPr>
          <w:rFonts w:ascii="Arial" w:hAnsi="Arial" w:cs="Arial"/>
          <w:sz w:val="22"/>
          <w:szCs w:val="22"/>
          <w:vertAlign w:val="superscript"/>
          <w:lang w:val="en-GB"/>
        </w:rPr>
      </w:pPr>
    </w:p>
    <w:p w14:paraId="012122A3" w14:textId="14E2E680" w:rsidR="00A36BDD" w:rsidRPr="00E11E96" w:rsidRDefault="00A36BDD" w:rsidP="00A36BDD">
      <w:pPr>
        <w:jc w:val="center"/>
        <w:rPr>
          <w:rFonts w:ascii="Arial" w:hAnsi="Arial" w:cs="Arial"/>
          <w:sz w:val="22"/>
          <w:szCs w:val="22"/>
          <w:lang w:val="en-GB"/>
        </w:rPr>
      </w:pPr>
      <w:r>
        <w:rPr>
          <w:rFonts w:ascii="Arial" w:hAnsi="Arial" w:cs="Arial"/>
          <w:sz w:val="22"/>
          <w:szCs w:val="22"/>
          <w:lang w:val="en-GB"/>
        </w:rPr>
        <w:t>School of Pharmacy, University of East Anglia, Norwich</w:t>
      </w:r>
      <w:r w:rsidR="00E11E96">
        <w:rPr>
          <w:rFonts w:ascii="Arial" w:hAnsi="Arial" w:cs="Arial"/>
          <w:sz w:val="22"/>
          <w:szCs w:val="22"/>
          <w:vertAlign w:val="superscript"/>
          <w:lang w:val="en-GB"/>
        </w:rPr>
        <w:t>2</w:t>
      </w:r>
    </w:p>
    <w:p w14:paraId="3AB0BBCC" w14:textId="77777777" w:rsidR="00A36BDD" w:rsidRDefault="00A36BDD" w:rsidP="00A36BDD">
      <w:pPr>
        <w:rPr>
          <w:rFonts w:ascii="Arial" w:hAnsi="Arial" w:cs="Arial"/>
          <w:sz w:val="22"/>
          <w:szCs w:val="22"/>
          <w:lang w:val="en-GB"/>
        </w:rPr>
      </w:pPr>
    </w:p>
    <w:p w14:paraId="21EA75AA" w14:textId="77777777" w:rsidR="00A36BDD" w:rsidRDefault="00A36BDD" w:rsidP="00380AB0">
      <w:pPr>
        <w:jc w:val="both"/>
        <w:rPr>
          <w:rFonts w:ascii="Arial" w:hAnsi="Arial" w:cs="Arial"/>
          <w:sz w:val="22"/>
          <w:szCs w:val="22"/>
          <w:lang w:val="en-GB"/>
        </w:rPr>
      </w:pPr>
    </w:p>
    <w:p w14:paraId="7487745D" w14:textId="7D94986E" w:rsidR="00380AB0" w:rsidRDefault="005E749F" w:rsidP="00380AB0">
      <w:pPr>
        <w:jc w:val="both"/>
        <w:rPr>
          <w:rFonts w:ascii="Arial" w:hAnsi="Arial" w:cs="Arial"/>
          <w:sz w:val="22"/>
          <w:szCs w:val="22"/>
        </w:rPr>
      </w:pPr>
      <w:r w:rsidRPr="00380AB0">
        <w:rPr>
          <w:rFonts w:ascii="Arial" w:hAnsi="Arial" w:cs="Arial"/>
          <w:sz w:val="22"/>
          <w:szCs w:val="22"/>
          <w:lang w:val="en-GB"/>
        </w:rPr>
        <w:t xml:space="preserve">Tuberculosis (TB) </w:t>
      </w:r>
      <w:r w:rsidR="00905D21">
        <w:rPr>
          <w:rFonts w:ascii="Arial" w:hAnsi="Arial" w:cs="Arial"/>
          <w:sz w:val="22"/>
          <w:szCs w:val="22"/>
          <w:lang w:val="en-GB"/>
        </w:rPr>
        <w:t xml:space="preserve">is a global </w:t>
      </w:r>
      <w:proofErr w:type="gramStart"/>
      <w:r w:rsidR="00905D21">
        <w:rPr>
          <w:rFonts w:ascii="Arial" w:hAnsi="Arial" w:cs="Arial"/>
          <w:sz w:val="22"/>
          <w:szCs w:val="22"/>
          <w:lang w:val="en-GB"/>
        </w:rPr>
        <w:t>disease</w:t>
      </w:r>
      <w:r w:rsidR="001B4FC7" w:rsidRPr="00380AB0">
        <w:rPr>
          <w:rFonts w:ascii="Arial" w:hAnsi="Arial" w:cs="Arial"/>
          <w:sz w:val="22"/>
          <w:szCs w:val="22"/>
          <w:lang w:val="en-GB"/>
        </w:rPr>
        <w:t xml:space="preserve"> which</w:t>
      </w:r>
      <w:proofErr w:type="gramEnd"/>
      <w:r w:rsidR="001B4FC7" w:rsidRPr="00380AB0">
        <w:rPr>
          <w:rFonts w:ascii="Arial" w:hAnsi="Arial" w:cs="Arial"/>
          <w:sz w:val="22"/>
          <w:szCs w:val="22"/>
          <w:lang w:val="en-GB"/>
        </w:rPr>
        <w:t xml:space="preserve"> </w:t>
      </w:r>
      <w:r w:rsidRPr="00380AB0">
        <w:rPr>
          <w:rFonts w:ascii="Arial" w:hAnsi="Arial" w:cs="Arial"/>
          <w:sz w:val="22"/>
          <w:szCs w:val="22"/>
          <w:lang w:val="en-GB"/>
        </w:rPr>
        <w:t xml:space="preserve">kills 1.7 million people per year and is </w:t>
      </w:r>
      <w:r w:rsidR="001B4FC7" w:rsidRPr="00380AB0">
        <w:rPr>
          <w:rFonts w:ascii="Arial" w:hAnsi="Arial" w:cs="Arial"/>
          <w:sz w:val="22"/>
          <w:szCs w:val="22"/>
          <w:lang w:val="en-GB"/>
        </w:rPr>
        <w:t xml:space="preserve">responsible for more deaths world-wide than HIV and malaria. </w:t>
      </w:r>
      <w:r w:rsidR="00380AB0" w:rsidRPr="00380AB0">
        <w:rPr>
          <w:rFonts w:ascii="Arial" w:hAnsi="Arial" w:cs="Arial"/>
          <w:i/>
          <w:sz w:val="22"/>
          <w:szCs w:val="22"/>
        </w:rPr>
        <w:t>Mycobacterium tuberculosis (</w:t>
      </w:r>
      <w:proofErr w:type="spellStart"/>
      <w:r w:rsidR="00380AB0" w:rsidRPr="00380AB0">
        <w:rPr>
          <w:rFonts w:ascii="Arial" w:hAnsi="Arial" w:cs="Arial"/>
          <w:i/>
          <w:sz w:val="22"/>
          <w:szCs w:val="22"/>
        </w:rPr>
        <w:t>Mtb</w:t>
      </w:r>
      <w:proofErr w:type="spellEnd"/>
      <w:r w:rsidR="00380AB0" w:rsidRPr="00380AB0">
        <w:rPr>
          <w:rFonts w:ascii="Arial" w:hAnsi="Arial" w:cs="Arial"/>
          <w:sz w:val="22"/>
          <w:szCs w:val="22"/>
        </w:rPr>
        <w:t xml:space="preserve">), the </w:t>
      </w:r>
      <w:proofErr w:type="spellStart"/>
      <w:r w:rsidR="00380AB0" w:rsidRPr="00380AB0">
        <w:rPr>
          <w:rFonts w:ascii="Arial" w:hAnsi="Arial" w:cs="Arial"/>
          <w:sz w:val="22"/>
          <w:szCs w:val="22"/>
        </w:rPr>
        <w:t>aetiological</w:t>
      </w:r>
      <w:proofErr w:type="spellEnd"/>
      <w:r w:rsidR="00380AB0" w:rsidRPr="00380AB0">
        <w:rPr>
          <w:rFonts w:ascii="Arial" w:hAnsi="Arial" w:cs="Arial"/>
          <w:sz w:val="22"/>
          <w:szCs w:val="22"/>
        </w:rPr>
        <w:t xml:space="preserve"> agent of tuberculosis, has evolved to scavenge nutrients from the confined environment of host macrophages with mycobacterial ATP binding cassette (ABC) transporters playing a key role in nutrient acquisition. </w:t>
      </w:r>
    </w:p>
    <w:p w14:paraId="0B8805AE" w14:textId="77777777" w:rsidR="00380AB0" w:rsidRDefault="00380AB0" w:rsidP="00380AB0">
      <w:pPr>
        <w:jc w:val="both"/>
        <w:rPr>
          <w:rFonts w:ascii="Arial" w:hAnsi="Arial" w:cs="Arial"/>
          <w:sz w:val="22"/>
          <w:szCs w:val="22"/>
        </w:rPr>
      </w:pPr>
    </w:p>
    <w:p w14:paraId="7C4E9B48" w14:textId="7BCDCF6E" w:rsidR="00380AB0" w:rsidRDefault="00380AB0" w:rsidP="00380AB0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i/>
          <w:sz w:val="22"/>
          <w:szCs w:val="22"/>
        </w:rPr>
        <w:t>Mtb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UgpB</w:t>
      </w:r>
      <w:proofErr w:type="spellEnd"/>
      <w:r>
        <w:rPr>
          <w:rFonts w:ascii="Arial" w:hAnsi="Arial" w:cs="Arial"/>
          <w:sz w:val="22"/>
          <w:szCs w:val="22"/>
        </w:rPr>
        <w:t xml:space="preserve"> (Rv2833c) is the solute bindin</w:t>
      </w:r>
      <w:r w:rsidR="00E25A44">
        <w:rPr>
          <w:rFonts w:ascii="Arial" w:hAnsi="Arial" w:cs="Arial"/>
          <w:sz w:val="22"/>
          <w:szCs w:val="22"/>
        </w:rPr>
        <w:t xml:space="preserve">g protein of the essential </w:t>
      </w:r>
      <w:proofErr w:type="spellStart"/>
      <w:r w:rsidR="00E25A44">
        <w:rPr>
          <w:rFonts w:ascii="Arial" w:hAnsi="Arial" w:cs="Arial"/>
          <w:sz w:val="22"/>
          <w:szCs w:val="22"/>
        </w:rPr>
        <w:t>UgpA</w:t>
      </w:r>
      <w:r>
        <w:rPr>
          <w:rFonts w:ascii="Arial" w:hAnsi="Arial" w:cs="Arial"/>
          <w:sz w:val="22"/>
          <w:szCs w:val="22"/>
        </w:rPr>
        <w:t>BC</w:t>
      </w:r>
      <w:r w:rsidR="00E25A44">
        <w:rPr>
          <w:rFonts w:ascii="Arial" w:hAnsi="Arial" w:cs="Arial"/>
          <w:sz w:val="22"/>
          <w:szCs w:val="22"/>
        </w:rPr>
        <w:t>E</w:t>
      </w:r>
      <w:proofErr w:type="spellEnd"/>
      <w:r w:rsidR="00E25A44">
        <w:rPr>
          <w:rFonts w:ascii="Arial" w:hAnsi="Arial" w:cs="Arial"/>
          <w:sz w:val="22"/>
          <w:szCs w:val="22"/>
        </w:rPr>
        <w:t xml:space="preserve"> ABC</w:t>
      </w:r>
      <w:r>
        <w:rPr>
          <w:rFonts w:ascii="Arial" w:hAnsi="Arial" w:cs="Arial"/>
          <w:sz w:val="22"/>
          <w:szCs w:val="22"/>
        </w:rPr>
        <w:t xml:space="preserve">-transporter, </w:t>
      </w:r>
      <w:r w:rsidRPr="00380AB0">
        <w:rPr>
          <w:rFonts w:ascii="Arial" w:hAnsi="Arial" w:cs="Arial"/>
          <w:sz w:val="22"/>
          <w:szCs w:val="22"/>
        </w:rPr>
        <w:t xml:space="preserve">one of four </w:t>
      </w:r>
      <w:proofErr w:type="spellStart"/>
      <w:r w:rsidRPr="00453D9E">
        <w:rPr>
          <w:rFonts w:ascii="Arial" w:hAnsi="Arial" w:cs="Arial"/>
          <w:i/>
          <w:sz w:val="22"/>
          <w:szCs w:val="22"/>
        </w:rPr>
        <w:t>Mtb</w:t>
      </w:r>
      <w:proofErr w:type="spellEnd"/>
      <w:r w:rsidRPr="00380AB0">
        <w:rPr>
          <w:rFonts w:ascii="Arial" w:hAnsi="Arial" w:cs="Arial"/>
          <w:sz w:val="22"/>
          <w:szCs w:val="22"/>
        </w:rPr>
        <w:t xml:space="preserve"> ABC transporters implicated by homology in </w:t>
      </w:r>
      <w:r>
        <w:rPr>
          <w:rFonts w:ascii="Arial" w:hAnsi="Arial" w:cs="Arial"/>
          <w:sz w:val="22"/>
          <w:szCs w:val="22"/>
        </w:rPr>
        <w:t xml:space="preserve">carbohydrate acquisition. Here, we report the structure and functional </w:t>
      </w:r>
      <w:proofErr w:type="spellStart"/>
      <w:r>
        <w:rPr>
          <w:rFonts w:ascii="Arial" w:hAnsi="Arial" w:cs="Arial"/>
          <w:sz w:val="22"/>
          <w:szCs w:val="22"/>
        </w:rPr>
        <w:t>character</w:t>
      </w:r>
      <w:r w:rsidR="005C48B8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sation</w:t>
      </w:r>
      <w:proofErr w:type="spellEnd"/>
      <w:r>
        <w:rPr>
          <w:rFonts w:ascii="Arial" w:hAnsi="Arial" w:cs="Arial"/>
          <w:sz w:val="22"/>
          <w:szCs w:val="22"/>
        </w:rPr>
        <w:t xml:space="preserve"> of </w:t>
      </w:r>
      <w:proofErr w:type="spellStart"/>
      <w:r>
        <w:rPr>
          <w:rFonts w:ascii="Arial" w:hAnsi="Arial" w:cs="Arial"/>
          <w:i/>
          <w:sz w:val="22"/>
          <w:szCs w:val="22"/>
        </w:rPr>
        <w:t>Mtb</w:t>
      </w:r>
      <w:r>
        <w:rPr>
          <w:rFonts w:ascii="Arial" w:hAnsi="Arial" w:cs="Arial"/>
          <w:sz w:val="22"/>
          <w:szCs w:val="22"/>
        </w:rPr>
        <w:t>-UgpB</w:t>
      </w:r>
      <w:proofErr w:type="spellEnd"/>
      <w:r>
        <w:rPr>
          <w:rFonts w:ascii="Arial" w:hAnsi="Arial" w:cs="Arial"/>
          <w:sz w:val="22"/>
          <w:szCs w:val="22"/>
        </w:rPr>
        <w:t xml:space="preserve">. </w:t>
      </w:r>
    </w:p>
    <w:p w14:paraId="6EA80666" w14:textId="77777777" w:rsidR="00380AB0" w:rsidRDefault="00380AB0" w:rsidP="00380AB0">
      <w:pPr>
        <w:jc w:val="both"/>
        <w:rPr>
          <w:rFonts w:ascii="Arial" w:hAnsi="Arial" w:cs="Arial"/>
          <w:sz w:val="22"/>
          <w:szCs w:val="22"/>
        </w:rPr>
      </w:pPr>
    </w:p>
    <w:p w14:paraId="698EC3D2" w14:textId="6263B252" w:rsidR="007B3464" w:rsidRDefault="00D80E36" w:rsidP="00380AB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To determine the substrate preference of </w:t>
      </w:r>
      <w:proofErr w:type="spellStart"/>
      <w:r>
        <w:rPr>
          <w:rFonts w:ascii="Arial" w:hAnsi="Arial" w:cs="Arial"/>
          <w:i/>
          <w:sz w:val="22"/>
          <w:szCs w:val="22"/>
        </w:rPr>
        <w:t>Mtb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UgpB</w:t>
      </w:r>
      <w:proofErr w:type="spellEnd"/>
      <w:r>
        <w:rPr>
          <w:rFonts w:ascii="Arial" w:hAnsi="Arial" w:cs="Arial"/>
          <w:sz w:val="22"/>
          <w:szCs w:val="22"/>
        </w:rPr>
        <w:t xml:space="preserve"> a</w:t>
      </w:r>
      <w:r w:rsidR="00380AB0">
        <w:rPr>
          <w:rFonts w:ascii="Arial" w:hAnsi="Arial" w:cs="Arial"/>
          <w:sz w:val="22"/>
          <w:szCs w:val="22"/>
        </w:rPr>
        <w:t xml:space="preserve"> combination of</w:t>
      </w:r>
      <w:r>
        <w:rPr>
          <w:rFonts w:ascii="Arial" w:hAnsi="Arial" w:cs="Arial"/>
          <w:sz w:val="22"/>
          <w:szCs w:val="22"/>
        </w:rPr>
        <w:t xml:space="preserve"> approaches including</w:t>
      </w:r>
      <w:r w:rsidR="00380AB0">
        <w:rPr>
          <w:rFonts w:ascii="Arial" w:hAnsi="Arial" w:cs="Arial"/>
          <w:sz w:val="22"/>
          <w:szCs w:val="22"/>
        </w:rPr>
        <w:t xml:space="preserve"> membrane lipid arrays, microscale thermophoresis and thermal shift assays has revealed that </w:t>
      </w:r>
      <w:proofErr w:type="spellStart"/>
      <w:r w:rsidR="0097107A">
        <w:rPr>
          <w:rFonts w:ascii="Arial" w:hAnsi="Arial" w:cs="Arial"/>
          <w:sz w:val="22"/>
          <w:szCs w:val="22"/>
        </w:rPr>
        <w:t>UgpB</w:t>
      </w:r>
      <w:proofErr w:type="spellEnd"/>
      <w:r w:rsidR="00380AB0">
        <w:rPr>
          <w:rFonts w:ascii="Arial" w:hAnsi="Arial" w:cs="Arial"/>
          <w:sz w:val="22"/>
          <w:szCs w:val="22"/>
        </w:rPr>
        <w:t xml:space="preserve"> has a pre</w:t>
      </w:r>
      <w:r w:rsidR="007B3464">
        <w:rPr>
          <w:rFonts w:ascii="Arial" w:hAnsi="Arial" w:cs="Arial"/>
          <w:sz w:val="22"/>
          <w:szCs w:val="22"/>
        </w:rPr>
        <w:t>ference for glycerol-3-phosphocholine (GPC</w:t>
      </w:r>
      <w:r w:rsidR="00B14501">
        <w:rPr>
          <w:rFonts w:ascii="Arial" w:hAnsi="Arial" w:cs="Arial"/>
          <w:sz w:val="22"/>
          <w:szCs w:val="22"/>
        </w:rPr>
        <w:t>) and</w:t>
      </w:r>
      <w:r w:rsidR="003E5F39">
        <w:rPr>
          <w:rFonts w:ascii="Arial" w:hAnsi="Arial" w:cs="Arial"/>
          <w:sz w:val="22"/>
          <w:szCs w:val="22"/>
        </w:rPr>
        <w:t xml:space="preserve"> phospholipids containing </w:t>
      </w:r>
      <w:r w:rsidR="00C104B3">
        <w:rPr>
          <w:rFonts w:ascii="Arial" w:hAnsi="Arial" w:cs="Arial"/>
          <w:sz w:val="22"/>
          <w:szCs w:val="22"/>
        </w:rPr>
        <w:t>the inositol-phosphate and serine</w:t>
      </w:r>
      <w:r w:rsidR="00B14501">
        <w:rPr>
          <w:rFonts w:ascii="Arial" w:hAnsi="Arial" w:cs="Arial"/>
          <w:sz w:val="22"/>
          <w:szCs w:val="22"/>
        </w:rPr>
        <w:t xml:space="preserve"> head groups</w:t>
      </w:r>
      <w:r w:rsidR="00084636">
        <w:rPr>
          <w:rFonts w:ascii="Arial" w:hAnsi="Arial" w:cs="Arial"/>
          <w:sz w:val="22"/>
          <w:szCs w:val="22"/>
        </w:rPr>
        <w:t>,</w:t>
      </w:r>
      <w:r w:rsidR="00C104B3">
        <w:rPr>
          <w:rFonts w:ascii="Arial" w:hAnsi="Arial" w:cs="Arial"/>
          <w:sz w:val="22"/>
          <w:szCs w:val="22"/>
        </w:rPr>
        <w:t xml:space="preserve"> and </w:t>
      </w:r>
      <w:proofErr w:type="spellStart"/>
      <w:r w:rsidR="00A83BF2">
        <w:rPr>
          <w:rFonts w:ascii="Arial" w:hAnsi="Arial" w:cs="Arial"/>
          <w:sz w:val="22"/>
          <w:szCs w:val="22"/>
        </w:rPr>
        <w:t>sulfoglycolipids</w:t>
      </w:r>
      <w:proofErr w:type="spellEnd"/>
      <w:r w:rsidR="00B14501">
        <w:rPr>
          <w:rFonts w:ascii="Arial" w:hAnsi="Arial" w:cs="Arial"/>
          <w:sz w:val="22"/>
          <w:szCs w:val="22"/>
        </w:rPr>
        <w:t>.</w:t>
      </w:r>
      <w:r w:rsidR="00C104B3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14:paraId="0E9C7B97" w14:textId="77777777" w:rsidR="00380AB0" w:rsidRDefault="00380AB0" w:rsidP="00380AB0">
      <w:pPr>
        <w:jc w:val="both"/>
        <w:rPr>
          <w:rFonts w:ascii="Arial" w:hAnsi="Arial" w:cs="Arial"/>
          <w:sz w:val="22"/>
          <w:szCs w:val="22"/>
        </w:rPr>
      </w:pPr>
    </w:p>
    <w:p w14:paraId="73AA4AA8" w14:textId="655C41A1" w:rsidR="00573196" w:rsidRDefault="00380AB0" w:rsidP="00380AB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Differential Epitope Mapping STD NMR spectroscopy (DEEP ST</w:t>
      </w:r>
      <w:r w:rsidR="0099722B">
        <w:rPr>
          <w:rFonts w:ascii="Arial" w:hAnsi="Arial" w:cs="Arial"/>
          <w:sz w:val="22"/>
          <w:szCs w:val="22"/>
        </w:rPr>
        <w:t>D-NMR) has revealed the</w:t>
      </w:r>
      <w:r w:rsidR="00D80E36">
        <w:rPr>
          <w:rFonts w:ascii="Arial" w:hAnsi="Arial" w:cs="Arial"/>
          <w:sz w:val="22"/>
          <w:szCs w:val="22"/>
        </w:rPr>
        <w:t xml:space="preserve"> GPC ligand binding epitope to</w:t>
      </w:r>
      <w:r w:rsidR="0057319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73196">
        <w:rPr>
          <w:rFonts w:ascii="Arial" w:hAnsi="Arial" w:cs="Arial"/>
          <w:sz w:val="22"/>
          <w:szCs w:val="22"/>
        </w:rPr>
        <w:t>UgpB</w:t>
      </w:r>
      <w:proofErr w:type="spellEnd"/>
      <w:r w:rsidR="00573196">
        <w:rPr>
          <w:rFonts w:ascii="Arial" w:hAnsi="Arial" w:cs="Arial"/>
          <w:sz w:val="22"/>
          <w:szCs w:val="22"/>
        </w:rPr>
        <w:t xml:space="preserve"> and has precisely identified the amino-acid residues that contact the GPC ligand. The glycerol moiety is the main recognition site and </w:t>
      </w:r>
      <w:r w:rsidR="00DC7F8B">
        <w:rPr>
          <w:rFonts w:ascii="Arial" w:hAnsi="Arial" w:cs="Arial"/>
          <w:sz w:val="22"/>
          <w:szCs w:val="22"/>
        </w:rPr>
        <w:t xml:space="preserve">is oriented towards the aliphatic residue Leu205 </w:t>
      </w:r>
      <w:r w:rsidR="004C5FF1">
        <w:rPr>
          <w:rFonts w:ascii="Arial" w:hAnsi="Arial" w:cs="Arial"/>
          <w:sz w:val="22"/>
          <w:szCs w:val="22"/>
        </w:rPr>
        <w:t>whereas the choline</w:t>
      </w:r>
      <w:r w:rsidR="00573196">
        <w:rPr>
          <w:rFonts w:ascii="Arial" w:hAnsi="Arial" w:cs="Arial"/>
          <w:sz w:val="22"/>
          <w:szCs w:val="22"/>
        </w:rPr>
        <w:t xml:space="preserve"> moiety </w:t>
      </w:r>
      <w:r w:rsidR="00DC7F8B">
        <w:rPr>
          <w:rFonts w:ascii="Arial" w:hAnsi="Arial" w:cs="Arial"/>
          <w:sz w:val="22"/>
          <w:szCs w:val="22"/>
        </w:rPr>
        <w:t>is facing the</w:t>
      </w:r>
      <w:r w:rsidR="00DC7F8B" w:rsidRPr="00DC7F8B">
        <w:rPr>
          <w:rFonts w:ascii="Arial" w:hAnsi="Arial" w:cs="Arial"/>
          <w:sz w:val="22"/>
          <w:szCs w:val="22"/>
        </w:rPr>
        <w:t xml:space="preserve"> </w:t>
      </w:r>
      <w:r w:rsidR="00DC7F8B">
        <w:rPr>
          <w:rFonts w:ascii="Arial" w:hAnsi="Arial" w:cs="Arial"/>
          <w:sz w:val="22"/>
          <w:szCs w:val="22"/>
        </w:rPr>
        <w:t>aromatic residues Tyr78 and Tyr345</w:t>
      </w:r>
      <w:r w:rsidR="00D80E36">
        <w:rPr>
          <w:rFonts w:ascii="Arial" w:hAnsi="Arial" w:cs="Arial"/>
          <w:sz w:val="22"/>
          <w:szCs w:val="22"/>
        </w:rPr>
        <w:t>. Docking calculations are</w:t>
      </w:r>
      <w:r w:rsidR="00573196">
        <w:rPr>
          <w:rFonts w:ascii="Arial" w:hAnsi="Arial" w:cs="Arial"/>
          <w:sz w:val="22"/>
          <w:szCs w:val="22"/>
        </w:rPr>
        <w:t xml:space="preserve"> in good agreement with the DEEP STD-NMR data.</w:t>
      </w:r>
    </w:p>
    <w:p w14:paraId="5DA87434" w14:textId="77777777" w:rsidR="00573196" w:rsidRDefault="00573196" w:rsidP="00380AB0">
      <w:pPr>
        <w:jc w:val="both"/>
        <w:rPr>
          <w:rFonts w:ascii="Arial" w:hAnsi="Arial" w:cs="Arial"/>
          <w:sz w:val="22"/>
          <w:szCs w:val="22"/>
        </w:rPr>
      </w:pPr>
    </w:p>
    <w:p w14:paraId="30DE5D22" w14:textId="5C67D075" w:rsidR="00E5031B" w:rsidRDefault="00573196" w:rsidP="00380AB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 addition, we have also determined the X-ray structure of </w:t>
      </w:r>
      <w:proofErr w:type="spellStart"/>
      <w:r>
        <w:rPr>
          <w:rFonts w:ascii="Arial" w:hAnsi="Arial" w:cs="Arial"/>
          <w:i/>
          <w:sz w:val="22"/>
          <w:szCs w:val="22"/>
        </w:rPr>
        <w:t>Mtb</w:t>
      </w:r>
      <w:r>
        <w:rPr>
          <w:rFonts w:ascii="Arial" w:hAnsi="Arial" w:cs="Arial"/>
          <w:sz w:val="22"/>
          <w:szCs w:val="22"/>
        </w:rPr>
        <w:t>-UgpB</w:t>
      </w:r>
      <w:proofErr w:type="spellEnd"/>
      <w:r>
        <w:rPr>
          <w:rFonts w:ascii="Arial" w:hAnsi="Arial" w:cs="Arial"/>
          <w:sz w:val="22"/>
          <w:szCs w:val="22"/>
        </w:rPr>
        <w:t xml:space="preserve"> co-</w:t>
      </w:r>
      <w:proofErr w:type="spellStart"/>
      <w:r>
        <w:rPr>
          <w:rFonts w:ascii="Arial" w:hAnsi="Arial" w:cs="Arial"/>
          <w:sz w:val="22"/>
          <w:szCs w:val="22"/>
        </w:rPr>
        <w:t>crystallised</w:t>
      </w:r>
      <w:proofErr w:type="spellEnd"/>
      <w:r w:rsidR="00E5031B">
        <w:rPr>
          <w:rFonts w:ascii="Arial" w:hAnsi="Arial" w:cs="Arial"/>
          <w:sz w:val="22"/>
          <w:szCs w:val="22"/>
        </w:rPr>
        <w:t xml:space="preserve"> with</w:t>
      </w:r>
      <w:r>
        <w:rPr>
          <w:rFonts w:ascii="Arial" w:hAnsi="Arial" w:cs="Arial"/>
          <w:sz w:val="22"/>
          <w:szCs w:val="22"/>
        </w:rPr>
        <w:t xml:space="preserve"> GPC to 2.2 Å</w:t>
      </w:r>
      <w:r w:rsidR="00E5031B">
        <w:rPr>
          <w:rFonts w:ascii="Arial" w:hAnsi="Arial" w:cs="Arial"/>
          <w:sz w:val="22"/>
          <w:szCs w:val="22"/>
        </w:rPr>
        <w:t xml:space="preserve">. Our co-crystal structure has enabled us to identify clear conformational changes upon ligand binding compared to the structure of </w:t>
      </w:r>
      <w:proofErr w:type="spellStart"/>
      <w:r w:rsidR="00E5031B">
        <w:rPr>
          <w:rFonts w:ascii="Arial" w:hAnsi="Arial" w:cs="Arial"/>
          <w:sz w:val="22"/>
          <w:szCs w:val="22"/>
        </w:rPr>
        <w:t>UgpB</w:t>
      </w:r>
      <w:proofErr w:type="spellEnd"/>
      <w:r w:rsidR="00E5031B">
        <w:rPr>
          <w:rFonts w:ascii="Arial" w:hAnsi="Arial" w:cs="Arial"/>
          <w:sz w:val="22"/>
          <w:szCs w:val="22"/>
        </w:rPr>
        <w:t xml:space="preserve"> with no ligand present, and to determine the molecular determinants involved in substrate binding and recognition.</w:t>
      </w:r>
    </w:p>
    <w:p w14:paraId="688D0535" w14:textId="77777777" w:rsidR="00425300" w:rsidRDefault="00425300" w:rsidP="00380AB0">
      <w:pPr>
        <w:jc w:val="both"/>
        <w:rPr>
          <w:rFonts w:ascii="Arial" w:hAnsi="Arial" w:cs="Arial"/>
          <w:sz w:val="22"/>
          <w:szCs w:val="22"/>
        </w:rPr>
      </w:pPr>
    </w:p>
    <w:p w14:paraId="479F839F" w14:textId="357CA541" w:rsidR="00380AB0" w:rsidRPr="003F0EC0" w:rsidRDefault="00380AB0" w:rsidP="00380AB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Combined, these biochemical and biophysical approaches provide complementa</w:t>
      </w:r>
      <w:r w:rsidR="0021024C">
        <w:rPr>
          <w:rFonts w:ascii="Arial" w:hAnsi="Arial" w:cs="Arial"/>
          <w:sz w:val="22"/>
          <w:szCs w:val="22"/>
        </w:rPr>
        <w:t xml:space="preserve">ry information regarding the substrate preference of </w:t>
      </w:r>
      <w:proofErr w:type="spellStart"/>
      <w:r w:rsidR="0021024C">
        <w:rPr>
          <w:rFonts w:ascii="Arial" w:hAnsi="Arial" w:cs="Arial"/>
          <w:i/>
          <w:sz w:val="22"/>
          <w:szCs w:val="22"/>
        </w:rPr>
        <w:t>Mtb-</w:t>
      </w:r>
      <w:r w:rsidR="00A83BF2">
        <w:rPr>
          <w:rFonts w:ascii="Arial" w:hAnsi="Arial" w:cs="Arial"/>
          <w:sz w:val="22"/>
          <w:szCs w:val="22"/>
        </w:rPr>
        <w:t>UgpB</w:t>
      </w:r>
      <w:proofErr w:type="spellEnd"/>
      <w:r w:rsidR="00A83BF2">
        <w:rPr>
          <w:rFonts w:ascii="Arial" w:hAnsi="Arial" w:cs="Arial"/>
          <w:sz w:val="22"/>
          <w:szCs w:val="22"/>
        </w:rPr>
        <w:t xml:space="preserve"> and the mode of GPC</w:t>
      </w:r>
      <w:r w:rsidR="0021024C">
        <w:rPr>
          <w:rFonts w:ascii="Arial" w:hAnsi="Arial" w:cs="Arial"/>
          <w:sz w:val="22"/>
          <w:szCs w:val="22"/>
        </w:rPr>
        <w:t xml:space="preserve"> ligand-protein interaction in binding pocket of the essential </w:t>
      </w:r>
      <w:proofErr w:type="spellStart"/>
      <w:r w:rsidR="0021024C">
        <w:rPr>
          <w:rFonts w:ascii="Arial" w:hAnsi="Arial" w:cs="Arial"/>
          <w:i/>
          <w:sz w:val="22"/>
          <w:szCs w:val="22"/>
        </w:rPr>
        <w:t>Mtb</w:t>
      </w:r>
      <w:proofErr w:type="spellEnd"/>
      <w:r w:rsidR="0021024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1024C">
        <w:rPr>
          <w:rFonts w:ascii="Arial" w:hAnsi="Arial" w:cs="Arial"/>
          <w:sz w:val="22"/>
          <w:szCs w:val="22"/>
        </w:rPr>
        <w:t>UgpB</w:t>
      </w:r>
      <w:proofErr w:type="spellEnd"/>
      <w:r w:rsidR="0021024C">
        <w:rPr>
          <w:rFonts w:ascii="Arial" w:hAnsi="Arial" w:cs="Arial"/>
          <w:sz w:val="22"/>
          <w:szCs w:val="22"/>
        </w:rPr>
        <w:t xml:space="preserve"> protein. </w:t>
      </w:r>
      <w:r w:rsidR="003F0EC0">
        <w:rPr>
          <w:rFonts w:ascii="Arial" w:hAnsi="Arial" w:cs="Arial"/>
          <w:sz w:val="22"/>
          <w:szCs w:val="22"/>
        </w:rPr>
        <w:t xml:space="preserve">These studies also suggest that </w:t>
      </w:r>
      <w:proofErr w:type="spellStart"/>
      <w:r w:rsidR="003F0EC0">
        <w:rPr>
          <w:rFonts w:ascii="Arial" w:hAnsi="Arial" w:cs="Arial"/>
          <w:sz w:val="22"/>
          <w:szCs w:val="22"/>
        </w:rPr>
        <w:t>UgpB</w:t>
      </w:r>
      <w:proofErr w:type="spellEnd"/>
      <w:r w:rsidR="003F0EC0">
        <w:rPr>
          <w:rFonts w:ascii="Arial" w:hAnsi="Arial" w:cs="Arial"/>
          <w:sz w:val="22"/>
          <w:szCs w:val="22"/>
        </w:rPr>
        <w:t xml:space="preserve"> has a role in th</w:t>
      </w:r>
      <w:r w:rsidR="0074230B">
        <w:rPr>
          <w:rFonts w:ascii="Arial" w:hAnsi="Arial" w:cs="Arial"/>
          <w:sz w:val="22"/>
          <w:szCs w:val="22"/>
        </w:rPr>
        <w:t>e transport of additional glyco</w:t>
      </w:r>
      <w:r w:rsidR="003F0EC0">
        <w:rPr>
          <w:rFonts w:ascii="Arial" w:hAnsi="Arial" w:cs="Arial"/>
          <w:sz w:val="22"/>
          <w:szCs w:val="22"/>
        </w:rPr>
        <w:t xml:space="preserve">lipids found in the </w:t>
      </w:r>
      <w:proofErr w:type="spellStart"/>
      <w:r w:rsidR="003F0EC0">
        <w:rPr>
          <w:rFonts w:ascii="Arial" w:hAnsi="Arial" w:cs="Arial"/>
          <w:i/>
          <w:sz w:val="22"/>
          <w:szCs w:val="22"/>
        </w:rPr>
        <w:t>Mtb</w:t>
      </w:r>
      <w:proofErr w:type="spellEnd"/>
      <w:r w:rsidR="003F0EC0">
        <w:rPr>
          <w:rFonts w:ascii="Arial" w:hAnsi="Arial" w:cs="Arial"/>
          <w:sz w:val="22"/>
          <w:szCs w:val="22"/>
        </w:rPr>
        <w:t xml:space="preserve"> cell wall. </w:t>
      </w:r>
    </w:p>
    <w:p w14:paraId="4D895695" w14:textId="77777777" w:rsidR="0021024C" w:rsidRPr="0021024C" w:rsidRDefault="0021024C" w:rsidP="00380AB0">
      <w:pPr>
        <w:jc w:val="both"/>
        <w:rPr>
          <w:rFonts w:ascii="Arial" w:hAnsi="Arial" w:cs="Arial"/>
          <w:sz w:val="22"/>
          <w:szCs w:val="22"/>
        </w:rPr>
      </w:pPr>
    </w:p>
    <w:p w14:paraId="71ED1345" w14:textId="054267A6" w:rsidR="00380AB0" w:rsidRPr="00380AB0" w:rsidRDefault="00380AB0" w:rsidP="00380AB0">
      <w:pPr>
        <w:jc w:val="both"/>
        <w:rPr>
          <w:rFonts w:ascii="Arial" w:hAnsi="Arial" w:cs="Arial"/>
          <w:sz w:val="22"/>
          <w:szCs w:val="22"/>
        </w:rPr>
      </w:pPr>
      <w:r w:rsidRPr="00380AB0">
        <w:rPr>
          <w:rFonts w:ascii="Arial" w:hAnsi="Arial" w:cs="Arial"/>
          <w:sz w:val="22"/>
          <w:szCs w:val="22"/>
        </w:rPr>
        <w:t xml:space="preserve">Given the limited availability of carbohydrates within the </w:t>
      </w:r>
      <w:proofErr w:type="spellStart"/>
      <w:r w:rsidRPr="00380AB0">
        <w:rPr>
          <w:rFonts w:ascii="Arial" w:hAnsi="Arial" w:cs="Arial"/>
          <w:sz w:val="22"/>
          <w:szCs w:val="22"/>
        </w:rPr>
        <w:t>phagosomal</w:t>
      </w:r>
      <w:proofErr w:type="spellEnd"/>
      <w:r w:rsidRPr="00380AB0">
        <w:rPr>
          <w:rFonts w:ascii="Arial" w:hAnsi="Arial" w:cs="Arial"/>
          <w:sz w:val="22"/>
          <w:szCs w:val="22"/>
        </w:rPr>
        <w:t xml:space="preserve"> environmental niche during </w:t>
      </w:r>
      <w:proofErr w:type="spellStart"/>
      <w:r w:rsidRPr="003F0EC0">
        <w:rPr>
          <w:rFonts w:ascii="Arial" w:hAnsi="Arial" w:cs="Arial"/>
          <w:i/>
          <w:sz w:val="22"/>
          <w:szCs w:val="22"/>
        </w:rPr>
        <w:t>Mt</w:t>
      </w:r>
      <w:r w:rsidRPr="00380AB0">
        <w:rPr>
          <w:rFonts w:ascii="Arial" w:hAnsi="Arial" w:cs="Arial"/>
          <w:sz w:val="22"/>
          <w:szCs w:val="22"/>
        </w:rPr>
        <w:t>b</w:t>
      </w:r>
      <w:proofErr w:type="spellEnd"/>
      <w:r w:rsidRPr="00380AB0">
        <w:rPr>
          <w:rFonts w:ascii="Arial" w:hAnsi="Arial" w:cs="Arial"/>
          <w:sz w:val="22"/>
          <w:szCs w:val="22"/>
        </w:rPr>
        <w:t xml:space="preserve"> intracellular infection,</w:t>
      </w:r>
      <w:r>
        <w:rPr>
          <w:rFonts w:ascii="Arial" w:hAnsi="Arial" w:cs="Arial"/>
          <w:sz w:val="22"/>
          <w:szCs w:val="22"/>
        </w:rPr>
        <w:t xml:space="preserve"> our studies suggest that </w:t>
      </w:r>
      <w:proofErr w:type="spellStart"/>
      <w:r>
        <w:rPr>
          <w:rFonts w:ascii="Arial" w:hAnsi="Arial" w:cs="Arial"/>
          <w:sz w:val="22"/>
          <w:szCs w:val="22"/>
        </w:rPr>
        <w:t>UgpB</w:t>
      </w:r>
      <w:proofErr w:type="spellEnd"/>
      <w:r w:rsidRPr="00380AB0">
        <w:rPr>
          <w:rFonts w:ascii="Arial" w:hAnsi="Arial" w:cs="Arial"/>
          <w:sz w:val="22"/>
          <w:szCs w:val="22"/>
        </w:rPr>
        <w:t xml:space="preserve"> enables </w:t>
      </w:r>
      <w:proofErr w:type="spellStart"/>
      <w:r w:rsidRPr="00380AB0">
        <w:rPr>
          <w:rFonts w:ascii="Arial" w:hAnsi="Arial" w:cs="Arial"/>
          <w:i/>
          <w:sz w:val="22"/>
          <w:szCs w:val="22"/>
        </w:rPr>
        <w:t>Mtb</w:t>
      </w:r>
      <w:proofErr w:type="spellEnd"/>
      <w:r w:rsidRPr="00380AB0">
        <w:rPr>
          <w:rFonts w:ascii="Arial" w:hAnsi="Arial" w:cs="Arial"/>
          <w:sz w:val="22"/>
          <w:szCs w:val="22"/>
        </w:rPr>
        <w:t xml:space="preserve"> to </w:t>
      </w:r>
      <w:proofErr w:type="spellStart"/>
      <w:r w:rsidRPr="00380AB0">
        <w:rPr>
          <w:rFonts w:ascii="Arial" w:hAnsi="Arial" w:cs="Arial"/>
          <w:sz w:val="22"/>
          <w:szCs w:val="22"/>
        </w:rPr>
        <w:t>optimise</w:t>
      </w:r>
      <w:proofErr w:type="spellEnd"/>
      <w:r w:rsidRPr="00380AB0">
        <w:rPr>
          <w:rFonts w:ascii="Arial" w:hAnsi="Arial" w:cs="Arial"/>
          <w:sz w:val="22"/>
          <w:szCs w:val="22"/>
        </w:rPr>
        <w:t xml:space="preserve"> the use of scarce nutrients during intracellular infection, linking essentiality of this protein to a potential role in recycling components of cell wall </w:t>
      </w:r>
      <w:r>
        <w:rPr>
          <w:rFonts w:ascii="Arial" w:hAnsi="Arial" w:cs="Arial"/>
          <w:sz w:val="22"/>
          <w:szCs w:val="22"/>
        </w:rPr>
        <w:t>glycolipids</w:t>
      </w:r>
      <w:r w:rsidR="008865E9" w:rsidRPr="00380AB0">
        <w:rPr>
          <w:rFonts w:ascii="Arial" w:hAnsi="Arial" w:cs="Arial"/>
          <w:sz w:val="22"/>
          <w:szCs w:val="22"/>
        </w:rPr>
        <w:t>.</w:t>
      </w:r>
      <w:r w:rsidR="008865E9" w:rsidRPr="00380AB0">
        <w:rPr>
          <w:rFonts w:ascii="MS Mincho" w:eastAsia="MS Mincho" w:hAnsi="MS Mincho" w:cs="MS Mincho"/>
          <w:sz w:val="22"/>
          <w:szCs w:val="22"/>
        </w:rPr>
        <w:t xml:space="preserve">  </w:t>
      </w:r>
      <w:r w:rsidR="0021024C">
        <w:rPr>
          <w:rFonts w:ascii="Arial" w:hAnsi="Arial" w:cs="Arial"/>
          <w:sz w:val="22"/>
          <w:szCs w:val="22"/>
        </w:rPr>
        <w:t>This work lays the foundation for design of inhibitors of this</w:t>
      </w:r>
      <w:r w:rsidR="0057319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73196">
        <w:rPr>
          <w:rFonts w:ascii="Arial" w:hAnsi="Arial" w:cs="Arial"/>
          <w:i/>
          <w:sz w:val="22"/>
          <w:szCs w:val="22"/>
        </w:rPr>
        <w:t>Mtb</w:t>
      </w:r>
      <w:proofErr w:type="spellEnd"/>
      <w:r w:rsidR="0021024C">
        <w:rPr>
          <w:rFonts w:ascii="Arial" w:hAnsi="Arial" w:cs="Arial"/>
          <w:sz w:val="22"/>
          <w:szCs w:val="22"/>
        </w:rPr>
        <w:t xml:space="preserve"> transport system</w:t>
      </w:r>
      <w:r w:rsidR="00A83BF2">
        <w:rPr>
          <w:rFonts w:ascii="Arial" w:hAnsi="Arial" w:cs="Arial"/>
          <w:sz w:val="22"/>
          <w:szCs w:val="22"/>
        </w:rPr>
        <w:t>.</w:t>
      </w:r>
    </w:p>
    <w:p w14:paraId="2F092EFC" w14:textId="77777777" w:rsidR="005E749F" w:rsidRDefault="005E749F" w:rsidP="001B4FC7">
      <w:pPr>
        <w:jc w:val="both"/>
        <w:rPr>
          <w:rFonts w:ascii="Arial" w:hAnsi="Arial" w:cs="Arial"/>
          <w:sz w:val="22"/>
          <w:szCs w:val="22"/>
          <w:lang w:val="en-GB"/>
        </w:rPr>
      </w:pPr>
    </w:p>
    <w:p w14:paraId="47B423F5" w14:textId="068413C2" w:rsidR="0087214A" w:rsidRPr="00380AB0" w:rsidRDefault="0087214A" w:rsidP="001B4FC7">
      <w:pPr>
        <w:jc w:val="both"/>
        <w:rPr>
          <w:rFonts w:ascii="Arial" w:hAnsi="Arial" w:cs="Arial"/>
          <w:sz w:val="22"/>
          <w:szCs w:val="22"/>
          <w:lang w:val="en-GB"/>
        </w:rPr>
      </w:pPr>
    </w:p>
    <w:sectPr w:rsidR="0087214A" w:rsidRPr="00380AB0" w:rsidSect="00380AB0">
      <w:pgSz w:w="11900" w:h="16840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altName w:val="Calibri"/>
    <w:charset w:val="00"/>
    <w:family w:val="swiss"/>
    <w:pitch w:val="variable"/>
    <w:sig w:usb0="E10022FF" w:usb1="C000E47F" w:usb2="00000029" w:usb3="00000000" w:csb0="000001DF" w:csb1="00000000"/>
  </w:font>
  <w:font w:name="MS Mincho">
    <w:altName w:val="ＭＳ 明朝"/>
    <w:charset w:val="80"/>
    <w:family w:val="modern"/>
    <w:pitch w:val="fixed"/>
    <w:sig w:usb0="A00002BF" w:usb1="68C7FCFB" w:usb2="00000010" w:usb3="00000000" w:csb0="0002009F" w:csb1="00000000"/>
  </w:font>
  <w:font w:name="Yu Gothic Light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09F" w:csb1="00000000"/>
  </w:font>
  <w:font w:name="Yu Mincho"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F215D4"/>
    <w:multiLevelType w:val="hybridMultilevel"/>
    <w:tmpl w:val="4418BA34"/>
    <w:lvl w:ilvl="0" w:tplc="4C0A6F5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oNotTrackMoves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E8B"/>
    <w:rsid w:val="000148B7"/>
    <w:rsid w:val="000164BE"/>
    <w:rsid w:val="00023F47"/>
    <w:rsid w:val="00025FBC"/>
    <w:rsid w:val="00034937"/>
    <w:rsid w:val="000408A0"/>
    <w:rsid w:val="0004333A"/>
    <w:rsid w:val="00083E84"/>
    <w:rsid w:val="00084636"/>
    <w:rsid w:val="000B1702"/>
    <w:rsid w:val="000B2AB0"/>
    <w:rsid w:val="000B5FA2"/>
    <w:rsid w:val="000C0E24"/>
    <w:rsid w:val="000F2FE2"/>
    <w:rsid w:val="00116E8B"/>
    <w:rsid w:val="001326A6"/>
    <w:rsid w:val="0015001B"/>
    <w:rsid w:val="00171B01"/>
    <w:rsid w:val="001A3CB2"/>
    <w:rsid w:val="001B4FC7"/>
    <w:rsid w:val="001D5DD7"/>
    <w:rsid w:val="001D7CF7"/>
    <w:rsid w:val="0020011D"/>
    <w:rsid w:val="0021024C"/>
    <w:rsid w:val="00221059"/>
    <w:rsid w:val="002233D9"/>
    <w:rsid w:val="002705E2"/>
    <w:rsid w:val="002724A1"/>
    <w:rsid w:val="002871D8"/>
    <w:rsid w:val="002B5511"/>
    <w:rsid w:val="002C1EBB"/>
    <w:rsid w:val="002E0DD0"/>
    <w:rsid w:val="002F54CF"/>
    <w:rsid w:val="002F7281"/>
    <w:rsid w:val="00323D5D"/>
    <w:rsid w:val="003262D9"/>
    <w:rsid w:val="0035233E"/>
    <w:rsid w:val="00375023"/>
    <w:rsid w:val="00380AB0"/>
    <w:rsid w:val="003B1C5F"/>
    <w:rsid w:val="003B5339"/>
    <w:rsid w:val="003C748F"/>
    <w:rsid w:val="003E5F39"/>
    <w:rsid w:val="003F0EC0"/>
    <w:rsid w:val="00405C8F"/>
    <w:rsid w:val="00411DD0"/>
    <w:rsid w:val="00425300"/>
    <w:rsid w:val="00437977"/>
    <w:rsid w:val="00450F2D"/>
    <w:rsid w:val="00453D9E"/>
    <w:rsid w:val="004806E9"/>
    <w:rsid w:val="004B199E"/>
    <w:rsid w:val="004C5FF1"/>
    <w:rsid w:val="004F2310"/>
    <w:rsid w:val="004F2769"/>
    <w:rsid w:val="00506BAD"/>
    <w:rsid w:val="005074CE"/>
    <w:rsid w:val="00507786"/>
    <w:rsid w:val="005139F2"/>
    <w:rsid w:val="00527E08"/>
    <w:rsid w:val="0056470B"/>
    <w:rsid w:val="00573196"/>
    <w:rsid w:val="00594030"/>
    <w:rsid w:val="00595401"/>
    <w:rsid w:val="005A3921"/>
    <w:rsid w:val="005C48B8"/>
    <w:rsid w:val="005D1F8F"/>
    <w:rsid w:val="005E082F"/>
    <w:rsid w:val="005E749F"/>
    <w:rsid w:val="0060728B"/>
    <w:rsid w:val="00613692"/>
    <w:rsid w:val="00622B94"/>
    <w:rsid w:val="006260A0"/>
    <w:rsid w:val="00635E9C"/>
    <w:rsid w:val="00646AA7"/>
    <w:rsid w:val="00686304"/>
    <w:rsid w:val="0069056A"/>
    <w:rsid w:val="00690FF2"/>
    <w:rsid w:val="006944EB"/>
    <w:rsid w:val="006A1DEB"/>
    <w:rsid w:val="006B7161"/>
    <w:rsid w:val="006D439A"/>
    <w:rsid w:val="006F1565"/>
    <w:rsid w:val="00731A88"/>
    <w:rsid w:val="0074230B"/>
    <w:rsid w:val="00747A14"/>
    <w:rsid w:val="00770688"/>
    <w:rsid w:val="007A08F0"/>
    <w:rsid w:val="007B3464"/>
    <w:rsid w:val="007C02A4"/>
    <w:rsid w:val="007C0733"/>
    <w:rsid w:val="0080268A"/>
    <w:rsid w:val="00816044"/>
    <w:rsid w:val="00832223"/>
    <w:rsid w:val="008503B9"/>
    <w:rsid w:val="00863A12"/>
    <w:rsid w:val="0087214A"/>
    <w:rsid w:val="0087585F"/>
    <w:rsid w:val="00885989"/>
    <w:rsid w:val="008865E9"/>
    <w:rsid w:val="0089181C"/>
    <w:rsid w:val="008A7488"/>
    <w:rsid w:val="008C499C"/>
    <w:rsid w:val="008C6BC4"/>
    <w:rsid w:val="008D1156"/>
    <w:rsid w:val="008D3AF2"/>
    <w:rsid w:val="008D4F0E"/>
    <w:rsid w:val="008F5F6B"/>
    <w:rsid w:val="00905D21"/>
    <w:rsid w:val="00906979"/>
    <w:rsid w:val="00920D99"/>
    <w:rsid w:val="00947A7F"/>
    <w:rsid w:val="00957FD7"/>
    <w:rsid w:val="0096461F"/>
    <w:rsid w:val="0097107A"/>
    <w:rsid w:val="0099722B"/>
    <w:rsid w:val="009A0294"/>
    <w:rsid w:val="009F6587"/>
    <w:rsid w:val="00A31A06"/>
    <w:rsid w:val="00A36BDD"/>
    <w:rsid w:val="00A378D3"/>
    <w:rsid w:val="00A66FC1"/>
    <w:rsid w:val="00A839D5"/>
    <w:rsid w:val="00A83BF2"/>
    <w:rsid w:val="00AA4E54"/>
    <w:rsid w:val="00AB02E0"/>
    <w:rsid w:val="00AB13D0"/>
    <w:rsid w:val="00AC2FD1"/>
    <w:rsid w:val="00AE5AF9"/>
    <w:rsid w:val="00AE6C5B"/>
    <w:rsid w:val="00B067B7"/>
    <w:rsid w:val="00B14501"/>
    <w:rsid w:val="00B335F0"/>
    <w:rsid w:val="00B3462F"/>
    <w:rsid w:val="00B572CE"/>
    <w:rsid w:val="00B6665B"/>
    <w:rsid w:val="00BA4928"/>
    <w:rsid w:val="00BB1912"/>
    <w:rsid w:val="00BC042A"/>
    <w:rsid w:val="00BC1949"/>
    <w:rsid w:val="00BD626C"/>
    <w:rsid w:val="00BD7CFF"/>
    <w:rsid w:val="00C01ED2"/>
    <w:rsid w:val="00C104B3"/>
    <w:rsid w:val="00C2341D"/>
    <w:rsid w:val="00C41E13"/>
    <w:rsid w:val="00C437B6"/>
    <w:rsid w:val="00C5390E"/>
    <w:rsid w:val="00C60883"/>
    <w:rsid w:val="00C61B1F"/>
    <w:rsid w:val="00C71C10"/>
    <w:rsid w:val="00C73ADC"/>
    <w:rsid w:val="00C74BB1"/>
    <w:rsid w:val="00C8261E"/>
    <w:rsid w:val="00C96BE9"/>
    <w:rsid w:val="00CA2857"/>
    <w:rsid w:val="00CC5F0F"/>
    <w:rsid w:val="00CE7457"/>
    <w:rsid w:val="00CE7534"/>
    <w:rsid w:val="00D0106A"/>
    <w:rsid w:val="00D6112A"/>
    <w:rsid w:val="00D6188D"/>
    <w:rsid w:val="00D7145B"/>
    <w:rsid w:val="00D80E36"/>
    <w:rsid w:val="00D904DA"/>
    <w:rsid w:val="00DA3EFE"/>
    <w:rsid w:val="00DA4868"/>
    <w:rsid w:val="00DB4BFC"/>
    <w:rsid w:val="00DB5324"/>
    <w:rsid w:val="00DC7F8B"/>
    <w:rsid w:val="00DE4AC1"/>
    <w:rsid w:val="00E11E96"/>
    <w:rsid w:val="00E25A44"/>
    <w:rsid w:val="00E33CEE"/>
    <w:rsid w:val="00E5031B"/>
    <w:rsid w:val="00E70E6B"/>
    <w:rsid w:val="00E82F6F"/>
    <w:rsid w:val="00EA3233"/>
    <w:rsid w:val="00EF2137"/>
    <w:rsid w:val="00EF425D"/>
    <w:rsid w:val="00F31A4B"/>
    <w:rsid w:val="00F60B86"/>
    <w:rsid w:val="00F61788"/>
    <w:rsid w:val="00F63D3D"/>
    <w:rsid w:val="00F67714"/>
    <w:rsid w:val="00FA1291"/>
    <w:rsid w:val="00FB1E2C"/>
    <w:rsid w:val="00FC5C98"/>
    <w:rsid w:val="00FC61A9"/>
    <w:rsid w:val="00FE1058"/>
    <w:rsid w:val="00FE4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8EAFE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0AB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7F8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7F8B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2" w:semiHidden="0" w:unhideWhenUsed="0"/>
    <w:lsdException w:name="Table Grid" w:semiHidden="0" w:uiPriority="39" w:unhideWhenUsed="0"/>
    <w:lsdException w:name="Table Theme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0AB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7F8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7F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437</Words>
  <Characters>2496</Characters>
  <Application>Microsoft Macintosh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Fullam, Elizabeth</dc:creator>
  <cp:keywords/>
  <dc:description/>
  <cp:lastModifiedBy>Jonathan Fenn</cp:lastModifiedBy>
  <cp:revision>9</cp:revision>
  <dcterms:created xsi:type="dcterms:W3CDTF">2017-12-12T15:58:00Z</dcterms:created>
  <dcterms:modified xsi:type="dcterms:W3CDTF">2018-05-21T12:28:00Z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-1878605702</vt:i4>
  </property>
  <property fmtid="{D5CDD505-2E9C-101B-9397-08002B2CF9AE}" pid="3" name="_NewReviewCycle">
    <vt:lpwstr/>
  </property>
  <property fmtid="{D5CDD505-2E9C-101B-9397-08002B2CF9AE}" pid="4" name="_EmailSubject">
    <vt:lpwstr>STD-NMR</vt:lpwstr>
  </property>
  <property fmtid="{D5CDD505-2E9C-101B-9397-08002B2CF9AE}" pid="5" name="_AuthorEmail">
    <vt:lpwstr>J.Angulo@uea.ac.uk</vt:lpwstr>
  </property>
  <property fmtid="{D5CDD505-2E9C-101B-9397-08002B2CF9AE}" pid="6" name="_AuthorEmailDisplayName">
    <vt:lpwstr>Jesus Angulo (PHA - Staff)</vt:lpwstr>
  </property>
</Properties>
</file>