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4B3F" w:rsidRPr="003E0368" w:rsidRDefault="00434B3F" w:rsidP="00434B3F">
      <w:pPr>
        <w:jc w:val="center"/>
        <w:rPr>
          <w:rFonts w:ascii="Arial" w:hAnsi="Arial" w:cs="Arial"/>
          <w:b/>
          <w:sz w:val="22"/>
        </w:rPr>
      </w:pPr>
      <w:bookmarkStart w:id="0" w:name="_GoBack"/>
      <w:r w:rsidRPr="003E0368">
        <w:rPr>
          <w:rFonts w:ascii="Arial" w:hAnsi="Arial" w:cs="Arial"/>
          <w:b/>
          <w:sz w:val="22"/>
        </w:rPr>
        <w:t>GLYOXALASE 1 EXPRESSION, COPY NUMBER AND SURVIVAL ANALYSIS IN CLINICAL TREATMENT OF BREAST CANCER</w:t>
      </w:r>
    </w:p>
    <w:bookmarkEnd w:id="0"/>
    <w:p w:rsidR="00434B3F" w:rsidRPr="003E0368" w:rsidRDefault="00434B3F" w:rsidP="00434B3F">
      <w:pPr>
        <w:jc w:val="center"/>
        <w:rPr>
          <w:rFonts w:ascii="Arial" w:hAnsi="Arial" w:cs="Arial"/>
          <w:b/>
          <w:bCs/>
          <w:sz w:val="22"/>
        </w:rPr>
      </w:pPr>
      <w:r w:rsidRPr="003E0368">
        <w:rPr>
          <w:rFonts w:ascii="Arial" w:hAnsi="Arial" w:cs="Arial"/>
          <w:bCs/>
          <w:sz w:val="22"/>
        </w:rPr>
        <w:t>Muhanad Alhujaily</w:t>
      </w:r>
      <w:proofErr w:type="gramStart"/>
      <w:r w:rsidRPr="003E0368">
        <w:rPr>
          <w:rFonts w:ascii="Arial" w:hAnsi="Arial" w:cs="Arial"/>
          <w:bCs/>
          <w:sz w:val="22"/>
        </w:rPr>
        <w:t>,</w:t>
      </w:r>
      <w:r w:rsidRPr="003E0368">
        <w:rPr>
          <w:rFonts w:ascii="Arial" w:hAnsi="Arial" w:cs="Arial"/>
          <w:bCs/>
          <w:sz w:val="22"/>
          <w:vertAlign w:val="superscript"/>
        </w:rPr>
        <w:t>1</w:t>
      </w:r>
      <w:proofErr w:type="gramEnd"/>
      <w:r w:rsidRPr="003E0368">
        <w:rPr>
          <w:rFonts w:ascii="Arial" w:hAnsi="Arial" w:cs="Arial"/>
          <w:b/>
          <w:bCs/>
          <w:sz w:val="22"/>
        </w:rPr>
        <w:t xml:space="preserve"> </w:t>
      </w:r>
      <w:r w:rsidRPr="003E0368">
        <w:rPr>
          <w:rFonts w:ascii="Arial" w:hAnsi="Arial" w:cs="Arial"/>
          <w:bCs/>
          <w:sz w:val="22"/>
        </w:rPr>
        <w:t>Naila Rabbani,</w:t>
      </w:r>
      <w:r w:rsidRPr="003E0368">
        <w:rPr>
          <w:rFonts w:ascii="Arial" w:hAnsi="Arial" w:cs="Arial"/>
          <w:bCs/>
          <w:sz w:val="22"/>
          <w:vertAlign w:val="superscript"/>
        </w:rPr>
        <w:t>1,2</w:t>
      </w:r>
      <w:r w:rsidRPr="003E0368">
        <w:rPr>
          <w:rFonts w:ascii="Arial" w:hAnsi="Arial" w:cs="Arial"/>
          <w:bCs/>
          <w:sz w:val="22"/>
        </w:rPr>
        <w:t xml:space="preserve"> and Paul J Thornalley</w:t>
      </w:r>
      <w:r w:rsidRPr="003E0368">
        <w:rPr>
          <w:rFonts w:ascii="Arial" w:hAnsi="Arial" w:cs="Arial"/>
          <w:bCs/>
          <w:sz w:val="22"/>
          <w:vertAlign w:val="superscript"/>
        </w:rPr>
        <w:t>1</w:t>
      </w:r>
    </w:p>
    <w:p w:rsidR="003E0368" w:rsidRDefault="00006260" w:rsidP="001B5F78">
      <w:pPr>
        <w:pStyle w:val="PlainText"/>
        <w:jc w:val="center"/>
        <w:rPr>
          <w:rFonts w:ascii="Arial" w:hAnsi="Arial" w:cs="Arial"/>
          <w:color w:val="000000" w:themeColor="text1"/>
          <w:sz w:val="22"/>
          <w:szCs w:val="22"/>
        </w:rPr>
      </w:pPr>
      <w:r w:rsidRPr="003E0368">
        <w:rPr>
          <w:rFonts w:ascii="Arial" w:hAnsi="Arial" w:cs="Arial"/>
          <w:color w:val="000000" w:themeColor="text1"/>
          <w:sz w:val="22"/>
          <w:szCs w:val="22"/>
          <w:vertAlign w:val="superscript"/>
        </w:rPr>
        <w:t>1</w:t>
      </w:r>
      <w:r w:rsidRPr="003E0368">
        <w:rPr>
          <w:rFonts w:ascii="Arial" w:hAnsi="Arial" w:cs="Arial"/>
          <w:color w:val="000000" w:themeColor="text1"/>
          <w:sz w:val="22"/>
          <w:szCs w:val="22"/>
        </w:rPr>
        <w:t>Clinical Sciences Research Laboratories, University of Warwick, University H</w:t>
      </w:r>
      <w:bookmarkStart w:id="1" w:name="addressWOS:000350235900026-7"/>
      <w:r w:rsidRPr="003E0368">
        <w:rPr>
          <w:rFonts w:ascii="Arial" w:hAnsi="Arial" w:cs="Arial"/>
          <w:color w:val="000000" w:themeColor="text1"/>
          <w:sz w:val="22"/>
          <w:szCs w:val="22"/>
        </w:rPr>
        <w:t>ospital, Coventry CV2 2DX, UK</w:t>
      </w:r>
      <w:bookmarkEnd w:id="1"/>
      <w:r w:rsidR="00434B3F" w:rsidRPr="003E0368">
        <w:rPr>
          <w:rFonts w:ascii="Arial" w:hAnsi="Arial" w:cs="Arial"/>
          <w:color w:val="000000" w:themeColor="text1"/>
          <w:sz w:val="22"/>
          <w:szCs w:val="22"/>
        </w:rPr>
        <w:t xml:space="preserve"> and </w:t>
      </w:r>
      <w:r w:rsidR="00434B3F" w:rsidRPr="003E0368">
        <w:rPr>
          <w:rFonts w:ascii="Arial" w:hAnsi="Arial" w:cs="Arial"/>
          <w:color w:val="000000" w:themeColor="text1"/>
          <w:sz w:val="22"/>
          <w:szCs w:val="22"/>
          <w:vertAlign w:val="superscript"/>
        </w:rPr>
        <w:t>2</w:t>
      </w:r>
      <w:r w:rsidR="00382CE2" w:rsidRPr="003E0368">
        <w:rPr>
          <w:rFonts w:ascii="Arial" w:hAnsi="Arial" w:cs="Arial"/>
          <w:color w:val="000000" w:themeColor="text1"/>
          <w:sz w:val="22"/>
          <w:szCs w:val="22"/>
        </w:rPr>
        <w:t>Proteomics Research Technology Platform,</w:t>
      </w:r>
    </w:p>
    <w:p w:rsidR="00006260" w:rsidRPr="003E0368" w:rsidRDefault="00382CE2" w:rsidP="001B5F78">
      <w:pPr>
        <w:pStyle w:val="PlainText"/>
        <w:jc w:val="center"/>
        <w:rPr>
          <w:rFonts w:ascii="Arial" w:eastAsia="Times New Roman" w:hAnsi="Arial" w:cs="Arial"/>
          <w:sz w:val="22"/>
          <w:szCs w:val="22"/>
        </w:rPr>
      </w:pPr>
      <w:r w:rsidRPr="003E0368">
        <w:rPr>
          <w:rFonts w:ascii="Arial" w:hAnsi="Arial" w:cs="Arial"/>
          <w:color w:val="000000" w:themeColor="text1"/>
          <w:sz w:val="22"/>
          <w:szCs w:val="22"/>
        </w:rPr>
        <w:t>University of Warwick, University Hospital, Coventry CV2 2DX, UK</w:t>
      </w:r>
    </w:p>
    <w:p w:rsidR="006A09AC" w:rsidRPr="003E0368" w:rsidRDefault="006A09AC" w:rsidP="001B5F78">
      <w:pPr>
        <w:rPr>
          <w:rFonts w:ascii="Arial" w:hAnsi="Arial" w:cs="Arial"/>
          <w:sz w:val="22"/>
          <w:lang w:val="en" w:eastAsia="en-GB"/>
        </w:rPr>
      </w:pPr>
      <w:r w:rsidRPr="003E0368">
        <w:rPr>
          <w:rFonts w:ascii="Arial" w:hAnsi="Arial" w:cs="Arial"/>
          <w:sz w:val="22"/>
          <w:lang w:val="en" w:eastAsia="en-GB"/>
        </w:rPr>
        <w:t>Presenting author</w:t>
      </w:r>
      <w:r w:rsidR="001B5F78" w:rsidRPr="003E0368">
        <w:rPr>
          <w:rFonts w:ascii="Arial" w:hAnsi="Arial" w:cs="Arial"/>
          <w:sz w:val="22"/>
          <w:lang w:val="en" w:eastAsia="en-GB"/>
        </w:rPr>
        <w:t xml:space="preserve">: </w:t>
      </w:r>
      <w:r w:rsidR="00434B3F" w:rsidRPr="003E0368">
        <w:rPr>
          <w:rFonts w:ascii="Arial" w:hAnsi="Arial" w:cs="Arial"/>
          <w:bCs/>
          <w:sz w:val="22"/>
        </w:rPr>
        <w:t>Muhanad Alhujaily</w:t>
      </w:r>
      <w:r w:rsidR="001B5F78" w:rsidRPr="003E0368">
        <w:rPr>
          <w:rFonts w:ascii="Arial" w:hAnsi="Arial" w:cs="Arial"/>
          <w:sz w:val="22"/>
          <w:lang w:val="en" w:eastAsia="en-GB"/>
        </w:rPr>
        <w:t xml:space="preserve">, </w:t>
      </w:r>
      <w:r w:rsidR="001B5F78" w:rsidRPr="003E0368">
        <w:rPr>
          <w:rFonts w:ascii="Arial" w:hAnsi="Arial" w:cs="Arial"/>
          <w:color w:val="000000" w:themeColor="text1"/>
          <w:sz w:val="22"/>
        </w:rPr>
        <w:t xml:space="preserve">Clinical Sciences Research Laboratories, University of Warwick, University Hospital, </w:t>
      </w:r>
      <w:proofErr w:type="gramStart"/>
      <w:r w:rsidR="001B5F78" w:rsidRPr="003E0368">
        <w:rPr>
          <w:rFonts w:ascii="Arial" w:hAnsi="Arial" w:cs="Arial"/>
          <w:color w:val="000000" w:themeColor="text1"/>
          <w:sz w:val="22"/>
        </w:rPr>
        <w:t>Coventry</w:t>
      </w:r>
      <w:proofErr w:type="gramEnd"/>
      <w:r w:rsidR="001B5F78" w:rsidRPr="003E0368">
        <w:rPr>
          <w:rFonts w:ascii="Arial" w:hAnsi="Arial" w:cs="Arial"/>
          <w:color w:val="000000" w:themeColor="text1"/>
          <w:sz w:val="22"/>
        </w:rPr>
        <w:t xml:space="preserve"> CV2</w:t>
      </w:r>
      <w:r w:rsidR="00CC248E" w:rsidRPr="003E0368">
        <w:rPr>
          <w:rFonts w:ascii="Arial" w:hAnsi="Arial" w:cs="Arial"/>
          <w:color w:val="000000" w:themeColor="text1"/>
          <w:sz w:val="22"/>
        </w:rPr>
        <w:t xml:space="preserve"> </w:t>
      </w:r>
      <w:r w:rsidR="001B5F78" w:rsidRPr="003E0368">
        <w:rPr>
          <w:rFonts w:ascii="Arial" w:hAnsi="Arial" w:cs="Arial"/>
          <w:color w:val="000000" w:themeColor="text1"/>
          <w:sz w:val="22"/>
        </w:rPr>
        <w:t>2DX, UK. E</w:t>
      </w:r>
      <w:r w:rsidR="00CC248E" w:rsidRPr="003E0368">
        <w:rPr>
          <w:rFonts w:ascii="Arial" w:hAnsi="Arial" w:cs="Arial"/>
          <w:color w:val="000000" w:themeColor="text1"/>
          <w:sz w:val="22"/>
        </w:rPr>
        <w:t>mail</w:t>
      </w:r>
      <w:r w:rsidR="001B5F78" w:rsidRPr="003E0368">
        <w:rPr>
          <w:rFonts w:ascii="Arial" w:hAnsi="Arial" w:cs="Arial"/>
          <w:color w:val="000000" w:themeColor="text1"/>
          <w:sz w:val="22"/>
        </w:rPr>
        <w:t xml:space="preserve">: </w:t>
      </w:r>
      <w:r w:rsidR="00434B3F" w:rsidRPr="003E0368">
        <w:rPr>
          <w:rFonts w:ascii="Arial" w:hAnsi="Arial" w:cs="Arial"/>
          <w:color w:val="000000" w:themeColor="text1"/>
          <w:sz w:val="22"/>
        </w:rPr>
        <w:t>M.Alhujaily@warwick.ac.uk</w:t>
      </w:r>
    </w:p>
    <w:p w:rsidR="001B5F78" w:rsidRPr="003E0368" w:rsidRDefault="001B5F78" w:rsidP="001B5F78">
      <w:pPr>
        <w:rPr>
          <w:rFonts w:ascii="Arial" w:hAnsi="Arial" w:cs="Arial"/>
          <w:sz w:val="22"/>
          <w:lang w:val="en" w:eastAsia="en-GB"/>
        </w:rPr>
      </w:pPr>
    </w:p>
    <w:p w:rsidR="001B5F78" w:rsidRPr="003E0368" w:rsidRDefault="006A09AC" w:rsidP="001B5F78">
      <w:pPr>
        <w:rPr>
          <w:rFonts w:ascii="Arial" w:hAnsi="Arial" w:cs="Arial"/>
          <w:sz w:val="22"/>
          <w:lang w:val="en" w:eastAsia="en-GB"/>
        </w:rPr>
      </w:pPr>
      <w:r w:rsidRPr="003E0368">
        <w:rPr>
          <w:rFonts w:ascii="Arial" w:hAnsi="Arial" w:cs="Arial"/>
          <w:sz w:val="22"/>
          <w:lang w:val="en" w:eastAsia="en-GB"/>
        </w:rPr>
        <w:t>ABSTRACT</w:t>
      </w:r>
    </w:p>
    <w:p w:rsidR="00434B3F" w:rsidRPr="003E0368" w:rsidRDefault="00006260" w:rsidP="00434B3F">
      <w:pPr>
        <w:rPr>
          <w:rFonts w:ascii="Arial" w:hAnsi="Arial" w:cs="Arial"/>
          <w:color w:val="000000"/>
          <w:sz w:val="22"/>
          <w:lang w:eastAsia="en-GB"/>
        </w:rPr>
      </w:pPr>
      <w:r w:rsidRPr="003E0368">
        <w:rPr>
          <w:rFonts w:ascii="Arial" w:hAnsi="Arial" w:cs="Arial"/>
          <w:b/>
          <w:bCs/>
          <w:color w:val="000000"/>
          <w:sz w:val="22"/>
          <w:lang w:eastAsia="en-GB"/>
        </w:rPr>
        <w:t>Background and aims:</w:t>
      </w:r>
      <w:r w:rsidRPr="003E0368">
        <w:rPr>
          <w:rFonts w:ascii="Arial" w:hAnsi="Arial" w:cs="Arial"/>
          <w:color w:val="000000"/>
          <w:sz w:val="22"/>
          <w:lang w:eastAsia="en-GB"/>
        </w:rPr>
        <w:t xml:space="preserve"> </w:t>
      </w:r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Glyoxalase 1 (Glo1) catalysed the metabolism of methylglyoxal and thereby prevents the formation of quantitatively major protein and nucleotide advanced glycation </w:t>
      </w:r>
      <w:proofErr w:type="spellStart"/>
      <w:r w:rsidR="00434B3F" w:rsidRPr="003E0368">
        <w:rPr>
          <w:rFonts w:ascii="Arial" w:hAnsi="Arial" w:cs="Arial"/>
          <w:color w:val="000000"/>
          <w:sz w:val="22"/>
          <w:lang w:eastAsia="en-GB"/>
        </w:rPr>
        <w:t>endproduct</w:t>
      </w:r>
      <w:proofErr w:type="spellEnd"/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 formation, </w:t>
      </w:r>
      <w:proofErr w:type="spellStart"/>
      <w:r w:rsidR="00434B3F" w:rsidRPr="003E0368">
        <w:rPr>
          <w:rFonts w:ascii="Arial" w:hAnsi="Arial" w:cs="Arial"/>
          <w:color w:val="000000"/>
          <w:sz w:val="22"/>
          <w:lang w:eastAsia="en-GB"/>
        </w:rPr>
        <w:t>hydroimidazolone</w:t>
      </w:r>
      <w:proofErr w:type="spellEnd"/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 MG-H1 and </w:t>
      </w:r>
      <w:proofErr w:type="spellStart"/>
      <w:r w:rsidR="00434B3F" w:rsidRPr="003E0368">
        <w:rPr>
          <w:rFonts w:ascii="Arial" w:hAnsi="Arial" w:cs="Arial"/>
          <w:color w:val="000000"/>
          <w:sz w:val="22"/>
          <w:lang w:eastAsia="en-GB"/>
        </w:rPr>
        <w:t>imidazopurinone</w:t>
      </w:r>
      <w:proofErr w:type="spellEnd"/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 </w:t>
      </w:r>
      <w:proofErr w:type="spellStart"/>
      <w:r w:rsidR="00434B3F" w:rsidRPr="003E0368">
        <w:rPr>
          <w:rFonts w:ascii="Arial" w:hAnsi="Arial" w:cs="Arial"/>
          <w:color w:val="000000"/>
          <w:sz w:val="22"/>
          <w:lang w:eastAsia="en-GB"/>
        </w:rPr>
        <w:t>MGdG</w:t>
      </w:r>
      <w:proofErr w:type="spellEnd"/>
      <w:r w:rsidR="00434B3F" w:rsidRPr="003E0368">
        <w:rPr>
          <w:rFonts w:ascii="Arial" w:hAnsi="Arial" w:cs="Arial"/>
          <w:color w:val="000000"/>
          <w:sz w:val="22"/>
          <w:lang w:eastAsia="en-GB"/>
        </w:rPr>
        <w:t>, respectively. In cancer, increased Glo1 expression is permissive for high glycolytic rate and tumour growth</w:t>
      </w:r>
      <w:r w:rsidR="005127B5" w:rsidRPr="003E0368">
        <w:rPr>
          <w:rFonts w:ascii="Arial" w:hAnsi="Arial" w:cs="Arial"/>
          <w:color w:val="000000"/>
          <w:sz w:val="22"/>
          <w:lang w:eastAsia="en-GB"/>
        </w:rPr>
        <w:t xml:space="preserve"> and</w:t>
      </w:r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 also mediates multidrug resistance (MDR) in cancer chemotherapy. Increased Glo1 expression </w:t>
      </w:r>
      <w:r w:rsidR="003751FF" w:rsidRPr="003E0368">
        <w:rPr>
          <w:rFonts w:ascii="Arial" w:hAnsi="Arial" w:cs="Arial"/>
          <w:color w:val="000000"/>
          <w:sz w:val="22"/>
          <w:lang w:eastAsia="en-GB"/>
        </w:rPr>
        <w:t>is</w:t>
      </w:r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 linked to increased GLO1 copy number and expression of transcription factor Nrf2. In this study we examined</w:t>
      </w:r>
      <w:r w:rsidR="005127B5" w:rsidRPr="003E0368">
        <w:rPr>
          <w:rFonts w:ascii="Arial" w:hAnsi="Arial" w:cs="Arial"/>
          <w:color w:val="000000"/>
          <w:sz w:val="22"/>
          <w:lang w:eastAsia="en-GB"/>
        </w:rPr>
        <w:t xml:space="preserve"> factors linked to </w:t>
      </w:r>
      <w:r w:rsidR="00434B3F" w:rsidRPr="003E0368">
        <w:rPr>
          <w:rFonts w:ascii="Arial" w:hAnsi="Arial" w:cs="Arial"/>
          <w:color w:val="000000"/>
          <w:sz w:val="22"/>
          <w:lang w:eastAsia="en-GB"/>
        </w:rPr>
        <w:t xml:space="preserve">Glo1 expression </w:t>
      </w:r>
      <w:r w:rsidR="00667AB4" w:rsidRPr="003E0368">
        <w:rPr>
          <w:rFonts w:ascii="Arial" w:hAnsi="Arial" w:cs="Arial"/>
          <w:color w:val="000000"/>
          <w:sz w:val="22"/>
          <w:lang w:eastAsia="en-GB"/>
        </w:rPr>
        <w:t xml:space="preserve">in human tumour cell lines and association of Glo1 expression </w:t>
      </w:r>
      <w:r w:rsidR="003751FF" w:rsidRPr="003E0368">
        <w:rPr>
          <w:rFonts w:ascii="Arial" w:hAnsi="Arial" w:cs="Arial"/>
          <w:color w:val="000000"/>
          <w:sz w:val="22"/>
          <w:lang w:eastAsia="en-GB"/>
        </w:rPr>
        <w:t>to the effectiveness of</w:t>
      </w:r>
      <w:r w:rsidR="00667AB4" w:rsidRPr="003E0368">
        <w:rPr>
          <w:rFonts w:ascii="Arial" w:hAnsi="Arial" w:cs="Arial"/>
          <w:color w:val="000000"/>
          <w:sz w:val="22"/>
          <w:lang w:eastAsia="en-GB"/>
        </w:rPr>
        <w:t xml:space="preserve"> clinical </w:t>
      </w:r>
      <w:r w:rsidR="003751FF" w:rsidRPr="003E0368">
        <w:rPr>
          <w:rFonts w:ascii="Arial" w:hAnsi="Arial" w:cs="Arial"/>
          <w:color w:val="000000"/>
          <w:sz w:val="22"/>
          <w:lang w:eastAsia="en-GB"/>
        </w:rPr>
        <w:t xml:space="preserve">breast </w:t>
      </w:r>
      <w:r w:rsidR="00667AB4" w:rsidRPr="003E0368">
        <w:rPr>
          <w:rFonts w:ascii="Arial" w:hAnsi="Arial" w:cs="Arial"/>
          <w:color w:val="000000"/>
          <w:sz w:val="22"/>
          <w:lang w:eastAsia="en-GB"/>
        </w:rPr>
        <w:t xml:space="preserve">cancer treatment. </w:t>
      </w:r>
    </w:p>
    <w:p w:rsidR="00006260" w:rsidRPr="003E0368" w:rsidRDefault="00006260" w:rsidP="00667AB4">
      <w:pPr>
        <w:tabs>
          <w:tab w:val="left" w:pos="0"/>
        </w:tabs>
        <w:ind w:right="-1"/>
        <w:rPr>
          <w:rFonts w:ascii="Arial" w:hAnsi="Arial" w:cs="Arial"/>
          <w:color w:val="000000"/>
          <w:sz w:val="22"/>
          <w:lang w:eastAsia="en-GB"/>
        </w:rPr>
      </w:pPr>
      <w:r w:rsidRPr="003E0368">
        <w:rPr>
          <w:rFonts w:ascii="Arial" w:hAnsi="Arial" w:cs="Arial"/>
          <w:b/>
          <w:bCs/>
          <w:color w:val="000000"/>
          <w:sz w:val="22"/>
          <w:lang w:eastAsia="en-GB"/>
        </w:rPr>
        <w:t>Materials and methods:</w:t>
      </w:r>
      <w:r w:rsidRPr="003E0368">
        <w:rPr>
          <w:rFonts w:ascii="Arial" w:hAnsi="Arial" w:cs="Arial"/>
          <w:color w:val="000000"/>
          <w:sz w:val="22"/>
          <w:lang w:eastAsia="en-GB"/>
        </w:rPr>
        <w:t xml:space="preserve"> </w:t>
      </w:r>
      <w:r w:rsidR="00667AB4" w:rsidRPr="003E0368">
        <w:rPr>
          <w:rFonts w:ascii="Arial" w:hAnsi="Arial" w:cs="Arial"/>
          <w:color w:val="000000"/>
          <w:sz w:val="22"/>
          <w:lang w:eastAsia="en-GB"/>
        </w:rPr>
        <w:t xml:space="preserve">Expression data in human tumour cells lines was accessed from the </w:t>
      </w:r>
      <w:r w:rsidR="00667AB4" w:rsidRPr="003E0368">
        <w:rPr>
          <w:rFonts w:ascii="Arial" w:hAnsi="Arial" w:cs="Arial"/>
          <w:sz w:val="22"/>
        </w:rPr>
        <w:t>Cancer Cell Line Encyclopaedia (</w:t>
      </w:r>
      <w:r w:rsidR="003751FF" w:rsidRPr="003E0368">
        <w:rPr>
          <w:rFonts w:ascii="Arial" w:hAnsi="Arial" w:cs="Arial"/>
          <w:sz w:val="22"/>
        </w:rPr>
        <w:t>CCLE; h</w:t>
      </w:r>
      <w:r w:rsidR="00667AB4" w:rsidRPr="003E0368">
        <w:rPr>
          <w:rFonts w:ascii="Arial" w:hAnsi="Arial" w:cs="Arial"/>
          <w:sz w:val="22"/>
        </w:rPr>
        <w:t xml:space="preserve">ttps://portals.broadinstitute.org/ccle) – a transcriptomic database of 1043 human tumour cell lines. </w:t>
      </w:r>
      <w:r w:rsidR="00667AB4" w:rsidRPr="003E0368">
        <w:rPr>
          <w:rFonts w:ascii="Arial" w:hAnsi="Arial" w:cs="Arial"/>
          <w:bCs/>
          <w:sz w:val="22"/>
          <w:lang w:val="en"/>
        </w:rPr>
        <w:t xml:space="preserve">Glo1 expression and breast cancer survival was analyzed by the </w:t>
      </w:r>
      <w:r w:rsidR="00667AB4" w:rsidRPr="003E0368">
        <w:rPr>
          <w:rFonts w:ascii="Arial" w:hAnsi="Arial" w:cs="Arial"/>
          <w:sz w:val="22"/>
        </w:rPr>
        <w:t xml:space="preserve">Kaplan Meier plotter analysis tool (http://kmplot.com/analysis/) where data on </w:t>
      </w:r>
      <w:r w:rsidR="00381533" w:rsidRPr="003E0368">
        <w:rPr>
          <w:rFonts w:ascii="Arial" w:hAnsi="Arial" w:cs="Arial"/>
          <w:sz w:val="22"/>
        </w:rPr>
        <w:t>endocrine</w:t>
      </w:r>
      <w:r w:rsidR="003E0368">
        <w:rPr>
          <w:rFonts w:ascii="Arial" w:hAnsi="Arial" w:cs="Arial"/>
          <w:sz w:val="22"/>
        </w:rPr>
        <w:t xml:space="preserve"> and</w:t>
      </w:r>
      <w:r w:rsidR="00381533" w:rsidRPr="003E0368">
        <w:rPr>
          <w:rFonts w:ascii="Arial" w:hAnsi="Arial" w:cs="Arial"/>
          <w:sz w:val="22"/>
        </w:rPr>
        <w:t>/</w:t>
      </w:r>
      <w:r w:rsidR="003E0368">
        <w:rPr>
          <w:rFonts w:ascii="Arial" w:hAnsi="Arial" w:cs="Arial"/>
          <w:sz w:val="22"/>
        </w:rPr>
        <w:t xml:space="preserve">or </w:t>
      </w:r>
      <w:r w:rsidR="00381533" w:rsidRPr="003E0368">
        <w:rPr>
          <w:rFonts w:ascii="Arial" w:hAnsi="Arial" w:cs="Arial"/>
          <w:sz w:val="22"/>
        </w:rPr>
        <w:t xml:space="preserve">chemotherapy </w:t>
      </w:r>
      <w:r w:rsidR="00667AB4" w:rsidRPr="003E0368">
        <w:rPr>
          <w:rFonts w:ascii="Arial" w:hAnsi="Arial" w:cs="Arial"/>
          <w:sz w:val="22"/>
        </w:rPr>
        <w:t xml:space="preserve">treatment and </w:t>
      </w:r>
      <w:r w:rsidR="00381533" w:rsidRPr="003E0368">
        <w:rPr>
          <w:rFonts w:ascii="Arial" w:hAnsi="Arial" w:cs="Arial"/>
          <w:sz w:val="22"/>
        </w:rPr>
        <w:t>relapse-free survival</w:t>
      </w:r>
      <w:r w:rsidR="00667AB4" w:rsidRPr="003E0368">
        <w:rPr>
          <w:rFonts w:ascii="Arial" w:hAnsi="Arial" w:cs="Arial"/>
          <w:sz w:val="22"/>
        </w:rPr>
        <w:t xml:space="preserve"> of </w:t>
      </w:r>
      <w:r w:rsidR="00381533" w:rsidRPr="003E0368">
        <w:rPr>
          <w:rFonts w:ascii="Arial" w:hAnsi="Arial" w:cs="Arial"/>
          <w:sz w:val="22"/>
        </w:rPr>
        <w:t>395</w:t>
      </w:r>
      <w:r w:rsidR="003E0368">
        <w:rPr>
          <w:rFonts w:ascii="Arial" w:hAnsi="Arial" w:cs="Arial"/>
          <w:sz w:val="22"/>
        </w:rPr>
        <w:t>1</w:t>
      </w:r>
      <w:r w:rsidR="00667AB4" w:rsidRPr="003E0368">
        <w:rPr>
          <w:rFonts w:ascii="Arial" w:hAnsi="Arial" w:cs="Arial"/>
          <w:sz w:val="22"/>
        </w:rPr>
        <w:t xml:space="preserve"> breast cancer</w:t>
      </w:r>
      <w:r w:rsidR="00C8663D" w:rsidRPr="003E0368">
        <w:rPr>
          <w:rFonts w:ascii="Arial" w:hAnsi="Arial" w:cs="Arial"/>
          <w:sz w:val="22"/>
        </w:rPr>
        <w:t xml:space="preserve"> patients</w:t>
      </w:r>
      <w:r w:rsidR="00667AB4" w:rsidRPr="003E0368">
        <w:rPr>
          <w:rFonts w:ascii="Arial" w:hAnsi="Arial" w:cs="Arial"/>
          <w:sz w:val="22"/>
        </w:rPr>
        <w:t xml:space="preserve"> is </w:t>
      </w:r>
      <w:r w:rsidR="00C8663D" w:rsidRPr="003E0368">
        <w:rPr>
          <w:rFonts w:ascii="Arial" w:hAnsi="Arial" w:cs="Arial"/>
          <w:sz w:val="22"/>
        </w:rPr>
        <w:t>available</w:t>
      </w:r>
      <w:r w:rsidR="00667AB4" w:rsidRPr="003E0368">
        <w:rPr>
          <w:rFonts w:ascii="Arial" w:hAnsi="Arial" w:cs="Arial"/>
          <w:sz w:val="22"/>
        </w:rPr>
        <w:t>.</w:t>
      </w:r>
    </w:p>
    <w:p w:rsidR="00C8663D" w:rsidRPr="003E0368" w:rsidRDefault="00006260" w:rsidP="00381533">
      <w:pPr>
        <w:rPr>
          <w:rFonts w:ascii="Arial" w:hAnsi="Arial" w:cs="Arial"/>
          <w:color w:val="000000" w:themeColor="text1"/>
          <w:sz w:val="22"/>
          <w:lang w:eastAsia="en-GB"/>
        </w:rPr>
      </w:pPr>
      <w:r w:rsidRPr="003E0368">
        <w:rPr>
          <w:rFonts w:ascii="Arial" w:hAnsi="Arial" w:cs="Arial"/>
          <w:b/>
          <w:sz w:val="22"/>
          <w:lang w:eastAsia="en-GB"/>
        </w:rPr>
        <w:t>Results:</w:t>
      </w:r>
      <w:r w:rsidRPr="003E0368">
        <w:rPr>
          <w:rFonts w:ascii="Arial" w:hAnsi="Arial" w:cs="Arial"/>
          <w:sz w:val="22"/>
          <w:lang w:eastAsia="en-GB"/>
        </w:rPr>
        <w:t xml:space="preserve"> </w:t>
      </w:r>
      <w:r w:rsidR="00C8663D" w:rsidRPr="003E0368">
        <w:rPr>
          <w:rFonts w:ascii="Arial" w:hAnsi="Arial" w:cs="Arial"/>
          <w:sz w:val="22"/>
          <w:lang w:eastAsia="en-GB"/>
        </w:rPr>
        <w:t>In the CCLE</w:t>
      </w:r>
      <w:r w:rsidR="00C8663D" w:rsidRPr="003E0368">
        <w:rPr>
          <w:rFonts w:ascii="Arial" w:hAnsi="Arial" w:cs="Arial"/>
          <w:b/>
          <w:sz w:val="22"/>
          <w:lang w:eastAsia="en-GB"/>
        </w:rPr>
        <w:t xml:space="preserve"> </w:t>
      </w:r>
      <w:r w:rsidR="00C8663D" w:rsidRPr="003E0368">
        <w:rPr>
          <w:rFonts w:ascii="Arial" w:hAnsi="Arial" w:cs="Arial"/>
          <w:sz w:val="22"/>
          <w:lang w:eastAsia="en-GB"/>
        </w:rPr>
        <w:t>database, Glo1 expression correlated positively with GLO1 copy number (r = 0.43,</w:t>
      </w:r>
      <w:r w:rsidR="008D4969">
        <w:rPr>
          <w:rFonts w:ascii="Arial" w:hAnsi="Arial" w:cs="Arial"/>
          <w:sz w:val="22"/>
          <w:lang w:eastAsia="en-GB"/>
        </w:rPr>
        <w:t xml:space="preserve"> P=3.9x10</w:t>
      </w:r>
      <w:r w:rsidR="008D4969">
        <w:rPr>
          <w:rFonts w:ascii="Arial" w:hAnsi="Arial" w:cs="Arial"/>
          <w:sz w:val="22"/>
          <w:vertAlign w:val="superscript"/>
          <w:lang w:eastAsia="en-GB"/>
        </w:rPr>
        <w:t>-44</w:t>
      </w:r>
      <w:r w:rsidR="00C8663D" w:rsidRPr="003E0368">
        <w:rPr>
          <w:rFonts w:ascii="Arial" w:hAnsi="Arial" w:cs="Arial"/>
          <w:sz w:val="22"/>
          <w:lang w:eastAsia="en-GB"/>
        </w:rPr>
        <w:t xml:space="preserve"> P&lt;0.01) but not with expression of </w:t>
      </w:r>
      <w:r w:rsidR="003E0368" w:rsidRPr="003E0368">
        <w:rPr>
          <w:rFonts w:ascii="Arial" w:hAnsi="Arial" w:cs="Arial"/>
          <w:sz w:val="22"/>
          <w:lang w:eastAsia="en-GB"/>
        </w:rPr>
        <w:t>glyoxalase 2 (HAGH)</w:t>
      </w:r>
      <w:r w:rsidR="003E0368">
        <w:rPr>
          <w:rFonts w:ascii="Arial" w:hAnsi="Arial" w:cs="Arial"/>
          <w:sz w:val="22"/>
          <w:lang w:eastAsia="en-GB"/>
        </w:rPr>
        <w:t>, Nrf2 not</w:t>
      </w:r>
      <w:r w:rsidR="00C8663D" w:rsidRPr="003E0368">
        <w:rPr>
          <w:rFonts w:ascii="Arial" w:hAnsi="Arial" w:cs="Arial"/>
          <w:sz w:val="22"/>
          <w:lang w:eastAsia="en-GB"/>
        </w:rPr>
        <w:t xml:space="preserve"> </w:t>
      </w:r>
      <w:r w:rsidR="003751FF" w:rsidRPr="003E0368">
        <w:rPr>
          <w:rFonts w:ascii="Arial" w:hAnsi="Arial" w:cs="Arial"/>
          <w:sz w:val="22"/>
          <w:lang w:eastAsia="en-GB"/>
        </w:rPr>
        <w:t>the Nrf2 antagonist</w:t>
      </w:r>
      <w:r w:rsidR="003E0368">
        <w:rPr>
          <w:rFonts w:ascii="Arial" w:hAnsi="Arial" w:cs="Arial"/>
          <w:sz w:val="22"/>
          <w:lang w:eastAsia="en-GB"/>
        </w:rPr>
        <w:t>,</w:t>
      </w:r>
      <w:r w:rsidR="003751FF" w:rsidRPr="003E0368">
        <w:rPr>
          <w:rFonts w:ascii="Arial" w:hAnsi="Arial" w:cs="Arial"/>
          <w:sz w:val="22"/>
          <w:lang w:eastAsia="en-GB"/>
        </w:rPr>
        <w:t xml:space="preserve"> </w:t>
      </w:r>
      <w:r w:rsidR="00C8663D" w:rsidRPr="003E0368">
        <w:rPr>
          <w:rFonts w:ascii="Arial" w:hAnsi="Arial" w:cs="Arial"/>
          <w:sz w:val="22"/>
          <w:lang w:eastAsia="en-GB"/>
        </w:rPr>
        <w:t>KEAP1</w:t>
      </w:r>
      <w:r w:rsidR="003E0368">
        <w:rPr>
          <w:rFonts w:ascii="Arial" w:hAnsi="Arial" w:cs="Arial"/>
          <w:sz w:val="22"/>
          <w:lang w:eastAsia="en-GB"/>
        </w:rPr>
        <w:t>.</w:t>
      </w:r>
      <w:r w:rsidR="00C8663D" w:rsidRPr="003E0368">
        <w:rPr>
          <w:rFonts w:ascii="Arial" w:hAnsi="Arial" w:cs="Arial"/>
          <w:sz w:val="22"/>
          <w:lang w:eastAsia="en-GB"/>
        </w:rPr>
        <w:t xml:space="preserve"> </w:t>
      </w:r>
      <w:r w:rsidR="003E0368">
        <w:rPr>
          <w:rFonts w:ascii="Arial" w:hAnsi="Arial" w:cs="Arial"/>
          <w:sz w:val="22"/>
          <w:lang w:eastAsia="en-GB"/>
        </w:rPr>
        <w:t>I</w:t>
      </w:r>
      <w:r w:rsidR="00C8663D" w:rsidRPr="003E0368">
        <w:rPr>
          <w:rFonts w:ascii="Arial" w:hAnsi="Arial" w:cs="Arial"/>
          <w:sz w:val="22"/>
          <w:lang w:eastAsia="en-GB"/>
        </w:rPr>
        <w:t xml:space="preserve">ncreased GLO1 copy number was of highest prevalence in breast cancer cell lines (35%) where </w:t>
      </w:r>
      <w:r w:rsidR="00C8663D" w:rsidRPr="003E0368">
        <w:rPr>
          <w:rFonts w:ascii="Arial" w:hAnsi="Arial" w:cs="Arial"/>
          <w:sz w:val="22"/>
          <w:lang w:eastAsia="en-GB"/>
        </w:rPr>
        <w:lastRenderedPageBreak/>
        <w:t xml:space="preserve">Glo1 </w:t>
      </w:r>
      <w:r w:rsidR="00C8663D" w:rsidRPr="003E0368">
        <w:rPr>
          <w:rFonts w:ascii="Arial" w:hAnsi="Arial" w:cs="Arial"/>
          <w:color w:val="000000" w:themeColor="text1"/>
          <w:sz w:val="22"/>
          <w:lang w:eastAsia="en-GB"/>
        </w:rPr>
        <w:t>expression also correlated positively with GLO1 copy number (r = 0.57,</w:t>
      </w:r>
      <w:r w:rsidR="008D4969">
        <w:rPr>
          <w:rFonts w:ascii="Arial" w:hAnsi="Arial" w:cs="Arial"/>
          <w:color w:val="000000" w:themeColor="text1"/>
          <w:sz w:val="22"/>
          <w:lang w:eastAsia="en-GB"/>
        </w:rPr>
        <w:t>P=0.0001</w:t>
      </w:r>
      <w:r w:rsidR="00C8663D" w:rsidRPr="003E0368">
        <w:rPr>
          <w:rFonts w:ascii="Arial" w:hAnsi="Arial" w:cs="Arial"/>
          <w:color w:val="000000" w:themeColor="text1"/>
          <w:sz w:val="22"/>
          <w:lang w:eastAsia="en-GB"/>
        </w:rPr>
        <w:t xml:space="preserve"> P&lt;0.01; n = 59),</w:t>
      </w:r>
      <w:r w:rsidR="00381533" w:rsidRPr="003E0368">
        <w:rPr>
          <w:rFonts w:ascii="Arial" w:hAnsi="Arial" w:cs="Arial"/>
          <w:color w:val="000000" w:themeColor="text1"/>
          <w:sz w:val="22"/>
          <w:lang w:eastAsia="en-GB"/>
        </w:rPr>
        <w:t xml:space="preserve"> We therefore explored the association of Glo1 expression to survival in clinical breast cancer.</w:t>
      </w:r>
    </w:p>
    <w:p w:rsidR="00381533" w:rsidRPr="003E0368" w:rsidRDefault="00381533" w:rsidP="00381533">
      <w:pPr>
        <w:rPr>
          <w:rFonts w:ascii="Arial" w:hAnsi="Arial" w:cs="Arial"/>
          <w:color w:val="000000" w:themeColor="text1"/>
          <w:sz w:val="22"/>
        </w:rPr>
      </w:pPr>
      <w:r w:rsidRPr="003E0368">
        <w:rPr>
          <w:rFonts w:ascii="Arial" w:hAnsi="Arial" w:cs="Arial"/>
          <w:color w:val="000000" w:themeColor="text1"/>
          <w:sz w:val="22"/>
          <w:lang w:eastAsia="en-GB"/>
        </w:rPr>
        <w:t xml:space="preserve">     For breast cancer patients of all genotypes </w:t>
      </w:r>
      <w:r w:rsidR="003751FF" w:rsidRPr="003E0368">
        <w:rPr>
          <w:rFonts w:ascii="Arial" w:hAnsi="Arial" w:cs="Arial"/>
          <w:color w:val="000000" w:themeColor="text1"/>
          <w:sz w:val="22"/>
          <w:lang w:eastAsia="en-GB"/>
        </w:rPr>
        <w:t xml:space="preserve">receiving </w:t>
      </w:r>
      <w:r w:rsidRPr="003E0368">
        <w:rPr>
          <w:rFonts w:ascii="Arial" w:hAnsi="Arial" w:cs="Arial"/>
          <w:color w:val="000000" w:themeColor="text1"/>
          <w:sz w:val="22"/>
        </w:rPr>
        <w:t>endocrine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 </w:t>
      </w:r>
      <w:r w:rsidR="003E0368">
        <w:rPr>
          <w:rFonts w:ascii="Arial" w:hAnsi="Arial" w:cs="Arial"/>
          <w:color w:val="000000" w:themeColor="text1"/>
          <w:sz w:val="22"/>
        </w:rPr>
        <w:t>and/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or </w:t>
      </w:r>
      <w:r w:rsidRPr="003E0368">
        <w:rPr>
          <w:rFonts w:ascii="Arial" w:hAnsi="Arial" w:cs="Arial"/>
          <w:color w:val="000000" w:themeColor="text1"/>
          <w:sz w:val="22"/>
        </w:rPr>
        <w:t>chemotherapy,</w:t>
      </w:r>
      <w:r w:rsidR="003E0368" w:rsidRPr="003E0368">
        <w:rPr>
          <w:rFonts w:ascii="Arial" w:hAnsi="Arial" w:cs="Arial"/>
          <w:color w:val="000000" w:themeColor="text1"/>
          <w:sz w:val="22"/>
        </w:rPr>
        <w:t xml:space="preserve"> </w:t>
      </w:r>
      <w:r w:rsidRPr="003E0368">
        <w:rPr>
          <w:rFonts w:ascii="Arial" w:hAnsi="Arial" w:cs="Arial"/>
          <w:color w:val="000000" w:themeColor="text1"/>
          <w:sz w:val="22"/>
        </w:rPr>
        <w:t xml:space="preserve">increased Glo1 expression was a negative survival factor (hazard ratio 1.38, </w:t>
      </w:r>
      <w:proofErr w:type="spellStart"/>
      <w:r w:rsidR="008D7BAF" w:rsidRPr="003E0368">
        <w:rPr>
          <w:rFonts w:ascii="Arial" w:hAnsi="Arial" w:cs="Arial"/>
          <w:color w:val="000000" w:themeColor="text1"/>
          <w:sz w:val="22"/>
        </w:rPr>
        <w:t>logrank</w:t>
      </w:r>
      <w:proofErr w:type="spellEnd"/>
      <w:r w:rsidR="008D7BAF" w:rsidRPr="003E0368">
        <w:rPr>
          <w:rFonts w:ascii="Arial" w:hAnsi="Arial" w:cs="Arial"/>
          <w:color w:val="000000" w:themeColor="text1"/>
          <w:sz w:val="22"/>
        </w:rPr>
        <w:t xml:space="preserve"> </w:t>
      </w:r>
      <w:r w:rsidRPr="003E0368">
        <w:rPr>
          <w:rFonts w:ascii="Arial" w:hAnsi="Arial" w:cs="Arial"/>
          <w:color w:val="000000" w:themeColor="text1"/>
          <w:sz w:val="22"/>
        </w:rPr>
        <w:t>P = 3 x 10</w:t>
      </w:r>
      <w:r w:rsidRPr="003E0368">
        <w:rPr>
          <w:rFonts w:ascii="Arial" w:hAnsi="Arial" w:cs="Arial"/>
          <w:color w:val="000000" w:themeColor="text1"/>
          <w:sz w:val="22"/>
          <w:vertAlign w:val="superscript"/>
        </w:rPr>
        <w:t>-8</w:t>
      </w:r>
      <w:r w:rsidRPr="003E0368">
        <w:rPr>
          <w:rFonts w:ascii="Arial" w:hAnsi="Arial" w:cs="Arial"/>
          <w:color w:val="000000" w:themeColor="text1"/>
          <w:sz w:val="22"/>
        </w:rPr>
        <w:t>)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; median 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relapse-free 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survival was 185 and 217 months for high and low Glo1 expression, respectively. The effect was larger for </w:t>
      </w:r>
      <w:proofErr w:type="spellStart"/>
      <w:r w:rsidR="008D7BAF" w:rsidRPr="003E0368">
        <w:rPr>
          <w:rStyle w:val="Emphasis"/>
          <w:rFonts w:ascii="Arial" w:hAnsi="Arial" w:cs="Arial"/>
          <w:b w:val="0"/>
          <w:color w:val="000000" w:themeColor="text1"/>
          <w:sz w:val="22"/>
        </w:rPr>
        <w:t>estrogen</w:t>
      </w:r>
      <w:proofErr w:type="spellEnd"/>
      <w:r w:rsidR="008D7BAF" w:rsidRPr="003E0368">
        <w:rPr>
          <w:rStyle w:val="st1"/>
          <w:rFonts w:ascii="Arial" w:hAnsi="Arial" w:cs="Arial"/>
          <w:color w:val="000000" w:themeColor="text1"/>
          <w:sz w:val="22"/>
        </w:rPr>
        <w:t>-receptor-</w:t>
      </w:r>
      <w:r w:rsidR="008D7BAF" w:rsidRPr="003E0368">
        <w:rPr>
          <w:rStyle w:val="Emphasis"/>
          <w:rFonts w:ascii="Arial" w:hAnsi="Arial" w:cs="Arial"/>
          <w:b w:val="0"/>
          <w:color w:val="000000" w:themeColor="text1"/>
          <w:sz w:val="22"/>
        </w:rPr>
        <w:t>positive</w:t>
      </w:r>
      <w:r w:rsidR="008D7BAF" w:rsidRPr="003E0368">
        <w:rPr>
          <w:rStyle w:val="Emphasis"/>
          <w:rFonts w:ascii="Arial" w:hAnsi="Arial" w:cs="Arial"/>
          <w:color w:val="000000" w:themeColor="text1"/>
          <w:sz w:val="22"/>
        </w:rPr>
        <w:t xml:space="preserve"> </w:t>
      </w:r>
      <w:r w:rsidR="008D7BAF" w:rsidRPr="003E0368">
        <w:rPr>
          <w:rStyle w:val="Emphasis"/>
          <w:rFonts w:ascii="Arial" w:hAnsi="Arial" w:cs="Arial"/>
          <w:b w:val="0"/>
          <w:color w:val="000000" w:themeColor="text1"/>
          <w:sz w:val="22"/>
        </w:rPr>
        <w:t>(ER+)</w:t>
      </w:r>
      <w:r w:rsidR="008D7BAF" w:rsidRPr="003E0368">
        <w:rPr>
          <w:rStyle w:val="Emphasis"/>
          <w:rFonts w:ascii="Arial" w:hAnsi="Arial" w:cs="Arial"/>
          <w:color w:val="000000" w:themeColor="text1"/>
          <w:sz w:val="22"/>
        </w:rPr>
        <w:t xml:space="preserve"> </w:t>
      </w:r>
      <w:r w:rsidR="008D7BAF" w:rsidRPr="003E0368">
        <w:rPr>
          <w:rStyle w:val="Emphasis"/>
          <w:rFonts w:ascii="Arial" w:hAnsi="Arial" w:cs="Arial"/>
          <w:b w:val="0"/>
          <w:color w:val="000000" w:themeColor="text1"/>
          <w:sz w:val="22"/>
        </w:rPr>
        <w:t>cancer:</w:t>
      </w:r>
      <w:r w:rsidR="008D7BAF" w:rsidRPr="003E0368">
        <w:rPr>
          <w:rStyle w:val="Emphasis"/>
          <w:rFonts w:ascii="Arial" w:hAnsi="Arial" w:cs="Arial"/>
          <w:color w:val="000000" w:themeColor="text1"/>
          <w:sz w:val="22"/>
        </w:rPr>
        <w:t xml:space="preserve"> 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hazard ratio 1.62, </w:t>
      </w:r>
      <w:proofErr w:type="spellStart"/>
      <w:r w:rsidR="008D7BAF" w:rsidRPr="003E0368">
        <w:rPr>
          <w:rFonts w:ascii="Arial" w:hAnsi="Arial" w:cs="Arial"/>
          <w:color w:val="000000" w:themeColor="text1"/>
          <w:sz w:val="22"/>
        </w:rPr>
        <w:t>logrank</w:t>
      </w:r>
      <w:proofErr w:type="spellEnd"/>
      <w:r w:rsidR="008D7BAF" w:rsidRPr="003E0368">
        <w:rPr>
          <w:rFonts w:ascii="Arial" w:hAnsi="Arial" w:cs="Arial"/>
          <w:color w:val="000000" w:themeColor="text1"/>
          <w:sz w:val="22"/>
        </w:rPr>
        <w:t xml:space="preserve"> P = 2 x 10</w:t>
      </w:r>
      <w:r w:rsidR="008D7BAF" w:rsidRPr="003E0368">
        <w:rPr>
          <w:rFonts w:ascii="Arial" w:hAnsi="Arial" w:cs="Arial"/>
          <w:color w:val="000000" w:themeColor="text1"/>
          <w:sz w:val="22"/>
          <w:vertAlign w:val="superscript"/>
        </w:rPr>
        <w:t>-8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; median 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relapse-free </w:t>
      </w:r>
      <w:r w:rsidR="008D7BAF" w:rsidRPr="003E0368">
        <w:rPr>
          <w:rFonts w:ascii="Arial" w:hAnsi="Arial" w:cs="Arial"/>
          <w:color w:val="000000" w:themeColor="text1"/>
          <w:sz w:val="22"/>
        </w:rPr>
        <w:t>survival was 163 and 217 months for high and low Glo1 expression, respectively (n = 2061). The highest effect was for ER+ cancer with tamoxifen treatment: hazard ratio 1.</w:t>
      </w:r>
      <w:r w:rsidR="005127B5" w:rsidRPr="003E0368">
        <w:rPr>
          <w:rFonts w:ascii="Arial" w:hAnsi="Arial" w:cs="Arial"/>
          <w:color w:val="000000" w:themeColor="text1"/>
          <w:sz w:val="22"/>
        </w:rPr>
        <w:t>8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, </w:t>
      </w:r>
      <w:proofErr w:type="spellStart"/>
      <w:r w:rsidR="008D7BAF" w:rsidRPr="003E0368">
        <w:rPr>
          <w:rFonts w:ascii="Arial" w:hAnsi="Arial" w:cs="Arial"/>
          <w:color w:val="000000" w:themeColor="text1"/>
          <w:sz w:val="22"/>
        </w:rPr>
        <w:t>logrank</w:t>
      </w:r>
      <w:proofErr w:type="spellEnd"/>
      <w:r w:rsidR="008D7BAF" w:rsidRPr="003E0368">
        <w:rPr>
          <w:rFonts w:ascii="Arial" w:hAnsi="Arial" w:cs="Arial"/>
          <w:color w:val="000000" w:themeColor="text1"/>
          <w:sz w:val="22"/>
        </w:rPr>
        <w:t xml:space="preserve"> P = 2 x 10</w:t>
      </w:r>
      <w:r w:rsidR="008D7BAF" w:rsidRPr="003E0368">
        <w:rPr>
          <w:rFonts w:ascii="Arial" w:hAnsi="Arial" w:cs="Arial"/>
          <w:color w:val="000000" w:themeColor="text1"/>
          <w:sz w:val="22"/>
          <w:vertAlign w:val="superscript"/>
        </w:rPr>
        <w:t>-</w:t>
      </w:r>
      <w:r w:rsidR="005127B5" w:rsidRPr="003E0368">
        <w:rPr>
          <w:rFonts w:ascii="Arial" w:hAnsi="Arial" w:cs="Arial"/>
          <w:color w:val="000000" w:themeColor="text1"/>
          <w:sz w:val="22"/>
          <w:vertAlign w:val="superscript"/>
        </w:rPr>
        <w:t>4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; median 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relapse-free 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survival was </w:t>
      </w:r>
      <w:r w:rsidR="005127B5" w:rsidRPr="003E0368">
        <w:rPr>
          <w:rFonts w:ascii="Arial" w:hAnsi="Arial" w:cs="Arial"/>
          <w:color w:val="000000" w:themeColor="text1"/>
          <w:sz w:val="22"/>
        </w:rPr>
        <w:t>85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 and </w:t>
      </w:r>
      <w:r w:rsidR="005127B5" w:rsidRPr="003E0368">
        <w:rPr>
          <w:rFonts w:ascii="Arial" w:hAnsi="Arial" w:cs="Arial"/>
          <w:color w:val="000000" w:themeColor="text1"/>
          <w:sz w:val="22"/>
        </w:rPr>
        <w:t>148</w:t>
      </w:r>
      <w:r w:rsidR="008D7BAF" w:rsidRPr="003E0368">
        <w:rPr>
          <w:rFonts w:ascii="Arial" w:hAnsi="Arial" w:cs="Arial"/>
          <w:color w:val="000000" w:themeColor="text1"/>
          <w:sz w:val="22"/>
        </w:rPr>
        <w:t xml:space="preserve"> months for high and low Glo1 expression (n = 740)</w:t>
      </w:r>
      <w:r w:rsidR="005127B5" w:rsidRPr="003E0368">
        <w:rPr>
          <w:rFonts w:ascii="Arial" w:hAnsi="Arial" w:cs="Arial"/>
          <w:color w:val="000000" w:themeColor="text1"/>
          <w:sz w:val="22"/>
        </w:rPr>
        <w:t>.</w:t>
      </w:r>
    </w:p>
    <w:p w:rsidR="005127B5" w:rsidRPr="003E0368" w:rsidRDefault="005127B5" w:rsidP="00381533">
      <w:pPr>
        <w:rPr>
          <w:rFonts w:ascii="Arial" w:hAnsi="Arial" w:cs="Arial"/>
          <w:color w:val="000000" w:themeColor="text1"/>
          <w:sz w:val="22"/>
          <w:lang w:eastAsia="en-GB"/>
        </w:rPr>
      </w:pPr>
      <w:r w:rsidRPr="003E0368">
        <w:rPr>
          <w:rFonts w:ascii="Arial" w:hAnsi="Arial" w:cs="Arial"/>
          <w:b/>
          <w:color w:val="000000" w:themeColor="text1"/>
          <w:sz w:val="22"/>
        </w:rPr>
        <w:t>Conclusion:</w:t>
      </w:r>
      <w:r w:rsidRPr="003E0368">
        <w:rPr>
          <w:rFonts w:ascii="Arial" w:hAnsi="Arial" w:cs="Arial"/>
          <w:color w:val="000000" w:themeColor="text1"/>
          <w:sz w:val="22"/>
        </w:rPr>
        <w:t xml:space="preserve"> Increased GLO1 copy number is a determinant of increased Glo1 expression in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 human tumour cell lines </w:t>
      </w:r>
      <w:r w:rsidRPr="003E0368">
        <w:rPr>
          <w:rFonts w:ascii="Arial" w:hAnsi="Arial" w:cs="Arial"/>
          <w:color w:val="000000" w:themeColor="text1"/>
          <w:sz w:val="22"/>
        </w:rPr>
        <w:t>with high prevalence in breast cancer</w:t>
      </w:r>
      <w:r w:rsidR="003E0368">
        <w:rPr>
          <w:rFonts w:ascii="Arial" w:hAnsi="Arial" w:cs="Arial"/>
          <w:color w:val="000000" w:themeColor="text1"/>
          <w:sz w:val="22"/>
        </w:rPr>
        <w:t xml:space="preserve"> lines</w:t>
      </w:r>
      <w:r w:rsidRPr="003E0368">
        <w:rPr>
          <w:rFonts w:ascii="Arial" w:hAnsi="Arial" w:cs="Arial"/>
          <w:color w:val="000000" w:themeColor="text1"/>
          <w:sz w:val="22"/>
        </w:rPr>
        <w:t xml:space="preserve">. Increased Glo1 expression is a negative survival factor in endocrine/chemotherapy treatment of clinical breast cancer, consistent with </w:t>
      </w:r>
      <w:r w:rsidR="003751FF" w:rsidRPr="003E0368">
        <w:rPr>
          <w:rFonts w:ascii="Arial" w:hAnsi="Arial" w:cs="Arial"/>
          <w:color w:val="000000" w:themeColor="text1"/>
          <w:sz w:val="22"/>
        </w:rPr>
        <w:t>a</w:t>
      </w:r>
      <w:r w:rsidRPr="003E0368">
        <w:rPr>
          <w:rFonts w:ascii="Arial" w:hAnsi="Arial" w:cs="Arial"/>
          <w:color w:val="000000" w:themeColor="text1"/>
          <w:sz w:val="22"/>
        </w:rPr>
        <w:t xml:space="preserve"> role </w:t>
      </w:r>
      <w:r w:rsidR="003E0368">
        <w:rPr>
          <w:rFonts w:ascii="Arial" w:hAnsi="Arial" w:cs="Arial"/>
          <w:color w:val="000000" w:themeColor="text1"/>
          <w:sz w:val="22"/>
        </w:rPr>
        <w:t>for</w:t>
      </w:r>
      <w:r w:rsidR="003751FF" w:rsidRPr="003E0368">
        <w:rPr>
          <w:rFonts w:ascii="Arial" w:hAnsi="Arial" w:cs="Arial"/>
          <w:color w:val="000000" w:themeColor="text1"/>
          <w:sz w:val="22"/>
        </w:rPr>
        <w:t xml:space="preserve"> Glo1 in </w:t>
      </w:r>
      <w:r w:rsidRPr="003E0368">
        <w:rPr>
          <w:rFonts w:ascii="Arial" w:hAnsi="Arial" w:cs="Arial"/>
          <w:color w:val="000000" w:themeColor="text1"/>
          <w:sz w:val="22"/>
        </w:rPr>
        <w:t>MDR.</w:t>
      </w:r>
    </w:p>
    <w:p w:rsidR="00381533" w:rsidRPr="003E0368" w:rsidRDefault="00381533" w:rsidP="003E0368">
      <w:pPr>
        <w:pStyle w:val="NoSpacing"/>
        <w:spacing w:line="240" w:lineRule="auto"/>
        <w:rPr>
          <w:rFonts w:ascii="Arial" w:hAnsi="Arial" w:cs="Arial"/>
          <w:color w:val="000000" w:themeColor="text1"/>
          <w:sz w:val="22"/>
        </w:rPr>
      </w:pPr>
      <w:r w:rsidRPr="003E0368">
        <w:rPr>
          <w:rFonts w:ascii="Arial" w:hAnsi="Arial" w:cs="Arial"/>
          <w:color w:val="000000" w:themeColor="text1"/>
          <w:sz w:val="22"/>
        </w:rPr>
        <w:t xml:space="preserve">     </w:t>
      </w:r>
    </w:p>
    <w:p w:rsidR="003E0368" w:rsidRPr="003E0368" w:rsidRDefault="003E0368" w:rsidP="003E0368">
      <w:pPr>
        <w:autoSpaceDE w:val="0"/>
        <w:autoSpaceDN w:val="0"/>
        <w:adjustRightInd w:val="0"/>
        <w:snapToGrid w:val="0"/>
        <w:rPr>
          <w:rFonts w:ascii="Arial" w:hAnsi="Arial" w:cs="Arial"/>
          <w:color w:val="000000" w:themeColor="text1"/>
          <w:sz w:val="22"/>
        </w:rPr>
      </w:pPr>
      <w:r w:rsidRPr="003E0368">
        <w:rPr>
          <w:rFonts w:ascii="Arial" w:hAnsi="Arial" w:cs="Arial"/>
          <w:b/>
          <w:color w:val="000000" w:themeColor="text1"/>
          <w:sz w:val="22"/>
          <w:lang w:eastAsia="en-GB"/>
        </w:rPr>
        <w:t>Key words:</w:t>
      </w:r>
      <w:r w:rsidRPr="003E0368">
        <w:rPr>
          <w:rFonts w:ascii="Arial" w:hAnsi="Arial" w:cs="Arial"/>
          <w:color w:val="000000" w:themeColor="text1"/>
          <w:sz w:val="22"/>
          <w:lang w:eastAsia="en-GB"/>
        </w:rPr>
        <w:t xml:space="preserve"> glyoxalase</w:t>
      </w:r>
      <w:r w:rsidRPr="003E0368">
        <w:rPr>
          <w:rFonts w:ascii="Arial" w:hAnsi="Arial" w:cs="Arial"/>
          <w:color w:val="000000" w:themeColor="text1"/>
          <w:sz w:val="22"/>
        </w:rPr>
        <w:t>; cancer; copy number variable; breast cancer survival.</w:t>
      </w:r>
    </w:p>
    <w:p w:rsidR="003E0368" w:rsidRPr="003E0368" w:rsidRDefault="003E0368" w:rsidP="003E0368">
      <w:pPr>
        <w:autoSpaceDE w:val="0"/>
        <w:autoSpaceDN w:val="0"/>
        <w:adjustRightInd w:val="0"/>
        <w:snapToGrid w:val="0"/>
        <w:rPr>
          <w:rFonts w:ascii="Arial" w:hAnsi="Arial" w:cs="Arial"/>
          <w:color w:val="000000" w:themeColor="text1"/>
          <w:sz w:val="22"/>
        </w:rPr>
      </w:pPr>
    </w:p>
    <w:p w:rsidR="003E0368" w:rsidRDefault="003E0368" w:rsidP="003E0368">
      <w:pPr>
        <w:pStyle w:val="NoSpacing"/>
        <w:spacing w:line="240" w:lineRule="auto"/>
        <w:rPr>
          <w:rFonts w:ascii="Arial" w:hAnsi="Arial" w:cs="Arial"/>
          <w:color w:val="000000" w:themeColor="text1"/>
          <w:sz w:val="22"/>
        </w:rPr>
      </w:pPr>
      <w:r w:rsidRPr="003E0368">
        <w:rPr>
          <w:rFonts w:ascii="Arial" w:hAnsi="Arial" w:cs="Arial"/>
          <w:b/>
          <w:color w:val="000000" w:themeColor="text1"/>
          <w:sz w:val="22"/>
        </w:rPr>
        <w:t xml:space="preserve">Reference: </w:t>
      </w:r>
      <w:r w:rsidRPr="003E0368">
        <w:rPr>
          <w:rFonts w:ascii="Arial" w:hAnsi="Arial" w:cs="Arial"/>
          <w:color w:val="000000" w:themeColor="text1"/>
          <w:sz w:val="22"/>
        </w:rPr>
        <w:t xml:space="preserve">Rabbani, N., Xue, M., Weickert, M.O. and Thornalley, P.J. (2018) </w:t>
      </w:r>
      <w:r w:rsidRPr="003E0368">
        <w:rPr>
          <w:rFonts w:ascii="Arial" w:hAnsi="Arial" w:cs="Arial"/>
          <w:color w:val="000000" w:themeColor="text1"/>
          <w:sz w:val="22"/>
          <w:lang w:val="en-US"/>
        </w:rPr>
        <w:t xml:space="preserve">Multiple roles of glyoxalase 1-mediated suppression of methylglyoxal glycation in cancer biology – involvement in </w:t>
      </w:r>
      <w:proofErr w:type="spellStart"/>
      <w:r w:rsidRPr="003E0368">
        <w:rPr>
          <w:rFonts w:ascii="Arial" w:hAnsi="Arial" w:cs="Arial"/>
          <w:color w:val="000000" w:themeColor="text1"/>
          <w:sz w:val="22"/>
          <w:lang w:val="en-US"/>
        </w:rPr>
        <w:t>tumour</w:t>
      </w:r>
      <w:proofErr w:type="spellEnd"/>
      <w:r w:rsidRPr="003E0368">
        <w:rPr>
          <w:rFonts w:ascii="Arial" w:hAnsi="Arial" w:cs="Arial"/>
          <w:color w:val="000000" w:themeColor="text1"/>
          <w:sz w:val="22"/>
          <w:lang w:val="en-US"/>
        </w:rPr>
        <w:t xml:space="preserve"> suppression, </w:t>
      </w:r>
      <w:proofErr w:type="spellStart"/>
      <w:r w:rsidRPr="003E0368">
        <w:rPr>
          <w:rFonts w:ascii="Arial" w:hAnsi="Arial" w:cs="Arial"/>
          <w:color w:val="000000" w:themeColor="text1"/>
          <w:sz w:val="22"/>
          <w:lang w:val="en-US"/>
        </w:rPr>
        <w:t>tumour</w:t>
      </w:r>
      <w:proofErr w:type="spellEnd"/>
      <w:r w:rsidRPr="003E0368">
        <w:rPr>
          <w:rFonts w:ascii="Arial" w:hAnsi="Arial" w:cs="Arial"/>
          <w:color w:val="000000" w:themeColor="text1"/>
          <w:sz w:val="22"/>
          <w:lang w:val="en-US"/>
        </w:rPr>
        <w:t xml:space="preserve"> growth, multidrug resistance and target for chemotherapy. </w:t>
      </w:r>
      <w:r w:rsidRPr="003E0368">
        <w:rPr>
          <w:rFonts w:ascii="Arial" w:hAnsi="Arial" w:cs="Arial"/>
          <w:color w:val="000000" w:themeColor="text1"/>
          <w:sz w:val="22"/>
        </w:rPr>
        <w:t>Seminars in Cancer Biology 49, 83 – 93.</w:t>
      </w:r>
    </w:p>
    <w:p w:rsidR="003E0368" w:rsidRDefault="003E0368" w:rsidP="003E0368">
      <w:pPr>
        <w:pStyle w:val="NoSpacing"/>
        <w:spacing w:line="240" w:lineRule="auto"/>
        <w:rPr>
          <w:rFonts w:ascii="Arial" w:hAnsi="Arial" w:cs="Arial"/>
          <w:color w:val="000000" w:themeColor="text1"/>
          <w:sz w:val="22"/>
        </w:rPr>
      </w:pPr>
    </w:p>
    <w:p w:rsidR="003E0368" w:rsidRPr="003E0368" w:rsidRDefault="003E0368" w:rsidP="003E0368">
      <w:pPr>
        <w:pStyle w:val="NoSpacing"/>
        <w:spacing w:line="240" w:lineRule="auto"/>
        <w:rPr>
          <w:rFonts w:ascii="Arial" w:hAnsi="Arial" w:cs="Arial"/>
          <w:b/>
          <w:color w:val="000000" w:themeColor="text1"/>
          <w:sz w:val="22"/>
        </w:rPr>
      </w:pPr>
      <w:r w:rsidRPr="003E0368">
        <w:rPr>
          <w:rFonts w:ascii="Arial" w:hAnsi="Arial" w:cs="Arial"/>
          <w:b/>
          <w:color w:val="000000" w:themeColor="text1"/>
          <w:sz w:val="22"/>
        </w:rPr>
        <w:t>Word count</w:t>
      </w:r>
      <w:r>
        <w:rPr>
          <w:rFonts w:ascii="Arial" w:hAnsi="Arial" w:cs="Arial"/>
          <w:b/>
          <w:color w:val="000000" w:themeColor="text1"/>
          <w:sz w:val="22"/>
        </w:rPr>
        <w:t>:</w:t>
      </w:r>
      <w:r>
        <w:rPr>
          <w:rFonts w:ascii="Arial" w:hAnsi="Arial" w:cs="Arial"/>
          <w:color w:val="000000" w:themeColor="text1"/>
          <w:sz w:val="22"/>
        </w:rPr>
        <w:t xml:space="preserve"> 398.</w:t>
      </w:r>
    </w:p>
    <w:p w:rsidR="00C8663D" w:rsidRPr="009F4083" w:rsidRDefault="00C8663D" w:rsidP="001B5F78">
      <w:pPr>
        <w:rPr>
          <w:rFonts w:ascii="Arial" w:hAnsi="Arial" w:cs="Arial"/>
          <w:color w:val="111111"/>
          <w:sz w:val="22"/>
          <w:lang w:eastAsia="en-GB"/>
        </w:rPr>
      </w:pPr>
    </w:p>
    <w:sectPr w:rsidR="00C8663D" w:rsidRPr="009F40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F921D2"/>
    <w:multiLevelType w:val="singleLevel"/>
    <w:tmpl w:val="D9AAE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trike w:val="0"/>
        <w:dstrike w:val="0"/>
        <w:sz w:val="24"/>
        <w:szCs w:val="24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9AC"/>
    <w:rsid w:val="00006260"/>
    <w:rsid w:val="001B5F78"/>
    <w:rsid w:val="00261D56"/>
    <w:rsid w:val="003751FF"/>
    <w:rsid w:val="00381533"/>
    <w:rsid w:val="00382CE2"/>
    <w:rsid w:val="003E0368"/>
    <w:rsid w:val="00434B3F"/>
    <w:rsid w:val="005127B5"/>
    <w:rsid w:val="00667AB4"/>
    <w:rsid w:val="00683D8B"/>
    <w:rsid w:val="006A09AC"/>
    <w:rsid w:val="007B5ED5"/>
    <w:rsid w:val="008D4969"/>
    <w:rsid w:val="008D7BAF"/>
    <w:rsid w:val="00905041"/>
    <w:rsid w:val="009F4083"/>
    <w:rsid w:val="00C8663D"/>
    <w:rsid w:val="00CC248E"/>
    <w:rsid w:val="00FA72BF"/>
    <w:rsid w:val="00FC7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4D65262-7DA8-4F8C-8BB9-3C13055A5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theme="minorBidi"/>
        <w:sz w:val="24"/>
        <w:szCs w:val="22"/>
        <w:lang w:val="en-GB" w:eastAsia="en-US" w:bidi="ar-SA"/>
      </w:rPr>
    </w:rPrDefault>
    <w:pPrDefault>
      <w:pPr>
        <w:spacing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240" w:lineRule="auto"/>
    </w:pPr>
  </w:style>
  <w:style w:type="paragraph" w:styleId="Heading6">
    <w:name w:val="heading 6"/>
    <w:basedOn w:val="Normal"/>
    <w:link w:val="Heading6Char"/>
    <w:uiPriority w:val="9"/>
    <w:qFormat/>
    <w:rsid w:val="006A09AC"/>
    <w:pPr>
      <w:spacing w:before="100" w:beforeAutospacing="1" w:after="100" w:afterAutospacing="1"/>
      <w:outlineLvl w:val="5"/>
    </w:pPr>
    <w:rPr>
      <w:rFonts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basedOn w:val="DefaultParagraphFont"/>
    <w:link w:val="Heading6"/>
    <w:uiPriority w:val="9"/>
    <w:rsid w:val="006A09AC"/>
    <w:rPr>
      <w:rFonts w:cs="Times New Roman"/>
      <w:b/>
      <w:bCs/>
      <w:sz w:val="15"/>
      <w:szCs w:val="15"/>
      <w:lang w:eastAsia="en-GB"/>
    </w:rPr>
  </w:style>
  <w:style w:type="paragraph" w:customStyle="1" w:styleId="font8">
    <w:name w:val="font_8"/>
    <w:basedOn w:val="Normal"/>
    <w:rsid w:val="006A09AC"/>
    <w:pPr>
      <w:spacing w:before="100" w:beforeAutospacing="1" w:after="100" w:afterAutospacing="1"/>
    </w:pPr>
    <w:rPr>
      <w:rFonts w:cs="Times New Roman"/>
      <w:szCs w:val="24"/>
      <w:lang w:eastAsia="en-GB"/>
    </w:rPr>
  </w:style>
  <w:style w:type="paragraph" w:customStyle="1" w:styleId="amalbody">
    <w:name w:val="amal body"/>
    <w:basedOn w:val="Normal"/>
    <w:qFormat/>
    <w:rsid w:val="00006260"/>
    <w:pPr>
      <w:autoSpaceDE w:val="0"/>
      <w:autoSpaceDN w:val="0"/>
      <w:adjustRightInd w:val="0"/>
      <w:spacing w:line="360" w:lineRule="auto"/>
      <w:jc w:val="both"/>
    </w:pPr>
    <w:rPr>
      <w:rFonts w:eastAsiaTheme="minorHAnsi" w:cstheme="minorHAnsi"/>
      <w:color w:val="000000" w:themeColor="text1"/>
      <w:szCs w:val="24"/>
    </w:rPr>
  </w:style>
  <w:style w:type="character" w:customStyle="1" w:styleId="title-text">
    <w:name w:val="title-text"/>
    <w:basedOn w:val="DefaultParagraphFont"/>
    <w:rsid w:val="00006260"/>
  </w:style>
  <w:style w:type="character" w:styleId="Emphasis">
    <w:name w:val="Emphasis"/>
    <w:basedOn w:val="DefaultParagraphFont"/>
    <w:uiPriority w:val="20"/>
    <w:qFormat/>
    <w:rsid w:val="00006260"/>
    <w:rPr>
      <w:b/>
      <w:bCs/>
      <w:i w:val="0"/>
      <w:iCs w:val="0"/>
    </w:rPr>
  </w:style>
  <w:style w:type="paragraph" w:styleId="PlainText">
    <w:name w:val="Plain Text"/>
    <w:basedOn w:val="Normal"/>
    <w:link w:val="PlainTextChar"/>
    <w:uiPriority w:val="99"/>
    <w:unhideWhenUsed/>
    <w:rsid w:val="00006260"/>
    <w:rPr>
      <w:rFonts w:ascii="Calibri" w:eastAsiaTheme="minorHAns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06260"/>
    <w:rPr>
      <w:rFonts w:ascii="Calibri" w:eastAsiaTheme="minorHAnsi" w:hAnsi="Calibri"/>
      <w:szCs w:val="21"/>
    </w:rPr>
  </w:style>
  <w:style w:type="paragraph" w:styleId="NoSpacing">
    <w:name w:val="No Spacing"/>
    <w:uiPriority w:val="1"/>
    <w:qFormat/>
    <w:rsid w:val="00381533"/>
    <w:pPr>
      <w:spacing w:line="360" w:lineRule="auto"/>
    </w:pPr>
    <w:rPr>
      <w:rFonts w:asciiTheme="majorBidi" w:eastAsiaTheme="minorHAnsi" w:hAnsiTheme="majorBidi"/>
    </w:rPr>
  </w:style>
  <w:style w:type="character" w:customStyle="1" w:styleId="st1">
    <w:name w:val="st1"/>
    <w:basedOn w:val="DefaultParagraphFont"/>
    <w:rsid w:val="008D7BAF"/>
  </w:style>
  <w:style w:type="paragraph" w:styleId="ListParagraph">
    <w:name w:val="List Paragraph"/>
    <w:basedOn w:val="Normal"/>
    <w:uiPriority w:val="34"/>
    <w:qFormat/>
    <w:rsid w:val="003E0368"/>
    <w:pPr>
      <w:widowControl w:val="0"/>
      <w:ind w:left="720"/>
    </w:pPr>
    <w:rPr>
      <w:rFonts w:ascii="Courier New" w:hAnsi="Courier New" w:cs="Times New Roman"/>
      <w:snapToGrid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5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31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165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48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085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915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10357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26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9734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87806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6810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35000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23CA9C9E</Template>
  <TotalTime>0</TotalTime>
  <Pages>1</Pages>
  <Words>553</Words>
  <Characters>3157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Thornalley, Paul</dc:creator>
  <cp:keywords/>
  <dc:description/>
  <cp:lastModifiedBy>Barrett, Sean</cp:lastModifiedBy>
  <cp:revision>2</cp:revision>
  <dcterms:created xsi:type="dcterms:W3CDTF">2018-05-01T13:19:00Z</dcterms:created>
  <dcterms:modified xsi:type="dcterms:W3CDTF">2018-05-01T13:19:00Z</dcterms:modified>
</cp:coreProperties>
</file>