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14D1" w:rsidRDefault="00AA14D1" w:rsidP="0023517A">
      <w:pPr>
        <w:spacing w:line="360" w:lineRule="auto"/>
        <w:jc w:val="center"/>
        <w:rPr>
          <w:b/>
          <w:sz w:val="36"/>
          <w:szCs w:val="36"/>
        </w:rPr>
      </w:pPr>
      <w:bookmarkStart w:id="0" w:name="_GoBack"/>
      <w:bookmarkEnd w:id="0"/>
      <w:r w:rsidRPr="0023517A">
        <w:rPr>
          <w:b/>
          <w:sz w:val="36"/>
          <w:szCs w:val="36"/>
        </w:rPr>
        <w:t>Silane Functionalisation of Silicon</w:t>
      </w:r>
    </w:p>
    <w:p w:rsidR="0023517A" w:rsidRPr="0023517A" w:rsidRDefault="0023517A" w:rsidP="0023517A">
      <w:pPr>
        <w:spacing w:line="360" w:lineRule="auto"/>
        <w:jc w:val="center"/>
        <w:rPr>
          <w:b/>
          <w:sz w:val="36"/>
          <w:szCs w:val="36"/>
        </w:rPr>
      </w:pPr>
      <w:r>
        <w:rPr>
          <w:b/>
          <w:sz w:val="36"/>
          <w:szCs w:val="36"/>
        </w:rPr>
        <w:t>Procedures and Advice</w:t>
      </w:r>
    </w:p>
    <w:p w:rsidR="00AA14D1" w:rsidRPr="0023517A" w:rsidRDefault="00AA14D1" w:rsidP="0023517A">
      <w:pPr>
        <w:spacing w:line="360" w:lineRule="auto"/>
      </w:pPr>
    </w:p>
    <w:p w:rsidR="00AA14D1" w:rsidRDefault="00AA14D1" w:rsidP="0023517A">
      <w:pPr>
        <w:pStyle w:val="ListParagraph"/>
        <w:numPr>
          <w:ilvl w:val="0"/>
          <w:numId w:val="2"/>
        </w:numPr>
        <w:spacing w:line="360" w:lineRule="auto"/>
        <w:ind w:left="-142" w:firstLine="502"/>
        <w:rPr>
          <w:b/>
        </w:rPr>
      </w:pPr>
      <w:r w:rsidRPr="0023517A">
        <w:rPr>
          <w:b/>
        </w:rPr>
        <w:t>Piranha Cleaning the surfaces (for both solution and vapour phase deposition)</w:t>
      </w:r>
    </w:p>
    <w:p w:rsidR="0023517A" w:rsidRPr="0023517A" w:rsidRDefault="0023517A" w:rsidP="0023517A">
      <w:pPr>
        <w:pStyle w:val="ListParagraph"/>
        <w:spacing w:line="360" w:lineRule="auto"/>
        <w:ind w:left="360"/>
        <w:rPr>
          <w:b/>
        </w:rPr>
      </w:pPr>
    </w:p>
    <w:p w:rsidR="00FB3CC9" w:rsidRPr="0023517A" w:rsidRDefault="00AA14D1" w:rsidP="0023517A">
      <w:pPr>
        <w:spacing w:line="360" w:lineRule="auto"/>
        <w:rPr>
          <w:b/>
        </w:rPr>
      </w:pPr>
      <w:r w:rsidRPr="0023517A">
        <w:t>[Caution piranha solution is very exothermic and corrosive, chill everything before use and mix slowly over ice. Leave to cool afterwards and then dilute before disposal]</w:t>
      </w:r>
    </w:p>
    <w:p w:rsidR="00FB3CC9" w:rsidRPr="0023517A" w:rsidRDefault="00FB3CC9" w:rsidP="0023517A">
      <w:pPr>
        <w:spacing w:line="360" w:lineRule="auto"/>
        <w:rPr>
          <w:b/>
        </w:rPr>
      </w:pPr>
    </w:p>
    <w:p w:rsidR="00AA14D1" w:rsidRPr="0023517A" w:rsidRDefault="00AA14D1" w:rsidP="0023517A">
      <w:pPr>
        <w:spacing w:line="360" w:lineRule="auto"/>
        <w:rPr>
          <w:color w:val="943634" w:themeColor="accent2" w:themeShade="BF"/>
        </w:rPr>
      </w:pPr>
      <w:r w:rsidRPr="0023517A">
        <w:rPr>
          <w:color w:val="943634" w:themeColor="accent2" w:themeShade="BF"/>
        </w:rPr>
        <w:t>The surfaces were placed into a 3:1 (v/v) mixture of 98% sulphuric acid and 30% hydrogen peroxide (12 mL in total), on ice, for 20 minutes, then rinsed with deionised water and dried in a gentle stream of dry nitrogen</w:t>
      </w:r>
      <w:r w:rsidR="00211A7B" w:rsidRPr="0023517A">
        <w:rPr>
          <w:color w:val="943634" w:themeColor="accent2" w:themeShade="BF"/>
        </w:rPr>
        <w:t xml:space="preserve"> (chase off water droplets rather than trying to evaporate them, as this can leave behind contaminants)</w:t>
      </w:r>
      <w:r w:rsidRPr="0023517A">
        <w:rPr>
          <w:color w:val="943634" w:themeColor="accent2" w:themeShade="BF"/>
        </w:rPr>
        <w:t>.</w:t>
      </w:r>
    </w:p>
    <w:p w:rsidR="00AA14D1" w:rsidRPr="0023517A" w:rsidRDefault="00AA14D1" w:rsidP="0023517A">
      <w:pPr>
        <w:pStyle w:val="ListParagraph"/>
        <w:spacing w:line="360" w:lineRule="auto"/>
        <w:ind w:left="360"/>
      </w:pPr>
    </w:p>
    <w:p w:rsidR="00AA14D1" w:rsidRDefault="00AA14D1" w:rsidP="0023517A">
      <w:pPr>
        <w:pStyle w:val="ListParagraph"/>
        <w:numPr>
          <w:ilvl w:val="0"/>
          <w:numId w:val="5"/>
        </w:numPr>
        <w:spacing w:line="360" w:lineRule="auto"/>
        <w:rPr>
          <w:b/>
        </w:rPr>
      </w:pPr>
      <w:r w:rsidRPr="0023517A">
        <w:rPr>
          <w:b/>
        </w:rPr>
        <w:t>UV/ Ozone cleaning</w:t>
      </w:r>
      <w:r w:rsidR="00211A7B" w:rsidRPr="0023517A">
        <w:rPr>
          <w:b/>
        </w:rPr>
        <w:t xml:space="preserve"> surfaces (for both solution and vapour phase deposition)</w:t>
      </w:r>
    </w:p>
    <w:p w:rsidR="0023517A" w:rsidRPr="0023517A" w:rsidRDefault="0023517A" w:rsidP="0023517A">
      <w:pPr>
        <w:pStyle w:val="ListParagraph"/>
        <w:spacing w:line="360" w:lineRule="auto"/>
        <w:rPr>
          <w:b/>
        </w:rPr>
      </w:pPr>
    </w:p>
    <w:p w:rsidR="00AA14D1" w:rsidRPr="0023517A" w:rsidRDefault="00AA14D1" w:rsidP="0023517A">
      <w:pPr>
        <w:spacing w:line="360" w:lineRule="auto"/>
      </w:pPr>
      <w:r w:rsidRPr="0023517A">
        <w:t xml:space="preserve">As an alternative to piranha solution cleaning, I tried </w:t>
      </w:r>
      <w:r w:rsidR="00FB3CC9" w:rsidRPr="0023517A">
        <w:t>UV/ Ozone cleaning</w:t>
      </w:r>
      <w:r w:rsidRPr="0023517A">
        <w:t>, as it introduces bound hydroxyl groups (and other reactive oxygen containing species) onto the surface, which are required for the further surface modification.</w:t>
      </w:r>
      <w:r w:rsidRPr="0023517A">
        <w:fldChar w:fldCharType="begin"/>
      </w:r>
      <w:r w:rsidRPr="0023517A">
        <w:instrText xml:space="preserve"> ADDIN EN.CITE &lt;EndNote&gt;&lt;Cite&gt;&lt;Author&gt;Vig&lt;/Author&gt;&lt;Year&gt;1985&lt;/Year&gt;&lt;IDText&gt;UV OZONE CLEANING OF SURFACES&lt;/IDText&gt;&lt;DisplayText&gt;&lt;style face="superscript"&gt;21&lt;/style&gt;&lt;/DisplayText&gt;&lt;record&gt;&lt;dates&gt;&lt;pub-dates&gt;&lt;date&gt;1985&lt;/date&gt;&lt;/pub-dates&gt;&lt;year&gt;1985&lt;/year&gt;&lt;/dates&gt;&lt;urls&gt;&lt;related-urls&gt;&lt;url&gt;&amp;lt;Go to ISI&amp;gt;://WOS:A1985AKX4900160&lt;/url&gt;&lt;/related-urls&gt;&lt;/urls&gt;&lt;isbn&gt;0734-2101&lt;/isbn&gt;&lt;titles&gt;&lt;title&gt;UV OZONE CLEANING OF SURFACES&lt;/title&gt;&lt;secondary-title&gt;Journal of Vacuum Science &amp;amp; Technology a-Vacuum Surfaces and Films&lt;/secondary-title&gt;&lt;/titles&gt;&lt;pages&gt;1027-1034&lt;/pages&gt;&lt;number&gt;3&lt;/number&gt;&lt;contributors&gt;&lt;authors&gt;&lt;author&gt;Vig, J. R.&lt;/author&gt;&lt;/authors&gt;&lt;/contributors&gt;&lt;added-date format="utc"&gt;1389183622&lt;/added-date&gt;&lt;ref-type name="Journal Article"&gt;17&lt;/ref-type&gt;&lt;rec-number&gt;261&lt;/rec-number&gt;&lt;last-updated-date format="utc"&gt;1389183622&lt;/last-updated-date&gt;&lt;accession-num&gt;WOS:A1985AKX4900160&lt;/accession-num&gt;&lt;electronic-resource-num&gt;10.1116/1.573115&lt;/electronic-resource-num&gt;&lt;volume&gt;3&lt;/volume&gt;&lt;/record&gt;&lt;/Cite&gt;&lt;/EndNote&gt;</w:instrText>
      </w:r>
      <w:r w:rsidRPr="0023517A">
        <w:fldChar w:fldCharType="end"/>
      </w:r>
      <w:r w:rsidRPr="0023517A">
        <w:t xml:space="preserve"> It was proposed that the acidic conditions used in piranha cleaning could </w:t>
      </w:r>
      <w:r w:rsidR="00FB3CC9" w:rsidRPr="0023517A">
        <w:t xml:space="preserve">be </w:t>
      </w:r>
      <w:r w:rsidRPr="0023517A">
        <w:t>result</w:t>
      </w:r>
      <w:r w:rsidR="00FB3CC9" w:rsidRPr="0023517A">
        <w:t>ing</w:t>
      </w:r>
      <w:r w:rsidRPr="0023517A">
        <w:t xml:space="preserve"> in protonated hydroxyl groups on the surface and this could be hindering the silane attachment, whereas UV/ Ozone generates deprotonated hydroxyl groups, which may</w:t>
      </w:r>
      <w:r w:rsidR="00FB3CC9" w:rsidRPr="0023517A">
        <w:t xml:space="preserve"> react better with the silanes. However </w:t>
      </w:r>
      <w:r w:rsidRPr="0023517A">
        <w:t>I didn’</w:t>
      </w:r>
      <w:r w:rsidR="00325B4E">
        <w:t>t find any real improvement to my surfaces when</w:t>
      </w:r>
      <w:r w:rsidRPr="0023517A">
        <w:t xml:space="preserve"> using the UV/Ozone cleaning in place of piranha solution; although it has the obvious benefits o</w:t>
      </w:r>
      <w:r w:rsidR="00211A7B" w:rsidRPr="0023517A">
        <w:t>f removing the need to</w:t>
      </w:r>
      <w:r w:rsidRPr="0023517A">
        <w:t xml:space="preserve"> have corrosive piranha solution in the lab.</w:t>
      </w:r>
      <w:r w:rsidR="00FB3CC9" w:rsidRPr="0023517A">
        <w:t xml:space="preserve"> The use of UV/ Ozone cleaning, in place of the piranha cleaning, had no effect on the resulting silanisation, as seen by DSA and ellipsometry. Additionally, using the two methods in tandem (piranha clean then UV/ Ozone clean) also produced no differences in surface thickness or uniformity. </w:t>
      </w:r>
      <w:r w:rsidRPr="0023517A">
        <w:t xml:space="preserve">Should you wish to give it a go, I’ve listed my procedure below. </w:t>
      </w:r>
    </w:p>
    <w:p w:rsidR="00AA14D1" w:rsidRPr="0023517A" w:rsidRDefault="00AA14D1" w:rsidP="0023517A">
      <w:pPr>
        <w:spacing w:line="360" w:lineRule="auto"/>
        <w:ind w:left="360"/>
      </w:pPr>
    </w:p>
    <w:p w:rsidR="00AA14D1" w:rsidRDefault="00AA14D1" w:rsidP="0023517A">
      <w:pPr>
        <w:spacing w:line="360" w:lineRule="auto"/>
        <w:rPr>
          <w:color w:val="943634" w:themeColor="accent2" w:themeShade="BF"/>
        </w:rPr>
      </w:pPr>
      <w:r w:rsidRPr="0023517A">
        <w:rPr>
          <w:color w:val="943634" w:themeColor="accent2" w:themeShade="BF"/>
        </w:rPr>
        <w:t xml:space="preserve">The UV/Ozone cleaning process was carried out using a </w:t>
      </w:r>
      <w:proofErr w:type="spellStart"/>
      <w:r w:rsidRPr="0023517A">
        <w:rPr>
          <w:color w:val="943634" w:themeColor="accent2" w:themeShade="BF"/>
        </w:rPr>
        <w:t>Novascan</w:t>
      </w:r>
      <w:proofErr w:type="spellEnd"/>
      <w:r w:rsidRPr="0023517A">
        <w:rPr>
          <w:color w:val="943634" w:themeColor="accent2" w:themeShade="BF"/>
        </w:rPr>
        <w:t xml:space="preserve"> PSD-UVT, which contains </w:t>
      </w:r>
      <w:proofErr w:type="gramStart"/>
      <w:r w:rsidRPr="0023517A">
        <w:rPr>
          <w:color w:val="943634" w:themeColor="accent2" w:themeShade="BF"/>
        </w:rPr>
        <w:t>a</w:t>
      </w:r>
      <w:proofErr w:type="gramEnd"/>
      <w:r w:rsidRPr="0023517A">
        <w:rPr>
          <w:color w:val="943634" w:themeColor="accent2" w:themeShade="BF"/>
        </w:rPr>
        <w:t xml:space="preserve"> Hg lamp (185 nm and 254 nm, 20 </w:t>
      </w:r>
      <w:proofErr w:type="spellStart"/>
      <w:r w:rsidRPr="0023517A">
        <w:rPr>
          <w:color w:val="943634" w:themeColor="accent2" w:themeShade="BF"/>
        </w:rPr>
        <w:t>mW</w:t>
      </w:r>
      <w:proofErr w:type="spellEnd"/>
      <w:r w:rsidRPr="0023517A">
        <w:rPr>
          <w:color w:val="943634" w:themeColor="accent2" w:themeShade="BF"/>
        </w:rPr>
        <w:t>/cm</w:t>
      </w:r>
      <w:r w:rsidRPr="0023517A">
        <w:rPr>
          <w:color w:val="943634" w:themeColor="accent2" w:themeShade="BF"/>
          <w:sz w:val="15"/>
          <w:szCs w:val="15"/>
        </w:rPr>
        <w:t>2</w:t>
      </w:r>
      <w:r w:rsidRPr="0023517A">
        <w:rPr>
          <w:color w:val="943634" w:themeColor="accent2" w:themeShade="BF"/>
        </w:rPr>
        <w:t xml:space="preserve">) as the UV source. The samples are placed in the sealed, air-filled chamber at a distance of 25 mm from the lamp. The 185 nm wavelength photons are absorbed by the atmospheric oxygen within the chamber, which </w:t>
      </w:r>
      <w:r w:rsidRPr="0023517A">
        <w:rPr>
          <w:color w:val="943634" w:themeColor="accent2" w:themeShade="BF"/>
        </w:rPr>
        <w:lastRenderedPageBreak/>
        <w:t>forms O</w:t>
      </w:r>
      <w:r w:rsidRPr="0023517A">
        <w:rPr>
          <w:color w:val="943634" w:themeColor="accent2" w:themeShade="BF"/>
          <w:sz w:val="15"/>
          <w:szCs w:val="15"/>
        </w:rPr>
        <w:t>3</w:t>
      </w:r>
      <w:r w:rsidRPr="0023517A">
        <w:rPr>
          <w:color w:val="943634" w:themeColor="accent2" w:themeShade="BF"/>
        </w:rPr>
        <w:t>. The 254 nm wavelength photons are absorbed by the O</w:t>
      </w:r>
      <w:r w:rsidRPr="0023517A">
        <w:rPr>
          <w:color w:val="943634" w:themeColor="accent2" w:themeShade="BF"/>
          <w:sz w:val="15"/>
          <w:szCs w:val="15"/>
        </w:rPr>
        <w:t xml:space="preserve">3 </w:t>
      </w:r>
      <w:r w:rsidRPr="0023517A">
        <w:rPr>
          <w:color w:val="943634" w:themeColor="accent2" w:themeShade="BF"/>
        </w:rPr>
        <w:t>and by the hydrocarbons, which results in their decomposition. When the O</w:t>
      </w:r>
      <w:r w:rsidRPr="0023517A">
        <w:rPr>
          <w:color w:val="943634" w:themeColor="accent2" w:themeShade="BF"/>
          <w:vertAlign w:val="subscript"/>
        </w:rPr>
        <w:t xml:space="preserve">3 </w:t>
      </w:r>
      <w:r w:rsidRPr="0023517A">
        <w:rPr>
          <w:color w:val="943634" w:themeColor="accent2" w:themeShade="BF"/>
        </w:rPr>
        <w:t>decomposes, atomic oxygen is formed and it is this very reactive species that is the main oxidising agent. The surfaces were treated for either 5 or 10 minutes and then immediately removed and functionalised with the silane of interest.</w:t>
      </w:r>
    </w:p>
    <w:p w:rsidR="0023517A" w:rsidRPr="0023517A" w:rsidRDefault="0023517A" w:rsidP="0023517A">
      <w:pPr>
        <w:spacing w:line="360" w:lineRule="auto"/>
        <w:rPr>
          <w:color w:val="943634" w:themeColor="accent2" w:themeShade="BF"/>
        </w:rPr>
      </w:pPr>
    </w:p>
    <w:p w:rsidR="00AA14D1" w:rsidRPr="0023517A" w:rsidRDefault="00AA14D1" w:rsidP="0023517A">
      <w:pPr>
        <w:pStyle w:val="Sub-subheading"/>
        <w:numPr>
          <w:ilvl w:val="0"/>
          <w:numId w:val="5"/>
        </w:numPr>
        <w:spacing w:before="0"/>
        <w:rPr>
          <w:color w:val="auto"/>
        </w:rPr>
      </w:pPr>
      <w:bookmarkStart w:id="1" w:name="_Toc377137633"/>
      <w:r w:rsidRPr="0023517A">
        <w:rPr>
          <w:color w:val="auto"/>
        </w:rPr>
        <w:t>Solution Phase Silanization</w:t>
      </w:r>
      <w:bookmarkEnd w:id="1"/>
    </w:p>
    <w:p w:rsidR="00AA14D1" w:rsidRPr="0023517A" w:rsidRDefault="00AA14D1" w:rsidP="0023517A">
      <w:pPr>
        <w:pStyle w:val="Sub-subheading"/>
        <w:numPr>
          <w:ilvl w:val="0"/>
          <w:numId w:val="0"/>
        </w:numPr>
        <w:spacing w:before="0"/>
        <w:ind w:left="720"/>
        <w:rPr>
          <w:color w:val="auto"/>
        </w:rPr>
      </w:pPr>
    </w:p>
    <w:p w:rsidR="00AA14D1" w:rsidRDefault="00AA14D1" w:rsidP="0023517A">
      <w:pPr>
        <w:spacing w:line="360" w:lineRule="auto"/>
        <w:rPr>
          <w:color w:val="943634" w:themeColor="accent2" w:themeShade="BF"/>
        </w:rPr>
      </w:pPr>
      <w:r w:rsidRPr="0023517A">
        <w:rPr>
          <w:color w:val="943634" w:themeColor="accent2" w:themeShade="BF"/>
        </w:rPr>
        <w:t>Immediately following the cleaning process, the samples were immersed into a (3-(</w:t>
      </w:r>
      <w:proofErr w:type="spellStart"/>
      <w:r w:rsidRPr="0023517A">
        <w:rPr>
          <w:color w:val="943634" w:themeColor="accent2" w:themeShade="BF"/>
        </w:rPr>
        <w:t>Trimethyoxysilyl</w:t>
      </w:r>
      <w:proofErr w:type="spellEnd"/>
      <w:r w:rsidRPr="0023517A">
        <w:rPr>
          <w:color w:val="943634" w:themeColor="accent2" w:themeShade="BF"/>
        </w:rPr>
        <w:t>) propyl acrylate (5 mL, 2 % v/v in toluene, 2 hours, RT), washed with toluene (5 x 2 mL) and water (5 x 2 mL), then blown under a stream of nitrogen until dry. This process applied to the glass slides and the silicon wafers.</w:t>
      </w:r>
    </w:p>
    <w:p w:rsidR="0023517A" w:rsidRPr="0023517A" w:rsidRDefault="0023517A" w:rsidP="0023517A">
      <w:pPr>
        <w:spacing w:line="360" w:lineRule="auto"/>
        <w:rPr>
          <w:color w:val="943634" w:themeColor="accent2" w:themeShade="BF"/>
        </w:rPr>
      </w:pPr>
    </w:p>
    <w:p w:rsidR="00AA14D1" w:rsidRPr="0023517A" w:rsidRDefault="00AA14D1" w:rsidP="0023517A">
      <w:pPr>
        <w:pStyle w:val="Sub-subheading"/>
        <w:numPr>
          <w:ilvl w:val="0"/>
          <w:numId w:val="5"/>
        </w:numPr>
        <w:spacing w:before="0"/>
        <w:rPr>
          <w:color w:val="auto"/>
        </w:rPr>
      </w:pPr>
      <w:bookmarkStart w:id="2" w:name="_Ref376617994"/>
      <w:bookmarkStart w:id="3" w:name="_Toc377137634"/>
      <w:r w:rsidRPr="0023517A">
        <w:rPr>
          <w:color w:val="auto"/>
        </w:rPr>
        <w:t>Vapour Phase Silanisation</w:t>
      </w:r>
      <w:bookmarkEnd w:id="2"/>
      <w:bookmarkEnd w:id="3"/>
    </w:p>
    <w:p w:rsidR="00FB3CC9" w:rsidRPr="0023517A" w:rsidRDefault="00FB3CC9" w:rsidP="0023517A">
      <w:pPr>
        <w:spacing w:line="360" w:lineRule="auto"/>
      </w:pPr>
    </w:p>
    <w:p w:rsidR="00FB3CC9" w:rsidRPr="0023517A" w:rsidRDefault="00FB3CC9" w:rsidP="0023517A">
      <w:pPr>
        <w:spacing w:line="360" w:lineRule="auto"/>
      </w:pPr>
      <w:r w:rsidRPr="0023517A">
        <w:t>When initially trialled in the standard lab desiccator, it was found that the pressure could not be reduced and then subsequently held at this reduced pressure sufficiently. After 1 hour no silane layer was observed by ellipsometry, after two, three and 24 hours a silane build up was observed only around the perimeter of the wafers</w:t>
      </w:r>
      <w:r w:rsidR="00211A7B" w:rsidRPr="0023517A">
        <w:t xml:space="preserve"> (as observed by ellipsometry)</w:t>
      </w:r>
      <w:r w:rsidRPr="0023517A">
        <w:t>. The thickness of this layer ranged from 2.5 to 6.5 nm. When a new desiccator, with a better seal, was used the typical silane thickness was 15 nm and this was uniform across the surface. This was comparable to the thickness achieved using solution phase silanisation.</w:t>
      </w:r>
      <w:r w:rsidR="0023517A" w:rsidRPr="0023517A">
        <w:t xml:space="preserve"> Lots of work in the Hatton Group looks at the effect of the vacuum pressure on resulting silane thickness and coverage, if that is of interest to you. Their papers can be found here </w:t>
      </w:r>
      <w:hyperlink r:id="rId5" w:history="1">
        <w:r w:rsidR="0023517A" w:rsidRPr="0023517A">
          <w:rPr>
            <w:rStyle w:val="Hyperlink"/>
            <w:color w:val="auto"/>
          </w:rPr>
          <w:t>http://www2.warwick.ac.uk/fac/sci/chemistry/research/hatton/hattongroup/publications/</w:t>
        </w:r>
      </w:hyperlink>
    </w:p>
    <w:p w:rsidR="00FB3CC9" w:rsidRPr="0023517A" w:rsidRDefault="00FB3CC9" w:rsidP="0023517A">
      <w:pPr>
        <w:pStyle w:val="Sub-subheading"/>
        <w:numPr>
          <w:ilvl w:val="0"/>
          <w:numId w:val="0"/>
        </w:numPr>
        <w:spacing w:before="0"/>
        <w:ind w:left="567" w:hanging="504"/>
        <w:rPr>
          <w:color w:val="auto"/>
        </w:rPr>
      </w:pPr>
    </w:p>
    <w:p w:rsidR="00AA14D1" w:rsidRPr="0023517A" w:rsidRDefault="00AA14D1" w:rsidP="0023517A">
      <w:pPr>
        <w:spacing w:line="360" w:lineRule="auto"/>
      </w:pPr>
      <w:r w:rsidRPr="0023517A">
        <w:rPr>
          <w:color w:val="943634" w:themeColor="accent2" w:themeShade="BF"/>
        </w:rPr>
        <w:t xml:space="preserve">As with the solution phase silanisation, the samples from piranha or UV/ Ozone cleaning were immediately </w:t>
      </w:r>
      <w:proofErr w:type="spellStart"/>
      <w:r w:rsidRPr="0023517A">
        <w:rPr>
          <w:color w:val="943634" w:themeColor="accent2" w:themeShade="BF"/>
        </w:rPr>
        <w:t>silanated</w:t>
      </w:r>
      <w:proofErr w:type="spellEnd"/>
      <w:r w:rsidRPr="0023517A">
        <w:rPr>
          <w:color w:val="943634" w:themeColor="accent2" w:themeShade="BF"/>
        </w:rPr>
        <w:t>, in order to prevent any contamination to the cleaned surface. They were transferred to an empty, clean desiccator in which was placed a small watch glass containing 3 drops of the silane. The desiccator was then put under vacuum, exposing the surfaces to the vapour of 3-(</w:t>
      </w:r>
      <w:proofErr w:type="spellStart"/>
      <w:r w:rsidRPr="0023517A">
        <w:rPr>
          <w:color w:val="943634" w:themeColor="accent2" w:themeShade="BF"/>
        </w:rPr>
        <w:t>Trimethyoxysilyl</w:t>
      </w:r>
      <w:proofErr w:type="spellEnd"/>
      <w:proofErr w:type="gramStart"/>
      <w:r w:rsidRPr="0023517A">
        <w:rPr>
          <w:color w:val="943634" w:themeColor="accent2" w:themeShade="BF"/>
        </w:rPr>
        <w:t>)-</w:t>
      </w:r>
      <w:proofErr w:type="gramEnd"/>
      <w:r w:rsidRPr="0023517A">
        <w:rPr>
          <w:color w:val="943634" w:themeColor="accent2" w:themeShade="BF"/>
        </w:rPr>
        <w:t xml:space="preserve"> propyl acrylate at 5 mbar for 4 hours</w:t>
      </w:r>
      <w:r w:rsidR="0023517A">
        <w:rPr>
          <w:color w:val="943634" w:themeColor="accent2" w:themeShade="BF"/>
        </w:rPr>
        <w:t>.</w:t>
      </w:r>
      <w:r w:rsidR="00211A7B" w:rsidRPr="0023517A">
        <w:t xml:space="preserve"> </w:t>
      </w:r>
    </w:p>
    <w:p w:rsidR="00211A7B" w:rsidRPr="0023517A" w:rsidRDefault="00211A7B" w:rsidP="0023517A">
      <w:pPr>
        <w:spacing w:line="360" w:lineRule="auto"/>
      </w:pPr>
    </w:p>
    <w:p w:rsidR="00AA14D1" w:rsidRPr="0023517A" w:rsidRDefault="00FB3CC9" w:rsidP="0023517A">
      <w:pPr>
        <w:pStyle w:val="Sub-subheading"/>
        <w:numPr>
          <w:ilvl w:val="0"/>
          <w:numId w:val="5"/>
        </w:numPr>
        <w:spacing w:before="0"/>
        <w:rPr>
          <w:color w:val="auto"/>
        </w:rPr>
      </w:pPr>
      <w:bookmarkStart w:id="4" w:name="_Toc377137620"/>
      <w:r w:rsidRPr="0023517A">
        <w:rPr>
          <w:color w:val="auto"/>
        </w:rPr>
        <w:lastRenderedPageBreak/>
        <w:t xml:space="preserve">General advice for </w:t>
      </w:r>
      <w:r w:rsidR="00AA14D1" w:rsidRPr="0023517A">
        <w:rPr>
          <w:color w:val="auto"/>
        </w:rPr>
        <w:t>Optimising the Silanisation</w:t>
      </w:r>
      <w:bookmarkEnd w:id="4"/>
      <w:r w:rsidRPr="0023517A">
        <w:rPr>
          <w:color w:val="auto"/>
        </w:rPr>
        <w:t xml:space="preserve"> Process</w:t>
      </w:r>
    </w:p>
    <w:p w:rsidR="00FB3CC9" w:rsidRPr="0023517A" w:rsidRDefault="00FB3CC9" w:rsidP="0023517A">
      <w:pPr>
        <w:pStyle w:val="Sub-subheading"/>
        <w:numPr>
          <w:ilvl w:val="0"/>
          <w:numId w:val="0"/>
        </w:numPr>
        <w:spacing w:before="0"/>
        <w:ind w:left="567" w:hanging="504"/>
        <w:rPr>
          <w:color w:val="auto"/>
        </w:rPr>
      </w:pPr>
    </w:p>
    <w:p w:rsidR="00211A7B" w:rsidRDefault="00FB3CC9" w:rsidP="0023517A">
      <w:pPr>
        <w:pStyle w:val="ListParagraph"/>
        <w:numPr>
          <w:ilvl w:val="0"/>
          <w:numId w:val="4"/>
        </w:numPr>
        <w:spacing w:line="360" w:lineRule="auto"/>
      </w:pPr>
      <w:r w:rsidRPr="0023517A">
        <w:t>S</w:t>
      </w:r>
      <w:r w:rsidR="00AA14D1" w:rsidRPr="0023517A">
        <w:t>onication, for cleaning purposes</w:t>
      </w:r>
      <w:r w:rsidRPr="0023517A">
        <w:t xml:space="preserve"> (e.g. to remove excess sticky build-up)</w:t>
      </w:r>
      <w:r w:rsidR="00AA14D1" w:rsidRPr="0023517A">
        <w:t xml:space="preserve">, at any stage should be avoided as it can disrupt the silane crosslinking and result in detachment of the bound layer. </w:t>
      </w:r>
    </w:p>
    <w:p w:rsidR="0023517A" w:rsidRPr="0023517A" w:rsidRDefault="0023517A" w:rsidP="0023517A">
      <w:pPr>
        <w:pStyle w:val="ListParagraph"/>
        <w:spacing w:line="360" w:lineRule="auto"/>
      </w:pPr>
    </w:p>
    <w:p w:rsidR="00211A7B" w:rsidRDefault="00AA14D1" w:rsidP="0023517A">
      <w:pPr>
        <w:pStyle w:val="ListParagraph"/>
        <w:numPr>
          <w:ilvl w:val="0"/>
          <w:numId w:val="4"/>
        </w:numPr>
        <w:spacing w:line="360" w:lineRule="auto"/>
      </w:pPr>
      <w:r w:rsidRPr="0023517A">
        <w:t xml:space="preserve">Rinsing the </w:t>
      </w:r>
      <w:proofErr w:type="spellStart"/>
      <w:r w:rsidRPr="0023517A">
        <w:t>silanated</w:t>
      </w:r>
      <w:proofErr w:type="spellEnd"/>
      <w:r w:rsidRPr="0023517A">
        <w:t xml:space="preserve"> samples with toluene is sufficient to remove any unbound </w:t>
      </w:r>
      <w:r w:rsidR="00211A7B" w:rsidRPr="0023517A">
        <w:t>silane.</w:t>
      </w:r>
    </w:p>
    <w:p w:rsidR="0023517A" w:rsidRPr="0023517A" w:rsidRDefault="0023517A" w:rsidP="0023517A">
      <w:pPr>
        <w:pStyle w:val="ListParagraph"/>
        <w:spacing w:line="360" w:lineRule="auto"/>
      </w:pPr>
    </w:p>
    <w:p w:rsidR="00211A7B" w:rsidRDefault="00AA14D1" w:rsidP="0023517A">
      <w:pPr>
        <w:pStyle w:val="ListParagraph"/>
        <w:numPr>
          <w:ilvl w:val="0"/>
          <w:numId w:val="4"/>
        </w:numPr>
        <w:spacing w:line="360" w:lineRule="auto"/>
      </w:pPr>
      <w:r w:rsidRPr="0023517A">
        <w:t xml:space="preserve">Water should always be used for the final washing step, regardless of the solvent used in the previous steps. This is because care must be taken to chase off the water droplets from the surface when conducting the final rinse, in order to prevent evaporation from the surfaces. </w:t>
      </w:r>
    </w:p>
    <w:p w:rsidR="0023517A" w:rsidRPr="0023517A" w:rsidRDefault="0023517A" w:rsidP="0023517A">
      <w:pPr>
        <w:pStyle w:val="ListParagraph"/>
        <w:spacing w:line="360" w:lineRule="auto"/>
      </w:pPr>
    </w:p>
    <w:p w:rsidR="00211A7B" w:rsidRDefault="00AA14D1" w:rsidP="0023517A">
      <w:pPr>
        <w:pStyle w:val="ListParagraph"/>
        <w:numPr>
          <w:ilvl w:val="0"/>
          <w:numId w:val="4"/>
        </w:numPr>
        <w:spacing w:line="360" w:lineRule="auto"/>
      </w:pPr>
      <w:r w:rsidRPr="0023517A">
        <w:t xml:space="preserve">Use of standard, regularly used laboratory ethanol and deionised water wash bottles resulted in visibly inhomogeneous surfaces, as any contaminants stick so readily to the cleaned surfaces. Specific wash bottles, used only for surface rinsing should be designated and kept solely for this purpose. </w:t>
      </w:r>
      <w:r w:rsidR="00211A7B" w:rsidRPr="0023517A">
        <w:t xml:space="preserve">Also, make sure all the glassware is perfectly clean, giving it a rinse with the leftover piranha solution after you’ve finished using it for the surfaces is a good idea. All of these points made a huge difference to the uniformity and thinness of my silane layers for the solution phase process! </w:t>
      </w:r>
    </w:p>
    <w:p w:rsidR="0023517A" w:rsidRPr="0023517A" w:rsidRDefault="0023517A" w:rsidP="0023517A">
      <w:pPr>
        <w:pStyle w:val="ListParagraph"/>
        <w:spacing w:line="360" w:lineRule="auto"/>
      </w:pPr>
    </w:p>
    <w:p w:rsidR="00AA14D1" w:rsidRPr="0023517A" w:rsidRDefault="00211A7B" w:rsidP="0023517A">
      <w:pPr>
        <w:pStyle w:val="ListParagraph"/>
        <w:numPr>
          <w:ilvl w:val="0"/>
          <w:numId w:val="4"/>
        </w:numPr>
        <w:spacing w:line="360" w:lineRule="auto"/>
      </w:pPr>
      <w:r w:rsidRPr="0023517A">
        <w:t>I found</w:t>
      </w:r>
      <w:r w:rsidR="00AA14D1" w:rsidRPr="0023517A">
        <w:t xml:space="preserve"> cu</w:t>
      </w:r>
      <w:r w:rsidRPr="0023517A">
        <w:t>ring to be</w:t>
      </w:r>
      <w:r w:rsidR="00AA14D1" w:rsidRPr="0023517A">
        <w:t xml:space="preserve"> unnecessary for these samples. No difference was observed in silane layer thickness or stability if cured in the vacuum oven overnight prior to measuring. </w:t>
      </w:r>
    </w:p>
    <w:sectPr w:rsidR="00AA14D1" w:rsidRPr="0023517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E6041"/>
    <w:multiLevelType w:val="hybridMultilevel"/>
    <w:tmpl w:val="8B3ABE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1D0C55"/>
    <w:multiLevelType w:val="hybridMultilevel"/>
    <w:tmpl w:val="8B3ABE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C646DA1"/>
    <w:multiLevelType w:val="hybridMultilevel"/>
    <w:tmpl w:val="253E3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279120B"/>
    <w:multiLevelType w:val="multilevel"/>
    <w:tmpl w:val="9A3A1B72"/>
    <w:lvl w:ilvl="0">
      <w:start w:val="1"/>
      <w:numFmt w:val="decimal"/>
      <w:lvlText w:val="%1."/>
      <w:lvlJc w:val="left"/>
      <w:pPr>
        <w:ind w:left="360" w:hanging="360"/>
      </w:pPr>
    </w:lvl>
    <w:lvl w:ilvl="1">
      <w:start w:val="1"/>
      <w:numFmt w:val="decimal"/>
      <w:pStyle w:val="Subheading"/>
      <w:lvlText w:val="%1.%2."/>
      <w:lvlJc w:val="left"/>
      <w:pPr>
        <w:ind w:left="1425" w:hanging="432"/>
      </w:pPr>
    </w:lvl>
    <w:lvl w:ilvl="2">
      <w:start w:val="1"/>
      <w:numFmt w:val="decimal"/>
      <w:pStyle w:val="Sub-subheading"/>
      <w:lvlText w:val="%1.%2.%3."/>
      <w:lvlJc w:val="left"/>
      <w:pPr>
        <w:ind w:left="504" w:hanging="504"/>
      </w:pPr>
    </w:lvl>
    <w:lvl w:ilvl="3">
      <w:start w:val="1"/>
      <w:numFmt w:val="decimal"/>
      <w:pStyle w:val="Sub-subheadingthesis"/>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A367939"/>
    <w:multiLevelType w:val="hybridMultilevel"/>
    <w:tmpl w:val="C46A9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4D1"/>
    <w:rsid w:val="00211A7B"/>
    <w:rsid w:val="0023517A"/>
    <w:rsid w:val="00315D2B"/>
    <w:rsid w:val="00325B4E"/>
    <w:rsid w:val="006E7ADC"/>
    <w:rsid w:val="00A05F4B"/>
    <w:rsid w:val="00AA14D1"/>
    <w:rsid w:val="00E43143"/>
    <w:rsid w:val="00FB3C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7CFC83-4C90-4872-97BF-3D7825A1E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14D1"/>
    <w:pPr>
      <w:spacing w:after="0" w:line="480" w:lineRule="auto"/>
      <w:jc w:val="both"/>
    </w:pPr>
    <w:rPr>
      <w:rFonts w:ascii="Times New Roman" w:hAnsi="Times New Roman" w:cs="Times New Roman"/>
      <w:sz w:val="24"/>
      <w:szCs w:val="24"/>
    </w:rPr>
  </w:style>
  <w:style w:type="paragraph" w:styleId="Heading2">
    <w:name w:val="heading 2"/>
    <w:basedOn w:val="Normal"/>
    <w:next w:val="Normal"/>
    <w:link w:val="Heading2Char"/>
    <w:uiPriority w:val="9"/>
    <w:semiHidden/>
    <w:unhideWhenUsed/>
    <w:qFormat/>
    <w:rsid w:val="00AA14D1"/>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A14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nhideWhenUsed/>
    <w:rsid w:val="00AA14D1"/>
    <w:pPr>
      <w:spacing w:line="240" w:lineRule="auto"/>
    </w:pPr>
    <w:rPr>
      <w:b/>
      <w:color w:val="4F81BD" w:themeColor="accent1"/>
      <w:sz w:val="18"/>
      <w:szCs w:val="18"/>
    </w:rPr>
  </w:style>
  <w:style w:type="paragraph" w:customStyle="1" w:styleId="Subheading">
    <w:name w:val="Subheading"/>
    <w:basedOn w:val="Heading2"/>
    <w:qFormat/>
    <w:rsid w:val="00AA14D1"/>
    <w:pPr>
      <w:numPr>
        <w:ilvl w:val="1"/>
        <w:numId w:val="1"/>
      </w:numPr>
      <w:tabs>
        <w:tab w:val="num" w:pos="360"/>
      </w:tabs>
      <w:spacing w:line="360" w:lineRule="auto"/>
      <w:ind w:left="792" w:firstLine="0"/>
    </w:pPr>
    <w:rPr>
      <w:rFonts w:ascii="Times New Roman" w:hAnsi="Times New Roman" w:cs="Times New Roman"/>
      <w:bCs w:val="0"/>
      <w:sz w:val="28"/>
      <w:szCs w:val="28"/>
    </w:rPr>
  </w:style>
  <w:style w:type="paragraph" w:customStyle="1" w:styleId="Sub-subheading">
    <w:name w:val="Sub-subheading"/>
    <w:basedOn w:val="Heading2"/>
    <w:link w:val="Sub-subheadingChar"/>
    <w:qFormat/>
    <w:rsid w:val="00AA14D1"/>
    <w:pPr>
      <w:numPr>
        <w:ilvl w:val="2"/>
        <w:numId w:val="1"/>
      </w:numPr>
      <w:spacing w:line="360" w:lineRule="auto"/>
      <w:ind w:left="567"/>
    </w:pPr>
    <w:rPr>
      <w:rFonts w:ascii="Times New Roman" w:hAnsi="Times New Roman" w:cs="Times New Roman"/>
      <w:bCs w:val="0"/>
      <w:noProof/>
      <w:sz w:val="24"/>
      <w:szCs w:val="24"/>
      <w:lang w:eastAsia="en-GB"/>
    </w:rPr>
  </w:style>
  <w:style w:type="character" w:customStyle="1" w:styleId="Sub-subheadingChar">
    <w:name w:val="Sub-subheading Char"/>
    <w:basedOn w:val="Heading2Char"/>
    <w:link w:val="Sub-subheading"/>
    <w:rsid w:val="00AA14D1"/>
    <w:rPr>
      <w:rFonts w:ascii="Times New Roman" w:eastAsiaTheme="majorEastAsia" w:hAnsi="Times New Roman" w:cs="Times New Roman"/>
      <w:b/>
      <w:bCs w:val="0"/>
      <w:noProof/>
      <w:color w:val="4F81BD" w:themeColor="accent1"/>
      <w:sz w:val="24"/>
      <w:szCs w:val="24"/>
      <w:lang w:eastAsia="en-GB"/>
    </w:rPr>
  </w:style>
  <w:style w:type="paragraph" w:customStyle="1" w:styleId="Sub-subheadingthesis">
    <w:name w:val="Sub-sub heading thesis"/>
    <w:basedOn w:val="Sub-subheading"/>
    <w:qFormat/>
    <w:rsid w:val="00AA14D1"/>
    <w:pPr>
      <w:numPr>
        <w:ilvl w:val="3"/>
      </w:numPr>
      <w:tabs>
        <w:tab w:val="num" w:pos="360"/>
      </w:tabs>
    </w:pPr>
  </w:style>
  <w:style w:type="character" w:customStyle="1" w:styleId="Heading2Char">
    <w:name w:val="Heading 2 Char"/>
    <w:basedOn w:val="DefaultParagraphFont"/>
    <w:link w:val="Heading2"/>
    <w:uiPriority w:val="9"/>
    <w:semiHidden/>
    <w:rsid w:val="00AA14D1"/>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AA14D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4D1"/>
    <w:rPr>
      <w:rFonts w:ascii="Tahoma" w:hAnsi="Tahoma" w:cs="Tahoma"/>
      <w:sz w:val="16"/>
      <w:szCs w:val="16"/>
    </w:rPr>
  </w:style>
  <w:style w:type="paragraph" w:styleId="ListParagraph">
    <w:name w:val="List Paragraph"/>
    <w:basedOn w:val="Normal"/>
    <w:uiPriority w:val="34"/>
    <w:qFormat/>
    <w:rsid w:val="00AA14D1"/>
    <w:pPr>
      <w:ind w:left="720"/>
      <w:contextualSpacing/>
    </w:pPr>
  </w:style>
  <w:style w:type="character" w:styleId="Hyperlink">
    <w:name w:val="Hyperlink"/>
    <w:basedOn w:val="DefaultParagraphFont"/>
    <w:uiPriority w:val="99"/>
    <w:unhideWhenUsed/>
    <w:rsid w:val="00211A7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2.warwick.ac.uk/fac/sci/chemistry/research/hatton/hattongroup/publication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D448CF8F</Template>
  <TotalTime>0</TotalTime>
  <Pages>3</Pages>
  <Words>1007</Words>
  <Characters>5743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chemist</dc:creator>
  <cp:lastModifiedBy>Biggs, Caroline</cp:lastModifiedBy>
  <cp:revision>2</cp:revision>
  <dcterms:created xsi:type="dcterms:W3CDTF">2017-09-11T15:01:00Z</dcterms:created>
  <dcterms:modified xsi:type="dcterms:W3CDTF">2017-09-11T15:01:00Z</dcterms:modified>
</cp:coreProperties>
</file>