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69" w:rsidRPr="009D7889" w:rsidRDefault="00535069" w:rsidP="0053506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D7889">
        <w:rPr>
          <w:b/>
          <w:bCs/>
          <w:sz w:val="32"/>
          <w:szCs w:val="32"/>
        </w:rPr>
        <w:t>H2020-RISE-FabSurfWar Kick-off Meeting</w:t>
      </w:r>
      <w:r w:rsidR="00BB35AA">
        <w:rPr>
          <w:b/>
          <w:bCs/>
          <w:sz w:val="32"/>
          <w:szCs w:val="32"/>
        </w:rPr>
        <w:t xml:space="preserve"> minutes</w:t>
      </w:r>
    </w:p>
    <w:p w:rsidR="00535069" w:rsidRDefault="00535069" w:rsidP="00535069">
      <w:pPr>
        <w:jc w:val="center"/>
        <w:rPr>
          <w:rFonts w:asciiTheme="minorBidi" w:hAnsiTheme="minorBidi"/>
          <w:sz w:val="20"/>
          <w:szCs w:val="20"/>
        </w:rPr>
      </w:pPr>
    </w:p>
    <w:p w:rsidR="00535069" w:rsidRPr="00535069" w:rsidRDefault="00535069" w:rsidP="00535069">
      <w:pPr>
        <w:jc w:val="center"/>
        <w:rPr>
          <w:rFonts w:asciiTheme="minorBidi" w:hAnsiTheme="minorBidi"/>
          <w:sz w:val="24"/>
          <w:szCs w:val="24"/>
        </w:rPr>
      </w:pPr>
      <w:r w:rsidRPr="00535069">
        <w:rPr>
          <w:rFonts w:asciiTheme="minorBidi" w:hAnsiTheme="minorBidi"/>
          <w:sz w:val="24"/>
          <w:szCs w:val="24"/>
        </w:rPr>
        <w:t>F308, School of Engineering, University of Warwick, Coventry CV4 7AL</w:t>
      </w:r>
    </w:p>
    <w:p w:rsidR="00535069" w:rsidRPr="00535069" w:rsidRDefault="00535069" w:rsidP="00535069">
      <w:pPr>
        <w:jc w:val="center"/>
        <w:rPr>
          <w:sz w:val="24"/>
          <w:szCs w:val="24"/>
        </w:rPr>
      </w:pPr>
      <w:r w:rsidRPr="00535069">
        <w:rPr>
          <w:rFonts w:asciiTheme="minorBidi" w:hAnsiTheme="minorBidi"/>
          <w:sz w:val="24"/>
          <w:szCs w:val="24"/>
        </w:rPr>
        <w:t>22nd May 2015</w:t>
      </w:r>
    </w:p>
    <w:p w:rsidR="00535069" w:rsidRPr="00322016" w:rsidRDefault="00535069" w:rsidP="00535069">
      <w:pPr>
        <w:rPr>
          <w:sz w:val="24"/>
          <w:szCs w:val="24"/>
        </w:rPr>
      </w:pPr>
    </w:p>
    <w:p w:rsidR="00535069" w:rsidRPr="00322016" w:rsidRDefault="00535069" w:rsidP="00535069">
      <w:pPr>
        <w:rPr>
          <w:sz w:val="24"/>
          <w:szCs w:val="24"/>
        </w:rPr>
      </w:pPr>
      <w:r w:rsidRPr="00322016">
        <w:rPr>
          <w:b/>
          <w:sz w:val="24"/>
          <w:szCs w:val="24"/>
        </w:rPr>
        <w:t>Apologies:</w:t>
      </w:r>
      <w:r w:rsidRPr="00322016">
        <w:rPr>
          <w:sz w:val="24"/>
          <w:szCs w:val="24"/>
        </w:rPr>
        <w:t xml:space="preserve"> </w:t>
      </w:r>
      <w:r w:rsidRPr="00322016">
        <w:rPr>
          <w:bCs/>
          <w:sz w:val="24"/>
          <w:szCs w:val="24"/>
          <w:lang w:eastAsia="zh-CN"/>
        </w:rPr>
        <w:t xml:space="preserve">Sergei Fatikow (UOld), Jin Tong (JLU), </w:t>
      </w:r>
      <w:r w:rsidRPr="00322016">
        <w:rPr>
          <w:sz w:val="24"/>
          <w:szCs w:val="24"/>
        </w:rPr>
        <w:t>Erkki Lavänen (TUT)</w:t>
      </w:r>
      <w:r w:rsidR="0068340E">
        <w:rPr>
          <w:sz w:val="24"/>
          <w:szCs w:val="24"/>
        </w:rPr>
        <w:t>, Ahmad Johari Mohamad (UMP)</w:t>
      </w:r>
    </w:p>
    <w:p w:rsidR="00535069" w:rsidRPr="00322016" w:rsidRDefault="00535069">
      <w:pPr>
        <w:rPr>
          <w:sz w:val="24"/>
          <w:szCs w:val="24"/>
        </w:rPr>
      </w:pPr>
    </w:p>
    <w:p w:rsidR="00322016" w:rsidRDefault="00535069" w:rsidP="00BB35AA">
      <w:pPr>
        <w:rPr>
          <w:sz w:val="24"/>
          <w:szCs w:val="24"/>
        </w:rPr>
      </w:pPr>
      <w:r w:rsidRPr="00322016">
        <w:rPr>
          <w:b/>
          <w:sz w:val="24"/>
          <w:szCs w:val="24"/>
        </w:rPr>
        <w:t>Attendance</w:t>
      </w:r>
      <w:r w:rsidRPr="00322016">
        <w:rPr>
          <w:sz w:val="24"/>
          <w:szCs w:val="24"/>
        </w:rPr>
        <w:t xml:space="preserve">: </w:t>
      </w:r>
      <w:r w:rsidRPr="00322016">
        <w:rPr>
          <w:sz w:val="24"/>
          <w:szCs w:val="24"/>
        </w:rPr>
        <w:tab/>
        <w:t>Xianping Liu (UoW),  Kyle Jiang (UoB), Wilhelm Pfleging (KIT), Johannes Pröll</w:t>
      </w:r>
      <w:r w:rsidR="00BB35AA">
        <w:rPr>
          <w:sz w:val="24"/>
          <w:szCs w:val="24"/>
        </w:rPr>
        <w:t xml:space="preserve"> (KIT), </w:t>
      </w:r>
      <w:r w:rsidR="00322016" w:rsidRPr="00322016">
        <w:rPr>
          <w:sz w:val="24"/>
          <w:szCs w:val="24"/>
        </w:rPr>
        <w:t>Tuukka Pöyry (TUT)</w:t>
      </w:r>
      <w:r w:rsidR="00BB35AA">
        <w:rPr>
          <w:sz w:val="24"/>
          <w:szCs w:val="24"/>
        </w:rPr>
        <w:t xml:space="preserve">, </w:t>
      </w:r>
      <w:r w:rsidR="00322016" w:rsidRPr="00322016">
        <w:rPr>
          <w:sz w:val="24"/>
          <w:szCs w:val="24"/>
        </w:rPr>
        <w:t>Andy Marsh (UoW)</w:t>
      </w:r>
      <w:r w:rsidR="00BB35AA">
        <w:rPr>
          <w:sz w:val="24"/>
          <w:szCs w:val="24"/>
        </w:rPr>
        <w:t xml:space="preserve">, </w:t>
      </w:r>
      <w:r w:rsidR="00322016" w:rsidRPr="00322016">
        <w:rPr>
          <w:sz w:val="24"/>
          <w:szCs w:val="24"/>
        </w:rPr>
        <w:t>Xinyao Zhu (UoW), Hui Niu (UoW), Zhiyong Guo (visitor of Tianjin University)</w:t>
      </w:r>
    </w:p>
    <w:p w:rsidR="0068340E" w:rsidRDefault="0068340E" w:rsidP="00322016">
      <w:pPr>
        <w:rPr>
          <w:b/>
          <w:sz w:val="24"/>
          <w:szCs w:val="24"/>
        </w:rPr>
      </w:pPr>
    </w:p>
    <w:p w:rsidR="00BB35AA" w:rsidRDefault="00322016" w:rsidP="00322016">
      <w:pPr>
        <w:rPr>
          <w:sz w:val="24"/>
          <w:szCs w:val="24"/>
        </w:rPr>
      </w:pPr>
      <w:r w:rsidRPr="00322016">
        <w:rPr>
          <w:b/>
          <w:sz w:val="24"/>
          <w:szCs w:val="24"/>
        </w:rPr>
        <w:t>Remote attendance</w:t>
      </w:r>
      <w:r w:rsidRPr="00322016">
        <w:rPr>
          <w:sz w:val="24"/>
          <w:szCs w:val="24"/>
        </w:rPr>
        <w:t xml:space="preserve">:  </w:t>
      </w:r>
      <w:r w:rsidRPr="00322016">
        <w:rPr>
          <w:sz w:val="24"/>
          <w:szCs w:val="24"/>
        </w:rPr>
        <w:tab/>
        <w:t>Yanling Tian (TJU)</w:t>
      </w:r>
      <w:r w:rsidR="00BB35AA">
        <w:rPr>
          <w:sz w:val="24"/>
          <w:szCs w:val="24"/>
        </w:rPr>
        <w:t xml:space="preserve">, </w:t>
      </w:r>
      <w:r w:rsidRPr="00322016">
        <w:rPr>
          <w:sz w:val="24"/>
          <w:szCs w:val="24"/>
        </w:rPr>
        <w:t>Zuobin Wang (CUST)</w:t>
      </w:r>
      <w:r w:rsidR="00BB35AA">
        <w:rPr>
          <w:sz w:val="24"/>
          <w:szCs w:val="24"/>
        </w:rPr>
        <w:t xml:space="preserve">, </w:t>
      </w:r>
      <w:r w:rsidRPr="00322016">
        <w:rPr>
          <w:sz w:val="24"/>
          <w:szCs w:val="24"/>
        </w:rPr>
        <w:t>Albert Sill (UOld)</w:t>
      </w:r>
      <w:r w:rsidRPr="00322016">
        <w:rPr>
          <w:sz w:val="24"/>
          <w:szCs w:val="24"/>
        </w:rPr>
        <w:tab/>
      </w:r>
      <w:r w:rsidRPr="00322016">
        <w:rPr>
          <w:sz w:val="24"/>
          <w:szCs w:val="24"/>
        </w:rPr>
        <w:tab/>
      </w:r>
    </w:p>
    <w:p w:rsidR="00322016" w:rsidRDefault="00322016" w:rsidP="00322016">
      <w:pPr>
        <w:rPr>
          <w:sz w:val="24"/>
          <w:szCs w:val="24"/>
        </w:rPr>
      </w:pPr>
      <w:r w:rsidRPr="00322016">
        <w:rPr>
          <w:sz w:val="24"/>
          <w:szCs w:val="24"/>
        </w:rPr>
        <w:tab/>
      </w:r>
    </w:p>
    <w:p w:rsidR="004D32AB" w:rsidRPr="004D32AB" w:rsidRDefault="007642FB" w:rsidP="00D22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078F2" w:rsidRDefault="009078F2" w:rsidP="00D2238F">
      <w:pPr>
        <w:rPr>
          <w:sz w:val="24"/>
          <w:szCs w:val="24"/>
        </w:rPr>
      </w:pPr>
    </w:p>
    <w:p w:rsidR="00D2238F" w:rsidRDefault="004D32AB" w:rsidP="00D2238F">
      <w:pPr>
        <w:rPr>
          <w:sz w:val="24"/>
          <w:szCs w:val="24"/>
        </w:rPr>
      </w:pPr>
      <w:r w:rsidRPr="00DE7CCC">
        <w:rPr>
          <w:sz w:val="24"/>
          <w:szCs w:val="24"/>
        </w:rPr>
        <w:t xml:space="preserve">1.0 </w:t>
      </w:r>
      <w:r w:rsidR="00D2238F" w:rsidRPr="00DE7CCC">
        <w:rPr>
          <w:sz w:val="24"/>
          <w:szCs w:val="24"/>
        </w:rPr>
        <w:t>Start of meeting, agenda and w</w:t>
      </w:r>
      <w:r w:rsidRPr="00DE7CCC">
        <w:rPr>
          <w:sz w:val="24"/>
          <w:szCs w:val="24"/>
        </w:rPr>
        <w:t>elcome</w:t>
      </w:r>
    </w:p>
    <w:p w:rsidR="00DE7CCC" w:rsidRPr="00DE7CCC" w:rsidRDefault="00DE7CCC" w:rsidP="00D2238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D2238F" w:rsidRPr="00DE7CCC" w:rsidRDefault="004D32AB" w:rsidP="00D2238F">
      <w:pPr>
        <w:rPr>
          <w:sz w:val="24"/>
          <w:szCs w:val="24"/>
        </w:rPr>
      </w:pPr>
      <w:r w:rsidRPr="00DE7CCC">
        <w:rPr>
          <w:sz w:val="24"/>
          <w:szCs w:val="24"/>
        </w:rPr>
        <w:t xml:space="preserve">2.0 </w:t>
      </w:r>
      <w:r w:rsidR="00D2238F" w:rsidRPr="00DE7CCC">
        <w:rPr>
          <w:sz w:val="24"/>
          <w:szCs w:val="24"/>
        </w:rPr>
        <w:t>Presentation of consortium member institutions</w:t>
      </w:r>
    </w:p>
    <w:p w:rsidR="004D32AB" w:rsidRPr="00DE7CCC" w:rsidRDefault="004D32AB" w:rsidP="004D32AB">
      <w:pPr>
        <w:ind w:firstLine="720"/>
        <w:rPr>
          <w:sz w:val="24"/>
          <w:szCs w:val="24"/>
        </w:rPr>
      </w:pPr>
      <w:r w:rsidRPr="00DE7CCC">
        <w:rPr>
          <w:sz w:val="24"/>
          <w:szCs w:val="24"/>
        </w:rPr>
        <w:t>Warwick, Xianping Liu</w:t>
      </w:r>
      <w:r w:rsidRPr="00DE7CCC">
        <w:rPr>
          <w:sz w:val="24"/>
          <w:szCs w:val="24"/>
        </w:rPr>
        <w:tab/>
      </w:r>
    </w:p>
    <w:p w:rsidR="00D2238F" w:rsidRPr="00DE7CCC" w:rsidRDefault="00D2238F" w:rsidP="004D32AB">
      <w:pPr>
        <w:ind w:firstLine="720"/>
        <w:rPr>
          <w:sz w:val="24"/>
          <w:szCs w:val="24"/>
        </w:rPr>
      </w:pPr>
      <w:r w:rsidRPr="00DE7CCC">
        <w:rPr>
          <w:sz w:val="24"/>
          <w:szCs w:val="24"/>
        </w:rPr>
        <w:t>Birmingham</w:t>
      </w:r>
      <w:r w:rsidR="004D32AB" w:rsidRPr="00DE7CCC">
        <w:rPr>
          <w:sz w:val="24"/>
          <w:szCs w:val="24"/>
        </w:rPr>
        <w:t>, Kyle Jiang</w:t>
      </w:r>
      <w:r w:rsidRPr="00DE7CCC">
        <w:rPr>
          <w:sz w:val="24"/>
          <w:szCs w:val="24"/>
        </w:rPr>
        <w:t xml:space="preserve"> </w:t>
      </w:r>
    </w:p>
    <w:p w:rsidR="00D2238F" w:rsidRPr="00DE7CCC" w:rsidRDefault="00D2238F" w:rsidP="004D32AB">
      <w:pPr>
        <w:ind w:firstLine="720"/>
        <w:rPr>
          <w:sz w:val="24"/>
          <w:szCs w:val="24"/>
        </w:rPr>
      </w:pPr>
      <w:r w:rsidRPr="00DE7CCC">
        <w:rPr>
          <w:sz w:val="24"/>
          <w:szCs w:val="24"/>
        </w:rPr>
        <w:t>UOld (</w:t>
      </w:r>
      <w:r w:rsidR="004D32AB" w:rsidRPr="00DE7CCC">
        <w:rPr>
          <w:sz w:val="24"/>
          <w:szCs w:val="24"/>
        </w:rPr>
        <w:t xml:space="preserve">Albert Sill presented </w:t>
      </w:r>
      <w:r w:rsidRPr="00DE7CCC">
        <w:rPr>
          <w:sz w:val="24"/>
          <w:szCs w:val="24"/>
        </w:rPr>
        <w:t>via skype)</w:t>
      </w:r>
    </w:p>
    <w:p w:rsidR="00D2238F" w:rsidRPr="00DE7CCC" w:rsidRDefault="00D2238F" w:rsidP="004D32AB">
      <w:pPr>
        <w:ind w:firstLine="720"/>
        <w:rPr>
          <w:sz w:val="24"/>
          <w:szCs w:val="24"/>
        </w:rPr>
      </w:pPr>
      <w:r w:rsidRPr="00DE7CCC">
        <w:rPr>
          <w:sz w:val="24"/>
          <w:szCs w:val="24"/>
        </w:rPr>
        <w:t>CUST (</w:t>
      </w:r>
      <w:r w:rsidR="004D32AB" w:rsidRPr="00DE7CCC">
        <w:rPr>
          <w:sz w:val="24"/>
          <w:szCs w:val="24"/>
        </w:rPr>
        <w:t xml:space="preserve">PPT hardcopy provided and Zuobin Wang introduced himself </w:t>
      </w:r>
      <w:r w:rsidRPr="00DE7CCC">
        <w:rPr>
          <w:sz w:val="24"/>
          <w:szCs w:val="24"/>
        </w:rPr>
        <w:t>via skype)</w:t>
      </w:r>
    </w:p>
    <w:p w:rsidR="00D2238F" w:rsidRPr="00DE7CCC" w:rsidRDefault="00D2238F" w:rsidP="004D32AB">
      <w:pPr>
        <w:ind w:firstLine="720"/>
        <w:rPr>
          <w:sz w:val="24"/>
          <w:szCs w:val="24"/>
        </w:rPr>
      </w:pPr>
      <w:r w:rsidRPr="00DE7CCC">
        <w:rPr>
          <w:sz w:val="24"/>
          <w:szCs w:val="24"/>
        </w:rPr>
        <w:t>KIT</w:t>
      </w:r>
      <w:r w:rsidR="00DE7CCC" w:rsidRPr="00DE7CCC">
        <w:rPr>
          <w:sz w:val="24"/>
          <w:szCs w:val="24"/>
        </w:rPr>
        <w:t>, Wilhelm Pfleging</w:t>
      </w:r>
    </w:p>
    <w:p w:rsidR="00D2238F" w:rsidRPr="00DE7CCC" w:rsidRDefault="00D2238F" w:rsidP="00DE7CCC">
      <w:pPr>
        <w:ind w:firstLine="720"/>
        <w:rPr>
          <w:sz w:val="24"/>
          <w:szCs w:val="24"/>
        </w:rPr>
      </w:pPr>
      <w:r w:rsidRPr="00DE7CCC">
        <w:rPr>
          <w:sz w:val="24"/>
          <w:szCs w:val="24"/>
        </w:rPr>
        <w:t>TUT</w:t>
      </w:r>
      <w:r w:rsidR="00DE7CCC" w:rsidRPr="00DE7CCC">
        <w:rPr>
          <w:sz w:val="24"/>
          <w:szCs w:val="24"/>
        </w:rPr>
        <w:t>,</w:t>
      </w:r>
      <w:r w:rsidRPr="00DE7CCC">
        <w:rPr>
          <w:sz w:val="24"/>
          <w:szCs w:val="24"/>
        </w:rPr>
        <w:t xml:space="preserve"> </w:t>
      </w:r>
      <w:r w:rsidR="00DE7CCC" w:rsidRPr="00DE7CCC">
        <w:rPr>
          <w:sz w:val="24"/>
          <w:szCs w:val="24"/>
        </w:rPr>
        <w:t>Tuukka Pöyry</w:t>
      </w:r>
    </w:p>
    <w:p w:rsidR="00D2238F" w:rsidRPr="00DE7CCC" w:rsidRDefault="00D2238F" w:rsidP="00DE7CCC">
      <w:pPr>
        <w:ind w:firstLine="720"/>
        <w:rPr>
          <w:sz w:val="24"/>
          <w:szCs w:val="24"/>
        </w:rPr>
      </w:pPr>
      <w:r w:rsidRPr="00DE7CCC">
        <w:rPr>
          <w:sz w:val="24"/>
          <w:szCs w:val="24"/>
        </w:rPr>
        <w:t>TJU</w:t>
      </w:r>
      <w:r w:rsidR="004D32AB" w:rsidRPr="00DE7CCC">
        <w:rPr>
          <w:sz w:val="24"/>
          <w:szCs w:val="24"/>
        </w:rPr>
        <w:t xml:space="preserve"> (Yanling introduced himself via skype, Zhiyong Guo presented PPT)</w:t>
      </w:r>
    </w:p>
    <w:p w:rsidR="00D2238F" w:rsidRPr="001F0B47" w:rsidRDefault="00DE7CCC" w:rsidP="00FC12F4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1F0B47">
        <w:rPr>
          <w:sz w:val="24"/>
          <w:szCs w:val="24"/>
        </w:rPr>
        <w:t>ALL PPT presentations</w:t>
      </w:r>
      <w:r w:rsidR="000A7FBC" w:rsidRPr="001F0B47">
        <w:rPr>
          <w:sz w:val="24"/>
          <w:szCs w:val="24"/>
        </w:rPr>
        <w:t xml:space="preserve"> will be circulated and made available on the project webpage (to be set up soon). The shared project officer has been recruit</w:t>
      </w:r>
      <w:r w:rsidR="0087325A" w:rsidRPr="001F0B47">
        <w:rPr>
          <w:sz w:val="24"/>
          <w:szCs w:val="24"/>
        </w:rPr>
        <w:t>ed and will start the work soon.</w:t>
      </w:r>
    </w:p>
    <w:p w:rsidR="0087325A" w:rsidRPr="001F0B47" w:rsidRDefault="0087325A" w:rsidP="001F0B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0B47">
        <w:rPr>
          <w:sz w:val="24"/>
          <w:szCs w:val="24"/>
        </w:rPr>
        <w:t xml:space="preserve">It is worth to note that, we need to follow the guideline set by EU on all </w:t>
      </w:r>
      <w:r w:rsidR="007642FB" w:rsidRPr="001F0B47">
        <w:rPr>
          <w:sz w:val="24"/>
          <w:szCs w:val="24"/>
        </w:rPr>
        <w:t xml:space="preserve">our future journal /conference paper </w:t>
      </w:r>
      <w:r w:rsidRPr="001F0B47">
        <w:rPr>
          <w:sz w:val="24"/>
          <w:szCs w:val="24"/>
        </w:rPr>
        <w:t>publications. Here is the quoted instruction:</w:t>
      </w:r>
    </w:p>
    <w:p w:rsidR="0087325A" w:rsidRPr="00A77FD3" w:rsidRDefault="0087325A" w:rsidP="001F0B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</w:rPr>
      </w:pPr>
      <w:r w:rsidRPr="00A77FD3">
        <w:rPr>
          <w:rFonts w:ascii="Times New Roman" w:hAnsi="Times New Roman" w:cs="Times New Roman"/>
          <w:b/>
          <w:bCs/>
        </w:rPr>
        <w:t>Information on EU funding — Obligation and right to use the EU emblem</w:t>
      </w:r>
    </w:p>
    <w:p w:rsidR="0087325A" w:rsidRPr="00A77FD3" w:rsidRDefault="0087325A" w:rsidP="001F0B4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A77FD3">
        <w:rPr>
          <w:rFonts w:ascii="Times New Roman" w:hAnsi="Times New Roman" w:cs="Times New Roman"/>
        </w:rPr>
        <w:t>Unless the Agency requests or agrees otherwise or unless it is impossible, any communication activity related to the action (including in electronic form, via social media, etc.) must:</w:t>
      </w:r>
    </w:p>
    <w:p w:rsidR="0087325A" w:rsidRPr="00A77FD3" w:rsidRDefault="0087325A" w:rsidP="001F0B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A77FD3">
        <w:rPr>
          <w:rFonts w:ascii="Times New Roman" w:hAnsi="Times New Roman" w:cs="Times New Roman"/>
        </w:rPr>
        <w:t>(a) display the European Union emblem and</w:t>
      </w:r>
    </w:p>
    <w:p w:rsidR="0087325A" w:rsidRPr="00A77FD3" w:rsidRDefault="0087325A" w:rsidP="001F0B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A77FD3">
        <w:rPr>
          <w:rFonts w:ascii="Times New Roman" w:hAnsi="Times New Roman" w:cs="Times New Roman"/>
        </w:rPr>
        <w:t>(b) include the following statement:</w:t>
      </w:r>
    </w:p>
    <w:p w:rsidR="0087325A" w:rsidRPr="00A77FD3" w:rsidRDefault="0087325A" w:rsidP="001F0B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70C0"/>
        </w:rPr>
      </w:pPr>
      <w:r w:rsidRPr="00A77FD3">
        <w:rPr>
          <w:rFonts w:ascii="Times New Roman" w:hAnsi="Times New Roman" w:cs="Times New Roman"/>
          <w:color w:val="0070C0"/>
        </w:rPr>
        <w:t>“This project has received funding from the European Union’s Horizon 2020 research and</w:t>
      </w:r>
    </w:p>
    <w:p w:rsidR="0087325A" w:rsidRPr="00A77FD3" w:rsidRDefault="0087325A" w:rsidP="001F0B47">
      <w:pPr>
        <w:ind w:firstLine="360"/>
        <w:rPr>
          <w:rFonts w:ascii="Times New Roman" w:hAnsi="Times New Roman" w:cs="Times New Roman"/>
          <w:color w:val="0070C0"/>
        </w:rPr>
      </w:pPr>
      <w:r w:rsidRPr="00A77FD3">
        <w:rPr>
          <w:rFonts w:ascii="Times New Roman" w:hAnsi="Times New Roman" w:cs="Times New Roman"/>
          <w:color w:val="0070C0"/>
        </w:rPr>
        <w:t>innovation programme under the Marie Skłodowska-Curie grant agreement No 644971”</w:t>
      </w:r>
    </w:p>
    <w:p w:rsidR="0087325A" w:rsidRPr="00DE7CCC" w:rsidRDefault="0087325A" w:rsidP="00D2238F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785820" wp14:editId="7DD99A3D">
            <wp:extent cx="1638300" cy="1133475"/>
            <wp:effectExtent l="0" t="0" r="0" b="9525"/>
            <wp:docPr id="2" name="Picture 2" descr="C:\Users\essrp2\Documents\logo_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 descr="C:\Users\essrp2\Documents\logo_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or </w:t>
      </w:r>
      <w:r>
        <w:rPr>
          <w:noProof/>
          <w:lang w:eastAsia="en-GB"/>
        </w:rPr>
        <w:drawing>
          <wp:inline distT="0" distB="0" distL="0" distR="0" wp14:anchorId="1DB8AE14" wp14:editId="50FAFAE0">
            <wp:extent cx="1385887" cy="9207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87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2238F" w:rsidRPr="00DE7CCC" w:rsidRDefault="00D2238F" w:rsidP="00D2238F">
      <w:pPr>
        <w:rPr>
          <w:sz w:val="24"/>
          <w:szCs w:val="24"/>
        </w:rPr>
      </w:pPr>
    </w:p>
    <w:p w:rsidR="00D2238F" w:rsidRDefault="00DE7CCC" w:rsidP="00D2238F">
      <w:pPr>
        <w:rPr>
          <w:sz w:val="24"/>
          <w:szCs w:val="24"/>
        </w:rPr>
      </w:pPr>
      <w:r w:rsidRPr="00DE7CCC">
        <w:rPr>
          <w:sz w:val="24"/>
          <w:szCs w:val="24"/>
        </w:rPr>
        <w:t xml:space="preserve">3.0 </w:t>
      </w:r>
      <w:r w:rsidR="00D2238F" w:rsidRPr="00DE7CCC">
        <w:rPr>
          <w:sz w:val="24"/>
          <w:szCs w:val="24"/>
        </w:rPr>
        <w:t>Presentation by Warwick European Commission Compliance Officer</w:t>
      </w:r>
      <w:r w:rsidRPr="00DE7CCC">
        <w:rPr>
          <w:sz w:val="24"/>
          <w:szCs w:val="24"/>
        </w:rPr>
        <w:t>, Julius Ursu</w:t>
      </w:r>
    </w:p>
    <w:p w:rsidR="007642FB" w:rsidRDefault="007642FB" w:rsidP="00D2238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077DD">
        <w:rPr>
          <w:sz w:val="24"/>
          <w:szCs w:val="24"/>
        </w:rPr>
        <w:t>Clarify certain issues regarding secondments, movability rules</w:t>
      </w:r>
    </w:p>
    <w:p w:rsidR="00825B01" w:rsidRDefault="00803E14" w:rsidP="00803E14">
      <w:pPr>
        <w:pStyle w:val="ListParagraph"/>
        <w:spacing w:after="200" w:line="276" w:lineRule="auto"/>
      </w:pPr>
      <w:r>
        <w:lastRenderedPageBreak/>
        <w:t xml:space="preserve">The rate of the secondment payment is 2,100 Euros per person-month, or roughly 75 Euros per person-day. To maximise the coverage of expenses of each visit, it is recommended that the length of each visit is not less than 30 days. </w:t>
      </w:r>
      <w:r w:rsidR="00825B01">
        <w:t>All European beneficiary institutions need to keep boarding cards and flight bookings, for every secondment visit.</w:t>
      </w:r>
    </w:p>
    <w:p w:rsidR="00803E14" w:rsidRDefault="00803E14" w:rsidP="00803E14">
      <w:pPr>
        <w:pStyle w:val="ListParagraph"/>
        <w:spacing w:after="200" w:line="276" w:lineRule="auto"/>
      </w:pPr>
      <w:r>
        <w:t>For H2020 RISE programme, the visits from our Chinese partners to European institutions will not be funded by the project. At the moment</w:t>
      </w:r>
      <w:r w:rsidR="00825B01">
        <w:t>,</w:t>
      </w:r>
      <w:r>
        <w:t xml:space="preserve"> both </w:t>
      </w:r>
      <w:r w:rsidR="00825B01">
        <w:t>Prof Zuobin Wang (CUST) and Prof Yanling Tian (TJU) have informed us that they have secured some funding to support the project.</w:t>
      </w:r>
      <w:r>
        <w:t xml:space="preserve"> </w:t>
      </w:r>
    </w:p>
    <w:p w:rsidR="00D2238F" w:rsidRDefault="00DE7CCC" w:rsidP="00D2238F">
      <w:pPr>
        <w:rPr>
          <w:sz w:val="24"/>
          <w:szCs w:val="24"/>
        </w:rPr>
      </w:pPr>
      <w:r w:rsidRPr="00DE7CCC">
        <w:rPr>
          <w:sz w:val="24"/>
          <w:szCs w:val="24"/>
        </w:rPr>
        <w:t xml:space="preserve">4.0 </w:t>
      </w:r>
      <w:r w:rsidR="00D2238F" w:rsidRPr="00DE7CCC">
        <w:rPr>
          <w:sz w:val="24"/>
          <w:szCs w:val="24"/>
        </w:rPr>
        <w:t>Consortium WPs discussions</w:t>
      </w:r>
    </w:p>
    <w:p w:rsidR="00D077DD" w:rsidRDefault="00D077DD" w:rsidP="006E366B">
      <w:pPr>
        <w:ind w:left="720"/>
        <w:rPr>
          <w:sz w:val="24"/>
          <w:szCs w:val="24"/>
        </w:rPr>
      </w:pPr>
      <w:r>
        <w:rPr>
          <w:sz w:val="24"/>
          <w:szCs w:val="24"/>
        </w:rPr>
        <w:t>There wasn’t much time on this matter and will be focused in the next meeting for review and</w:t>
      </w:r>
      <w:r w:rsidR="006E366B">
        <w:rPr>
          <w:sz w:val="24"/>
          <w:szCs w:val="24"/>
        </w:rPr>
        <w:t xml:space="preserve"> progress report.</w:t>
      </w:r>
      <w:r>
        <w:rPr>
          <w:sz w:val="24"/>
          <w:szCs w:val="24"/>
        </w:rPr>
        <w:t xml:space="preserve"> </w:t>
      </w:r>
    </w:p>
    <w:p w:rsidR="00825B01" w:rsidRDefault="00825B01" w:rsidP="00825B01">
      <w:pPr>
        <w:pStyle w:val="ListParagraph"/>
        <w:numPr>
          <w:ilvl w:val="0"/>
          <w:numId w:val="4"/>
        </w:numPr>
        <w:spacing w:after="200" w:line="276" w:lineRule="auto"/>
      </w:pPr>
      <w:r>
        <w:t>Task leaders are responsible for Deliverables that are associated with the tasks. All other consortium institutions should also make contributions to the reports.</w:t>
      </w:r>
    </w:p>
    <w:p w:rsidR="00825B01" w:rsidRDefault="00825B01" w:rsidP="00825B01">
      <w:pPr>
        <w:pStyle w:val="ListParagraph"/>
        <w:numPr>
          <w:ilvl w:val="0"/>
          <w:numId w:val="4"/>
        </w:numPr>
        <w:spacing w:after="200" w:line="276" w:lineRule="auto"/>
      </w:pPr>
      <w:r>
        <w:t>Joint publications among beneficiary and partner institutions are strongly encouraged.</w:t>
      </w:r>
    </w:p>
    <w:p w:rsidR="00825B01" w:rsidRDefault="00825B01" w:rsidP="00825B01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All consortium institutions are expected active in organising seminars and workshops within the institutions, and to look for opportunities to organise special sessions in conferences. </w:t>
      </w:r>
    </w:p>
    <w:p w:rsidR="00D2238F" w:rsidRDefault="00DE7CCC" w:rsidP="00D2238F">
      <w:pPr>
        <w:rPr>
          <w:sz w:val="24"/>
          <w:szCs w:val="24"/>
        </w:rPr>
      </w:pPr>
      <w:r w:rsidRPr="00DE7CCC">
        <w:rPr>
          <w:sz w:val="24"/>
          <w:szCs w:val="24"/>
        </w:rPr>
        <w:t>5.0</w:t>
      </w:r>
      <w:r w:rsidR="00D2238F" w:rsidRPr="00DE7CCC">
        <w:rPr>
          <w:sz w:val="24"/>
          <w:szCs w:val="24"/>
        </w:rPr>
        <w:t xml:space="preserve"> Project management set up</w:t>
      </w:r>
    </w:p>
    <w:p w:rsidR="006E366B" w:rsidRPr="00DE7CCC" w:rsidRDefault="006E366B" w:rsidP="00D2238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management team will consist of all PI of the consortium. </w:t>
      </w:r>
    </w:p>
    <w:p w:rsidR="009078F2" w:rsidRDefault="009078F2" w:rsidP="00D2238F">
      <w:pPr>
        <w:rPr>
          <w:sz w:val="24"/>
          <w:szCs w:val="24"/>
        </w:rPr>
      </w:pPr>
    </w:p>
    <w:p w:rsidR="00D2238F" w:rsidRDefault="00D2238F" w:rsidP="00D2238F">
      <w:pPr>
        <w:rPr>
          <w:sz w:val="24"/>
          <w:szCs w:val="24"/>
        </w:rPr>
      </w:pPr>
      <w:r w:rsidRPr="00DE7CCC">
        <w:rPr>
          <w:sz w:val="24"/>
          <w:szCs w:val="24"/>
        </w:rPr>
        <w:t>6</w:t>
      </w:r>
      <w:r w:rsidR="00DE7CCC" w:rsidRPr="00DE7CCC">
        <w:rPr>
          <w:sz w:val="24"/>
          <w:szCs w:val="24"/>
        </w:rPr>
        <w:t>.</w:t>
      </w:r>
      <w:r w:rsidRPr="00DE7CCC">
        <w:rPr>
          <w:sz w:val="24"/>
          <w:szCs w:val="24"/>
        </w:rPr>
        <w:t>0 Future funding application</w:t>
      </w:r>
    </w:p>
    <w:p w:rsidR="00FE3E5C" w:rsidRDefault="00FE3E5C" w:rsidP="00FE3E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were considerate discussions on future funding application. Based upon the existing consortium, we could look at the possibility to apply for H2020-MCA- ITN programme. There are three schemes; </w:t>
      </w:r>
      <w:r>
        <w:rPr>
          <w:rFonts w:ascii="Verdana" w:hAnsi="Verdana"/>
          <w:b/>
          <w:bCs/>
          <w:color w:val="444041"/>
          <w:sz w:val="18"/>
          <w:szCs w:val="18"/>
          <w:bdr w:val="none" w:sz="0" w:space="0" w:color="auto" w:frame="1"/>
          <w:shd w:val="clear" w:color="auto" w:fill="FFFFFF"/>
        </w:rPr>
        <w:t>European Training Networks</w:t>
      </w:r>
      <w:r>
        <w:rPr>
          <w:rStyle w:val="apple-converted-space"/>
          <w:rFonts w:ascii="Verdana" w:hAnsi="Verdana"/>
          <w:b/>
          <w:bCs/>
          <w:color w:val="444041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color w:val="444041"/>
          <w:sz w:val="18"/>
          <w:szCs w:val="18"/>
          <w:shd w:val="clear" w:color="auto" w:fill="FFFFFF"/>
        </w:rPr>
        <w:t>(ETN),</w:t>
      </w:r>
      <w:r w:rsidRPr="00FE3E5C">
        <w:rPr>
          <w:rFonts w:ascii="Verdana" w:hAnsi="Verdana"/>
          <w:b/>
          <w:bCs/>
          <w:color w:val="444041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44041"/>
          <w:sz w:val="18"/>
          <w:szCs w:val="18"/>
          <w:bdr w:val="none" w:sz="0" w:space="0" w:color="auto" w:frame="1"/>
          <w:shd w:val="clear" w:color="auto" w:fill="FFFFFF"/>
        </w:rPr>
        <w:t>European Industrial Doctorates</w:t>
      </w:r>
      <w:r>
        <w:rPr>
          <w:rStyle w:val="apple-converted-space"/>
          <w:rFonts w:ascii="Verdana" w:hAnsi="Verdana"/>
          <w:color w:val="444041"/>
          <w:sz w:val="18"/>
          <w:szCs w:val="18"/>
          <w:shd w:val="clear" w:color="auto" w:fill="FFFFFF"/>
        </w:rPr>
        <w:t> (</w:t>
      </w:r>
      <w:r>
        <w:rPr>
          <w:sz w:val="24"/>
          <w:szCs w:val="24"/>
        </w:rPr>
        <w:t xml:space="preserve">EID) and </w:t>
      </w:r>
      <w:r>
        <w:rPr>
          <w:rFonts w:ascii="Verdana" w:hAnsi="Verdana"/>
          <w:b/>
          <w:bCs/>
          <w:color w:val="444041"/>
          <w:sz w:val="18"/>
          <w:szCs w:val="18"/>
          <w:bdr w:val="none" w:sz="0" w:space="0" w:color="auto" w:frame="1"/>
          <w:shd w:val="clear" w:color="auto" w:fill="FFFFFF"/>
        </w:rPr>
        <w:t>European Joint Doctorates</w:t>
      </w:r>
      <w:r>
        <w:rPr>
          <w:rStyle w:val="apple-converted-space"/>
          <w:rFonts w:ascii="Verdana" w:hAnsi="Verdana"/>
          <w:b/>
          <w:bCs/>
          <w:color w:val="444041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color w:val="444041"/>
          <w:sz w:val="18"/>
          <w:szCs w:val="18"/>
          <w:shd w:val="clear" w:color="auto" w:fill="FFFFFF"/>
        </w:rPr>
        <w:t xml:space="preserve">(EJD). </w:t>
      </w:r>
      <w:r w:rsidR="00FC12F4">
        <w:rPr>
          <w:rFonts w:ascii="Verdana" w:hAnsi="Verdana"/>
          <w:color w:val="444041"/>
          <w:sz w:val="18"/>
          <w:szCs w:val="18"/>
          <w:shd w:val="clear" w:color="auto" w:fill="FFFFFF"/>
        </w:rPr>
        <w:t xml:space="preserve">The ETN is more appropriate for us. There will be further discussions on the matter in the near future.  </w:t>
      </w:r>
    </w:p>
    <w:p w:rsidR="009078F2" w:rsidRDefault="009078F2" w:rsidP="00D2238F">
      <w:pPr>
        <w:rPr>
          <w:sz w:val="24"/>
          <w:szCs w:val="24"/>
        </w:rPr>
      </w:pPr>
    </w:p>
    <w:p w:rsidR="007642FB" w:rsidRPr="00DE7CCC" w:rsidRDefault="007642FB" w:rsidP="00D2238F">
      <w:pPr>
        <w:rPr>
          <w:sz w:val="24"/>
          <w:szCs w:val="24"/>
        </w:rPr>
      </w:pPr>
      <w:r>
        <w:rPr>
          <w:sz w:val="24"/>
          <w:szCs w:val="24"/>
        </w:rPr>
        <w:t>7.0 Next meeting</w:t>
      </w:r>
    </w:p>
    <w:p w:rsidR="00D2238F" w:rsidRPr="00DE7CCC" w:rsidRDefault="00825B01" w:rsidP="00825B01">
      <w:pPr>
        <w:ind w:left="720"/>
        <w:rPr>
          <w:sz w:val="24"/>
          <w:szCs w:val="24"/>
        </w:rPr>
      </w:pPr>
      <w:r>
        <w:rPr>
          <w:sz w:val="24"/>
          <w:szCs w:val="24"/>
        </w:rPr>
        <w:t>The next project annual meeting will be held in Changchun University of Science and   Technology, Changchun, in conjunction with the international conference of 3M-Nano2015</w:t>
      </w:r>
      <w:r w:rsidR="00D947BD">
        <w:rPr>
          <w:sz w:val="24"/>
          <w:szCs w:val="24"/>
        </w:rPr>
        <w:t>, which is held on 5-9 Oct</w:t>
      </w:r>
      <w:r>
        <w:rPr>
          <w:sz w:val="24"/>
          <w:szCs w:val="24"/>
        </w:rPr>
        <w:t>.</w:t>
      </w:r>
      <w:r w:rsidR="00D947BD">
        <w:rPr>
          <w:sz w:val="24"/>
          <w:szCs w:val="24"/>
        </w:rPr>
        <w:t xml:space="preserve"> 2015.</w:t>
      </w:r>
      <w:r w:rsidR="009078F2">
        <w:rPr>
          <w:sz w:val="24"/>
          <w:szCs w:val="24"/>
        </w:rPr>
        <w:t xml:space="preserve"> We will have </w:t>
      </w:r>
      <w:r w:rsidR="00CF62DB">
        <w:rPr>
          <w:sz w:val="24"/>
          <w:szCs w:val="24"/>
        </w:rPr>
        <w:t xml:space="preserve">a </w:t>
      </w:r>
      <w:r w:rsidR="009078F2">
        <w:rPr>
          <w:sz w:val="24"/>
          <w:szCs w:val="24"/>
        </w:rPr>
        <w:t>special session</w:t>
      </w:r>
      <w:r w:rsidR="00CF62DB">
        <w:rPr>
          <w:sz w:val="24"/>
          <w:szCs w:val="24"/>
        </w:rPr>
        <w:t xml:space="preserve"> (FabSurWar)</w:t>
      </w:r>
      <w:r w:rsidR="009078F2">
        <w:rPr>
          <w:sz w:val="24"/>
          <w:szCs w:val="24"/>
        </w:rPr>
        <w:t xml:space="preserve"> with</w:t>
      </w:r>
      <w:r w:rsidR="00CF62DB">
        <w:rPr>
          <w:sz w:val="24"/>
          <w:szCs w:val="24"/>
        </w:rPr>
        <w:t>in</w:t>
      </w:r>
      <w:r w:rsidR="009078F2">
        <w:rPr>
          <w:sz w:val="24"/>
          <w:szCs w:val="24"/>
        </w:rPr>
        <w:t xml:space="preserve"> the conference. Please submit your papers to the conference </w:t>
      </w:r>
      <w:r w:rsidR="00D947BD">
        <w:rPr>
          <w:sz w:val="24"/>
          <w:szCs w:val="24"/>
        </w:rPr>
        <w:t>call;</w:t>
      </w:r>
      <w:r w:rsidR="009078F2">
        <w:rPr>
          <w:sz w:val="24"/>
          <w:szCs w:val="24"/>
        </w:rPr>
        <w:t xml:space="preserve"> the deadline is now extended to 1 July 2015.</w:t>
      </w:r>
    </w:p>
    <w:p w:rsidR="00DE7CCC" w:rsidRPr="00DE7CCC" w:rsidRDefault="00DE7CCC" w:rsidP="00D2238F">
      <w:pPr>
        <w:rPr>
          <w:sz w:val="24"/>
          <w:szCs w:val="24"/>
        </w:rPr>
      </w:pPr>
    </w:p>
    <w:p w:rsidR="00D2238F" w:rsidRPr="00DE7CCC" w:rsidRDefault="00D2238F" w:rsidP="00D2238F">
      <w:pPr>
        <w:rPr>
          <w:sz w:val="24"/>
          <w:szCs w:val="24"/>
        </w:rPr>
      </w:pPr>
    </w:p>
    <w:sectPr w:rsidR="00D2238F" w:rsidRPr="00DE7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1D3"/>
    <w:multiLevelType w:val="hybridMultilevel"/>
    <w:tmpl w:val="5EB48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269A3"/>
    <w:multiLevelType w:val="hybridMultilevel"/>
    <w:tmpl w:val="6E90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0835"/>
    <w:multiLevelType w:val="singleLevel"/>
    <w:tmpl w:val="12164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3" w15:restartNumberingAfterBreak="0">
    <w:nsid w:val="6B641D05"/>
    <w:multiLevelType w:val="hybridMultilevel"/>
    <w:tmpl w:val="1130B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69"/>
    <w:rsid w:val="000A7FBC"/>
    <w:rsid w:val="001F0B47"/>
    <w:rsid w:val="00322016"/>
    <w:rsid w:val="00335599"/>
    <w:rsid w:val="00415545"/>
    <w:rsid w:val="004D32AB"/>
    <w:rsid w:val="00535069"/>
    <w:rsid w:val="0054561B"/>
    <w:rsid w:val="005707A6"/>
    <w:rsid w:val="0068340E"/>
    <w:rsid w:val="006E366B"/>
    <w:rsid w:val="007642FB"/>
    <w:rsid w:val="00803E14"/>
    <w:rsid w:val="00825B01"/>
    <w:rsid w:val="0087325A"/>
    <w:rsid w:val="008E3736"/>
    <w:rsid w:val="009078F2"/>
    <w:rsid w:val="009806F7"/>
    <w:rsid w:val="00BB35AA"/>
    <w:rsid w:val="00C46F77"/>
    <w:rsid w:val="00CF62DB"/>
    <w:rsid w:val="00D077DD"/>
    <w:rsid w:val="00D2238F"/>
    <w:rsid w:val="00D947BD"/>
    <w:rsid w:val="00DE7CCC"/>
    <w:rsid w:val="00E35362"/>
    <w:rsid w:val="00E97E5B"/>
    <w:rsid w:val="00F625A3"/>
    <w:rsid w:val="00FC12F4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939E9-472D-48F8-8C08-BE2CE3C9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69"/>
    <w:pPr>
      <w:spacing w:after="0" w:line="240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5A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1F0B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3F64BC93</Template>
  <TotalTime>1</TotalTime>
  <Pages>4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Skelcher, Rachel</cp:lastModifiedBy>
  <cp:revision>2</cp:revision>
  <cp:lastPrinted>2015-05-21T12:40:00Z</cp:lastPrinted>
  <dcterms:created xsi:type="dcterms:W3CDTF">2016-04-04T15:22:00Z</dcterms:created>
  <dcterms:modified xsi:type="dcterms:W3CDTF">2016-04-04T15:22:00Z</dcterms:modified>
</cp:coreProperties>
</file>