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49D" w:rsidRPr="00202376" w:rsidRDefault="00DB049D" w:rsidP="00DB049D">
      <w:pPr>
        <w:pStyle w:val="NoSpacing"/>
        <w:jc w:val="both"/>
        <w:rPr>
          <w:sz w:val="24"/>
          <w:szCs w:val="24"/>
        </w:rPr>
      </w:pPr>
      <w:r w:rsidRPr="00202376">
        <w:rPr>
          <w:noProof/>
          <w:sz w:val="24"/>
          <w:szCs w:val="24"/>
          <w:lang w:val="en-GB" w:eastAsia="en-GB"/>
        </w:rPr>
        <w:drawing>
          <wp:anchor distT="0" distB="0" distL="114300" distR="114300" simplePos="0" relativeHeight="251659264" behindDoc="1" locked="0" layoutInCell="0" allowOverlap="1" wp14:anchorId="7781655F" wp14:editId="3A1AD7E9">
            <wp:simplePos x="0" y="0"/>
            <wp:positionH relativeFrom="margin">
              <wp:posOffset>608930</wp:posOffset>
            </wp:positionH>
            <wp:positionV relativeFrom="page">
              <wp:posOffset>220225</wp:posOffset>
            </wp:positionV>
            <wp:extent cx="4366260" cy="1781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6260" cy="1781810"/>
                    </a:xfrm>
                    <a:prstGeom prst="rect">
                      <a:avLst/>
                    </a:prstGeom>
                    <a:noFill/>
                  </pic:spPr>
                </pic:pic>
              </a:graphicData>
            </a:graphic>
            <wp14:sizeRelH relativeFrom="page">
              <wp14:pctWidth>0</wp14:pctWidth>
            </wp14:sizeRelH>
            <wp14:sizeRelV relativeFrom="page">
              <wp14:pctHeight>0</wp14:pctHeight>
            </wp14:sizeRelV>
          </wp:anchor>
        </w:drawing>
      </w:r>
    </w:p>
    <w:p w:rsidR="00DB049D" w:rsidRPr="00202376" w:rsidRDefault="00DB049D" w:rsidP="00DB049D">
      <w:pPr>
        <w:pStyle w:val="NoSpacing"/>
        <w:jc w:val="both"/>
        <w:rPr>
          <w:sz w:val="24"/>
          <w:szCs w:val="24"/>
        </w:rPr>
      </w:pPr>
    </w:p>
    <w:p w:rsidR="00DB049D" w:rsidRPr="00202376" w:rsidRDefault="00DB049D" w:rsidP="00DB049D">
      <w:pPr>
        <w:pStyle w:val="NoSpacing"/>
        <w:jc w:val="both"/>
        <w:rPr>
          <w:sz w:val="24"/>
          <w:szCs w:val="24"/>
        </w:rPr>
      </w:pPr>
    </w:p>
    <w:p w:rsidR="00DB049D" w:rsidRPr="00202376" w:rsidRDefault="00DB049D" w:rsidP="00DB049D">
      <w:pPr>
        <w:pStyle w:val="NoSpacing"/>
        <w:jc w:val="both"/>
        <w:rPr>
          <w:sz w:val="24"/>
          <w:szCs w:val="24"/>
        </w:rPr>
      </w:pPr>
    </w:p>
    <w:p w:rsidR="00DB049D" w:rsidRPr="00202376" w:rsidRDefault="00DB049D" w:rsidP="00DB049D">
      <w:pPr>
        <w:pStyle w:val="NoSpacing"/>
        <w:jc w:val="both"/>
        <w:rPr>
          <w:sz w:val="24"/>
          <w:szCs w:val="24"/>
        </w:rPr>
      </w:pPr>
    </w:p>
    <w:p w:rsidR="00DB049D" w:rsidRPr="00202376" w:rsidRDefault="00DB049D" w:rsidP="00DB049D">
      <w:pPr>
        <w:pStyle w:val="NoSpacing"/>
        <w:jc w:val="both"/>
        <w:rPr>
          <w:b/>
          <w:sz w:val="24"/>
          <w:szCs w:val="24"/>
        </w:rPr>
      </w:pPr>
    </w:p>
    <w:p w:rsidR="00DB049D" w:rsidRPr="00202376" w:rsidRDefault="00DB049D" w:rsidP="00DB049D">
      <w:pPr>
        <w:pStyle w:val="NoSpacing"/>
        <w:jc w:val="both"/>
        <w:rPr>
          <w:b/>
          <w:sz w:val="24"/>
          <w:szCs w:val="24"/>
        </w:rPr>
      </w:pPr>
    </w:p>
    <w:p w:rsidR="00DB049D" w:rsidRPr="00202376" w:rsidRDefault="00DB049D" w:rsidP="00DB049D">
      <w:pPr>
        <w:pStyle w:val="NoSpacing"/>
        <w:jc w:val="both"/>
        <w:rPr>
          <w:b/>
          <w:sz w:val="24"/>
          <w:szCs w:val="24"/>
        </w:rPr>
      </w:pPr>
    </w:p>
    <w:p w:rsidR="00DB049D" w:rsidRPr="000749DF" w:rsidRDefault="00DB049D" w:rsidP="00DB049D">
      <w:pPr>
        <w:pStyle w:val="NoSpacing"/>
        <w:jc w:val="center"/>
        <w:rPr>
          <w:b/>
          <w:sz w:val="36"/>
          <w:szCs w:val="24"/>
        </w:rPr>
      </w:pPr>
      <w:r>
        <w:rPr>
          <w:b/>
          <w:sz w:val="32"/>
          <w:szCs w:val="24"/>
        </w:rPr>
        <w:t>Research Project Report 3</w:t>
      </w: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r>
        <w:rPr>
          <w:b/>
          <w:bCs/>
          <w:sz w:val="32"/>
          <w:szCs w:val="24"/>
          <w:lang w:val="en-GB"/>
        </w:rPr>
        <w:t xml:space="preserve">Investigating the role and localization </w:t>
      </w:r>
      <w:r w:rsidRPr="00DB049D">
        <w:rPr>
          <w:b/>
          <w:bCs/>
          <w:sz w:val="32"/>
          <w:szCs w:val="24"/>
          <w:lang w:val="en-GB"/>
        </w:rPr>
        <w:t>of Tau V337M mutation in microtubules stabilization</w:t>
      </w: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0749DF" w:rsidRDefault="00DB049D" w:rsidP="00DB049D">
      <w:pPr>
        <w:pStyle w:val="NoSpacing"/>
        <w:jc w:val="center"/>
        <w:rPr>
          <w:b/>
          <w:sz w:val="28"/>
          <w:szCs w:val="24"/>
        </w:rPr>
      </w:pPr>
      <w:r w:rsidRPr="000749DF">
        <w:rPr>
          <w:b/>
          <w:sz w:val="28"/>
          <w:szCs w:val="24"/>
        </w:rPr>
        <w:t>Mihaela Veronica Foisor</w:t>
      </w:r>
    </w:p>
    <w:p w:rsidR="00DB049D" w:rsidRPr="00202376" w:rsidRDefault="00DB049D" w:rsidP="00DB049D">
      <w:pPr>
        <w:pStyle w:val="NoSpacing"/>
        <w:jc w:val="center"/>
        <w:rPr>
          <w:sz w:val="24"/>
          <w:szCs w:val="24"/>
        </w:rPr>
      </w:pPr>
    </w:p>
    <w:p w:rsidR="00DB049D" w:rsidRPr="000749DF" w:rsidRDefault="00DB049D" w:rsidP="00DB049D">
      <w:pPr>
        <w:pStyle w:val="NoSpacing"/>
        <w:jc w:val="center"/>
        <w:rPr>
          <w:sz w:val="28"/>
          <w:szCs w:val="24"/>
        </w:rPr>
      </w:pPr>
      <w:r w:rsidRPr="000749DF">
        <w:rPr>
          <w:sz w:val="28"/>
          <w:szCs w:val="24"/>
        </w:rPr>
        <w:t>201206342</w:t>
      </w:r>
    </w:p>
    <w:p w:rsidR="00DB049D" w:rsidRPr="000749DF" w:rsidRDefault="00DB049D" w:rsidP="00DB049D">
      <w:pPr>
        <w:pStyle w:val="NoSpacing"/>
        <w:jc w:val="center"/>
        <w:rPr>
          <w:sz w:val="28"/>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202376" w:rsidRDefault="00DB049D" w:rsidP="00DB049D">
      <w:pPr>
        <w:pStyle w:val="NoSpacing"/>
        <w:jc w:val="center"/>
        <w:rPr>
          <w:sz w:val="24"/>
          <w:szCs w:val="24"/>
        </w:rPr>
      </w:pPr>
    </w:p>
    <w:p w:rsidR="00DB049D" w:rsidRPr="000749DF" w:rsidRDefault="00DB049D" w:rsidP="00DB049D">
      <w:pPr>
        <w:pStyle w:val="NoSpacing"/>
        <w:jc w:val="center"/>
        <w:rPr>
          <w:sz w:val="28"/>
          <w:szCs w:val="24"/>
        </w:rPr>
      </w:pPr>
      <w:r w:rsidRPr="000749DF">
        <w:rPr>
          <w:sz w:val="28"/>
          <w:szCs w:val="24"/>
        </w:rPr>
        <w:t xml:space="preserve">Supervisor: </w:t>
      </w:r>
      <w:proofErr w:type="spellStart"/>
      <w:r w:rsidRPr="000749DF">
        <w:rPr>
          <w:sz w:val="28"/>
          <w:szCs w:val="24"/>
        </w:rPr>
        <w:t>Dr</w:t>
      </w:r>
      <w:proofErr w:type="spellEnd"/>
      <w:r w:rsidRPr="000749DF">
        <w:rPr>
          <w:sz w:val="28"/>
          <w:szCs w:val="24"/>
        </w:rPr>
        <w:t xml:space="preserve"> </w:t>
      </w:r>
      <w:r>
        <w:rPr>
          <w:sz w:val="28"/>
          <w:szCs w:val="24"/>
        </w:rPr>
        <w:t>Natalia Sanchez Soriano</w:t>
      </w:r>
    </w:p>
    <w:p w:rsidR="00DB049D" w:rsidRPr="000749DF" w:rsidRDefault="00DB049D" w:rsidP="00DB049D">
      <w:pPr>
        <w:pStyle w:val="NoSpacing"/>
        <w:jc w:val="center"/>
        <w:rPr>
          <w:sz w:val="28"/>
          <w:szCs w:val="24"/>
        </w:rPr>
      </w:pPr>
    </w:p>
    <w:p w:rsidR="00DB049D" w:rsidRPr="000749DF" w:rsidRDefault="00DB049D" w:rsidP="00DB049D">
      <w:pPr>
        <w:pStyle w:val="NoSpacing"/>
        <w:jc w:val="center"/>
        <w:rPr>
          <w:sz w:val="28"/>
          <w:szCs w:val="24"/>
        </w:rPr>
      </w:pPr>
      <w:r w:rsidRPr="000749DF">
        <w:rPr>
          <w:sz w:val="28"/>
          <w:szCs w:val="24"/>
        </w:rPr>
        <w:t xml:space="preserve">Internal Assessor: </w:t>
      </w:r>
      <w:proofErr w:type="spellStart"/>
      <w:r>
        <w:rPr>
          <w:sz w:val="28"/>
          <w:szCs w:val="24"/>
        </w:rPr>
        <w:t>Dr</w:t>
      </w:r>
      <w:proofErr w:type="spellEnd"/>
      <w:r>
        <w:rPr>
          <w:sz w:val="28"/>
          <w:szCs w:val="24"/>
        </w:rPr>
        <w:t xml:space="preserve"> </w:t>
      </w:r>
      <w:r w:rsidRPr="00DB049D">
        <w:rPr>
          <w:sz w:val="28"/>
          <w:szCs w:val="24"/>
        </w:rPr>
        <w:t>John Quayle</w:t>
      </w:r>
    </w:p>
    <w:p w:rsidR="00DB049D" w:rsidRPr="000749DF" w:rsidRDefault="00DB049D" w:rsidP="00DB049D">
      <w:pPr>
        <w:pStyle w:val="NoSpacing"/>
        <w:jc w:val="center"/>
        <w:rPr>
          <w:sz w:val="28"/>
          <w:szCs w:val="24"/>
        </w:rPr>
      </w:pPr>
      <w:r w:rsidRPr="000749DF">
        <w:rPr>
          <w:sz w:val="28"/>
          <w:szCs w:val="24"/>
        </w:rPr>
        <w:t>Strand: Medical Sciences</w:t>
      </w:r>
    </w:p>
    <w:p w:rsidR="00DB049D" w:rsidRPr="000749DF" w:rsidRDefault="00DB049D" w:rsidP="00DB049D">
      <w:pPr>
        <w:pStyle w:val="NoSpacing"/>
        <w:jc w:val="center"/>
        <w:rPr>
          <w:sz w:val="28"/>
          <w:szCs w:val="24"/>
        </w:rPr>
      </w:pPr>
    </w:p>
    <w:p w:rsidR="00DB049D" w:rsidRPr="00202376" w:rsidRDefault="00DB049D" w:rsidP="00DB049D">
      <w:pPr>
        <w:pStyle w:val="NoSpacing"/>
        <w:jc w:val="center"/>
        <w:rPr>
          <w:sz w:val="24"/>
          <w:szCs w:val="24"/>
        </w:rPr>
      </w:pPr>
      <w:r w:rsidRPr="000749DF">
        <w:rPr>
          <w:sz w:val="28"/>
          <w:szCs w:val="24"/>
        </w:rPr>
        <w:t>Word Count:</w:t>
      </w:r>
      <w:r>
        <w:rPr>
          <w:sz w:val="28"/>
          <w:szCs w:val="24"/>
        </w:rPr>
        <w:t xml:space="preserve"> </w:t>
      </w:r>
      <w:r w:rsidR="00BC0E35">
        <w:rPr>
          <w:sz w:val="28"/>
          <w:szCs w:val="24"/>
        </w:rPr>
        <w:t>4120</w:t>
      </w:r>
    </w:p>
    <w:p w:rsidR="00DB049D" w:rsidRDefault="00DB049D" w:rsidP="00DB049D">
      <w:pPr>
        <w:jc w:val="both"/>
      </w:pPr>
      <w:r>
        <w:br w:type="page"/>
      </w:r>
    </w:p>
    <w:p w:rsidR="00DB049D" w:rsidRDefault="00DB049D" w:rsidP="00DB049D">
      <w:pPr>
        <w:pStyle w:val="NoSpacing"/>
        <w:jc w:val="both"/>
        <w:rPr>
          <w:b/>
          <w:bCs/>
          <w:sz w:val="32"/>
          <w:szCs w:val="24"/>
          <w:lang w:val="en-GB"/>
        </w:rPr>
      </w:pPr>
      <w:r w:rsidRPr="00DB049D">
        <w:rPr>
          <w:b/>
          <w:bCs/>
          <w:sz w:val="32"/>
          <w:szCs w:val="24"/>
          <w:lang w:val="en-GB"/>
        </w:rPr>
        <w:lastRenderedPageBreak/>
        <w:t>Investigating the role and localization of Tau V337M mutation in microtubules stabilization</w:t>
      </w:r>
    </w:p>
    <w:p w:rsidR="00DB049D" w:rsidRPr="00F31C98" w:rsidRDefault="00DB049D" w:rsidP="00DB049D">
      <w:pPr>
        <w:pStyle w:val="NoSpacing"/>
        <w:jc w:val="both"/>
        <w:rPr>
          <w:b/>
          <w:sz w:val="24"/>
          <w:szCs w:val="24"/>
        </w:rPr>
      </w:pPr>
      <w:r w:rsidRPr="00F31C98">
        <w:rPr>
          <w:b/>
          <w:sz w:val="24"/>
          <w:szCs w:val="24"/>
        </w:rPr>
        <w:t>Mihaela-Veronica Foisor</w:t>
      </w:r>
    </w:p>
    <w:p w:rsidR="00DB049D" w:rsidRPr="00F31C98" w:rsidRDefault="00DB049D" w:rsidP="00DB049D">
      <w:pPr>
        <w:pStyle w:val="NoSpacing"/>
        <w:pBdr>
          <w:bottom w:val="single" w:sz="6" w:space="1" w:color="auto"/>
        </w:pBdr>
        <w:jc w:val="both"/>
        <w:rPr>
          <w:i/>
          <w:sz w:val="24"/>
          <w:szCs w:val="24"/>
          <w:lang w:val="en-GB"/>
        </w:rPr>
      </w:pPr>
      <w:r w:rsidRPr="00F31C98">
        <w:rPr>
          <w:i/>
          <w:sz w:val="24"/>
          <w:szCs w:val="24"/>
          <w:lang w:val="en-GB"/>
        </w:rPr>
        <w:t>Institute of Translational Medicine, University of Liverpool, Crown St, Liverpool, L69 3BX, UK</w:t>
      </w:r>
    </w:p>
    <w:p w:rsidR="00DB049D" w:rsidRDefault="00DB049D" w:rsidP="00DB049D">
      <w:pPr>
        <w:pStyle w:val="NoSpacing"/>
        <w:jc w:val="both"/>
        <w:rPr>
          <w:b/>
          <w:sz w:val="24"/>
          <w:szCs w:val="24"/>
          <w:lang w:val="en-GB"/>
        </w:rPr>
      </w:pPr>
    </w:p>
    <w:p w:rsidR="00DB049D" w:rsidRPr="003B67B0" w:rsidRDefault="00DB049D" w:rsidP="00DB049D">
      <w:pPr>
        <w:pStyle w:val="NoSpacing"/>
        <w:jc w:val="both"/>
        <w:rPr>
          <w:b/>
          <w:szCs w:val="24"/>
          <w:lang w:val="en-GB"/>
        </w:rPr>
      </w:pPr>
      <w:r w:rsidRPr="003B67B0">
        <w:rPr>
          <w:b/>
          <w:szCs w:val="24"/>
          <w:lang w:val="en-GB"/>
        </w:rPr>
        <w:t xml:space="preserve">Abstract </w:t>
      </w:r>
    </w:p>
    <w:p w:rsidR="00DB049D" w:rsidRPr="003B67B0" w:rsidRDefault="00DB049D" w:rsidP="00DB049D">
      <w:pPr>
        <w:pStyle w:val="NoSpacing"/>
        <w:jc w:val="both"/>
        <w:rPr>
          <w:b/>
          <w:szCs w:val="24"/>
          <w:lang w:val="en-GB"/>
        </w:rPr>
      </w:pPr>
    </w:p>
    <w:p w:rsidR="00DB049D" w:rsidRPr="003B67B0" w:rsidRDefault="00DB049D" w:rsidP="00DB049D">
      <w:pPr>
        <w:pStyle w:val="NoSpacing"/>
        <w:jc w:val="both"/>
        <w:rPr>
          <w:b/>
          <w:szCs w:val="24"/>
          <w:lang w:val="en-GB"/>
        </w:rPr>
      </w:pPr>
      <w:r w:rsidRPr="003B67B0">
        <w:rPr>
          <w:b/>
          <w:szCs w:val="24"/>
          <w:lang w:val="en-GB"/>
        </w:rPr>
        <w:t xml:space="preserve">Frontotemporal dementia (FTD) represents one of the most common subtypes of dementia and are mostly classified as familial cases. Several mutations in the tau protein are known to be the main </w:t>
      </w:r>
      <w:r w:rsidR="00EE65B2" w:rsidRPr="003B67B0">
        <w:rPr>
          <w:b/>
          <w:szCs w:val="24"/>
          <w:lang w:val="en-GB"/>
        </w:rPr>
        <w:t>factor</w:t>
      </w:r>
      <w:r w:rsidRPr="003B67B0">
        <w:rPr>
          <w:b/>
          <w:szCs w:val="24"/>
          <w:lang w:val="en-GB"/>
        </w:rPr>
        <w:t xml:space="preserve"> that drives FTD. Mutation V337M in has been proven to induce hyperphosphorylation of tau, </w:t>
      </w:r>
      <w:r w:rsidR="00EE65B2" w:rsidRPr="003B67B0">
        <w:rPr>
          <w:b/>
          <w:szCs w:val="24"/>
          <w:lang w:val="en-GB"/>
        </w:rPr>
        <w:t xml:space="preserve">resulting in alteration of tau function, </w:t>
      </w:r>
      <w:r w:rsidRPr="003B67B0">
        <w:rPr>
          <w:b/>
          <w:szCs w:val="24"/>
          <w:lang w:val="en-GB"/>
        </w:rPr>
        <w:t>microtubule destabilization and neurofibrillary tangles formation. In this study</w:t>
      </w:r>
      <w:r w:rsidR="00027932" w:rsidRPr="003B67B0">
        <w:rPr>
          <w:b/>
          <w:szCs w:val="24"/>
          <w:lang w:val="en-GB"/>
        </w:rPr>
        <w:t>,</w:t>
      </w:r>
      <w:r w:rsidRPr="003B67B0">
        <w:rPr>
          <w:b/>
          <w:szCs w:val="24"/>
          <w:lang w:val="en-GB"/>
        </w:rPr>
        <w:t xml:space="preserve"> we are </w:t>
      </w:r>
      <w:r w:rsidR="00027932" w:rsidRPr="003B67B0">
        <w:rPr>
          <w:b/>
          <w:szCs w:val="24"/>
          <w:lang w:val="en-GB"/>
        </w:rPr>
        <w:t>trying</w:t>
      </w:r>
      <w:r w:rsidRPr="003B67B0">
        <w:rPr>
          <w:b/>
          <w:szCs w:val="24"/>
          <w:lang w:val="en-GB"/>
        </w:rPr>
        <w:t xml:space="preserve"> to pinpoint the localization of the V337M </w:t>
      </w:r>
      <w:r w:rsidR="00027932" w:rsidRPr="003B67B0">
        <w:rPr>
          <w:b/>
          <w:szCs w:val="24"/>
          <w:lang w:val="en-GB"/>
        </w:rPr>
        <w:t xml:space="preserve">tau proteins and to </w:t>
      </w:r>
      <w:r w:rsidR="00EE65B2" w:rsidRPr="003B67B0">
        <w:rPr>
          <w:b/>
          <w:szCs w:val="24"/>
          <w:lang w:val="en-GB"/>
        </w:rPr>
        <w:t>acquire a</w:t>
      </w:r>
      <w:r w:rsidR="00027932" w:rsidRPr="003B67B0">
        <w:rPr>
          <w:b/>
          <w:szCs w:val="24"/>
          <w:lang w:val="en-GB"/>
        </w:rPr>
        <w:t xml:space="preserve"> deeper understanding of the mechanisms behind V337M tau induced toxicity. </w:t>
      </w:r>
      <w:r w:rsidR="00027932" w:rsidRPr="003B67B0">
        <w:rPr>
          <w:b/>
          <w:i/>
          <w:szCs w:val="24"/>
          <w:lang w:val="en-GB"/>
        </w:rPr>
        <w:t>Drosophila</w:t>
      </w:r>
      <w:r w:rsidR="00027932" w:rsidRPr="003B67B0">
        <w:rPr>
          <w:b/>
          <w:szCs w:val="24"/>
          <w:lang w:val="en-GB"/>
        </w:rPr>
        <w:t xml:space="preserve"> and chicken neuronal cultures expressing hTauWT and hTauV337M proteins have been generated and </w:t>
      </w:r>
      <w:r w:rsidR="00EE65B2" w:rsidRPr="003B67B0">
        <w:rPr>
          <w:b/>
          <w:szCs w:val="24"/>
          <w:lang w:val="en-GB"/>
        </w:rPr>
        <w:t xml:space="preserve">cell </w:t>
      </w:r>
      <w:r w:rsidR="00027932" w:rsidRPr="003B67B0">
        <w:rPr>
          <w:b/>
          <w:szCs w:val="24"/>
          <w:lang w:val="en-GB"/>
        </w:rPr>
        <w:t xml:space="preserve">phenotypes compared after 1 week. Our results show that V337M mutation induces a strong phenotype in drosophila neurons, while in </w:t>
      </w:r>
      <w:r w:rsidR="00EE65B2" w:rsidRPr="003B67B0">
        <w:rPr>
          <w:b/>
          <w:szCs w:val="24"/>
          <w:lang w:val="en-GB"/>
        </w:rPr>
        <w:t xml:space="preserve">the </w:t>
      </w:r>
      <w:r w:rsidR="00027932" w:rsidRPr="003B67B0">
        <w:rPr>
          <w:b/>
          <w:szCs w:val="24"/>
          <w:lang w:val="en-GB"/>
        </w:rPr>
        <w:t xml:space="preserve">chicken ones’ similar </w:t>
      </w:r>
      <w:r w:rsidR="00EE65B2" w:rsidRPr="003B67B0">
        <w:rPr>
          <w:b/>
          <w:szCs w:val="24"/>
          <w:lang w:val="en-GB"/>
        </w:rPr>
        <w:t xml:space="preserve">but weaker </w:t>
      </w:r>
      <w:r w:rsidR="00027932" w:rsidRPr="003B67B0">
        <w:rPr>
          <w:b/>
          <w:szCs w:val="24"/>
          <w:lang w:val="en-GB"/>
        </w:rPr>
        <w:t xml:space="preserve">phenotype is present. Furthermore, we have also established that </w:t>
      </w:r>
      <w:r w:rsidR="00F70EA4" w:rsidRPr="003B67B0">
        <w:rPr>
          <w:b/>
          <w:szCs w:val="24"/>
          <w:lang w:val="en-GB"/>
        </w:rPr>
        <w:t>hTauV337M</w:t>
      </w:r>
      <w:r w:rsidR="00027932" w:rsidRPr="003B67B0">
        <w:rPr>
          <w:b/>
          <w:szCs w:val="24"/>
          <w:lang w:val="en-GB"/>
        </w:rPr>
        <w:t xml:space="preserve"> is actively </w:t>
      </w:r>
      <w:r w:rsidR="00F70EA4" w:rsidRPr="003B67B0">
        <w:rPr>
          <w:b/>
          <w:szCs w:val="24"/>
          <w:lang w:val="en-GB"/>
        </w:rPr>
        <w:t>located along the axons and dendrites in the chicken neurons</w:t>
      </w:r>
      <w:r w:rsidR="00027932" w:rsidRPr="003B67B0">
        <w:rPr>
          <w:b/>
          <w:szCs w:val="24"/>
          <w:lang w:val="en-GB"/>
        </w:rPr>
        <w:t xml:space="preserve">. Although we do not have a complete image of how V337M mutation induces degeneration, our results are the first part of a series of experiments that will </w:t>
      </w:r>
      <w:r w:rsidR="000B0AB3" w:rsidRPr="003B67B0">
        <w:rPr>
          <w:b/>
          <w:szCs w:val="24"/>
          <w:lang w:val="en-GB"/>
        </w:rPr>
        <w:t xml:space="preserve">further work towards this goal. </w:t>
      </w:r>
    </w:p>
    <w:p w:rsidR="00DB049D" w:rsidRPr="003B67B0" w:rsidRDefault="00DB049D" w:rsidP="00DB049D">
      <w:pPr>
        <w:pStyle w:val="NoSpacing"/>
        <w:pBdr>
          <w:bottom w:val="single" w:sz="6" w:space="1" w:color="auto"/>
        </w:pBdr>
        <w:jc w:val="both"/>
        <w:rPr>
          <w:b/>
          <w:szCs w:val="24"/>
          <w:lang w:val="en-GB"/>
        </w:rPr>
      </w:pPr>
    </w:p>
    <w:p w:rsidR="00DB049D" w:rsidRPr="003B67B0" w:rsidRDefault="00DB049D" w:rsidP="00DB049D">
      <w:pPr>
        <w:pStyle w:val="NoSpacing"/>
        <w:pBdr>
          <w:bottom w:val="single" w:sz="6" w:space="1" w:color="auto"/>
        </w:pBdr>
        <w:jc w:val="both"/>
        <w:rPr>
          <w:szCs w:val="24"/>
          <w:lang w:val="en-GB"/>
        </w:rPr>
      </w:pPr>
      <w:r w:rsidRPr="003B67B0">
        <w:rPr>
          <w:b/>
          <w:szCs w:val="24"/>
        </w:rPr>
        <w:t>Key words:</w:t>
      </w:r>
      <w:r w:rsidRPr="003B67B0">
        <w:rPr>
          <w:szCs w:val="24"/>
        </w:rPr>
        <w:t xml:space="preserve"> </w:t>
      </w:r>
      <w:r w:rsidR="002040E9" w:rsidRPr="003B67B0">
        <w:rPr>
          <w:szCs w:val="24"/>
        </w:rPr>
        <w:t xml:space="preserve">Frontotemporal dementia, tau, V337M mutation, microtubules, </w:t>
      </w:r>
      <w:r w:rsidR="002040E9" w:rsidRPr="003B67B0">
        <w:rPr>
          <w:i/>
          <w:szCs w:val="24"/>
        </w:rPr>
        <w:t>drosophila</w:t>
      </w:r>
      <w:r w:rsidR="002040E9" w:rsidRPr="003B67B0">
        <w:rPr>
          <w:szCs w:val="24"/>
        </w:rPr>
        <w:t xml:space="preserve"> neuronal cultures, chicken neuronal cultures</w:t>
      </w:r>
    </w:p>
    <w:p w:rsidR="003B67B0" w:rsidRDefault="003B67B0" w:rsidP="00F70EA4">
      <w:pPr>
        <w:jc w:val="both"/>
        <w:rPr>
          <w:b/>
        </w:rPr>
        <w:sectPr w:rsidR="003B67B0" w:rsidSect="00541680">
          <w:headerReference w:type="default" r:id="rId8"/>
          <w:pgSz w:w="11906" w:h="16838"/>
          <w:pgMar w:top="1440" w:right="1440" w:bottom="1440" w:left="1440" w:header="708" w:footer="708" w:gutter="0"/>
          <w:pgNumType w:start="1"/>
          <w:cols w:space="708"/>
          <w:titlePg/>
          <w:docGrid w:linePitch="360"/>
        </w:sectPr>
      </w:pPr>
    </w:p>
    <w:p w:rsidR="002040E9" w:rsidRPr="003B67B0" w:rsidRDefault="003B67B0" w:rsidP="00F70EA4">
      <w:pPr>
        <w:jc w:val="both"/>
        <w:rPr>
          <w:b/>
        </w:rPr>
      </w:pPr>
      <w:r>
        <w:rPr>
          <w:b/>
        </w:rPr>
        <w:t>I</w:t>
      </w:r>
      <w:r w:rsidR="00DB049D" w:rsidRPr="003B67B0">
        <w:rPr>
          <w:b/>
        </w:rPr>
        <w:t>ntroduction</w:t>
      </w:r>
    </w:p>
    <w:p w:rsidR="002040E9" w:rsidRPr="003B67B0" w:rsidRDefault="002040E9" w:rsidP="00F70EA4">
      <w:pPr>
        <w:pStyle w:val="NormalWeb"/>
        <w:jc w:val="both"/>
        <w:rPr>
          <w:rFonts w:asciiTheme="minorHAnsi" w:hAnsiTheme="minorHAnsi" w:cstheme="minorHAnsi"/>
          <w:bCs/>
          <w:sz w:val="22"/>
          <w:lang w:val="en"/>
        </w:rPr>
        <w:sectPr w:rsidR="002040E9" w:rsidRPr="003B67B0" w:rsidSect="003B67B0">
          <w:type w:val="continuous"/>
          <w:pgSz w:w="11906" w:h="16838"/>
          <w:pgMar w:top="1440" w:right="1440" w:bottom="1440" w:left="1440" w:header="708" w:footer="708" w:gutter="0"/>
          <w:pgNumType w:start="1"/>
          <w:cols w:num="2" w:space="708"/>
          <w:titlePg/>
          <w:docGrid w:linePitch="360"/>
        </w:sectPr>
      </w:pPr>
    </w:p>
    <w:p w:rsidR="002040E9" w:rsidRPr="003B67B0" w:rsidRDefault="002040E9" w:rsidP="00F70EA4">
      <w:pPr>
        <w:pStyle w:val="NormalWeb"/>
        <w:jc w:val="both"/>
        <w:rPr>
          <w:rFonts w:asciiTheme="minorHAnsi" w:hAnsiTheme="minorHAnsi" w:cstheme="minorHAnsi"/>
          <w:bCs/>
          <w:sz w:val="22"/>
          <w:lang w:val="en"/>
        </w:rPr>
      </w:pPr>
      <w:r w:rsidRPr="003B67B0">
        <w:rPr>
          <w:rFonts w:asciiTheme="minorHAnsi" w:hAnsiTheme="minorHAnsi" w:cstheme="minorHAnsi"/>
          <w:bCs/>
          <w:sz w:val="22"/>
          <w:lang w:val="en"/>
        </w:rPr>
        <w:t xml:space="preserve">Frontotemporal dementia (FTD) is represented by the degeneration of the frontotemporal lobar and is characterized by a progressive loss of neurons located in the frontal and/or temporal lobes, hence leading to a gradual deficiency in cognition, language ability and behavior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"10.1097/01.wad.0000183086.99691.91", "ISBN" : "0893-0341", "ISSN" : "0893-0341", "PMID" : "16317256", "abstract" : "What was once called Pick's disease has three major anatomic variants. With all three, frontotemporal brain is selectively injured whereas posterior cortical regions are spared. These three clinical patterns include a bifrontal, slightly asymmetric subtype with more involvement of the right frontotemporal region called frontotemporal dementia or the frontal variant of FTD (fvFTD), a temporal-predominant subtype called the temporal variant of FTD or semantic dementia (SD), and a left frontal-predominant subtype called progressive nonfluent aphasia (PNFA). The three anatomic groups help to classify distinctive clinical syndromes with unique features. Careful study of these subtypes of frontotemporal dementia, using combinations of new quantitative neuroimaging, behavioral and physiological measures are yielding important information about the functioning of the brain's frontal and temporal regions. As we come to better understand the biologic basis for the three FTD clinical syndromes, new classification schemas may emerge, but our current clinical criteria serve as a strong guide to the diagnosis and separation of FTD from Alzheimer disease and other dementias.", "author" : [ { "dropping-particle" : "", "family" : "Boxer", "given" : "Adam L", "non-dropping-particle" : "", "parse-names" : false, "suffix" : "" }, { "dropping-particle" : "", "family" : "Miller", "given" : "Bruce L", "non-dropping-particle" : "", "parse-names" : false, "suffix" : "" } ], "container-title" : "Alzheimer Disease and Associated Disorders", "id" : "ITEM-1", "issue" : "December", "issued" : { "date-parts" : [ [ "2005" ] ] }, "page" : "S3-S6", "title" : "Clinical features of frontotemporal dementia.", "type" : "article-journal", "volume" : "19 Suppl 1" }, "uris" : [ "http://www.mendeley.com/documents/?uuid=e1190a23-9d74-47f6-9be6-f0c43bde47d9" ] } ], "mendeley" : { "formattedCitation" : "[1]", "plainTextFormattedCitation" : "[1]", "previouslyFormattedCitation" : "[1]"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[1]</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Although it represents only a subtype of all the dementia cases, it accounts for approximately 20% of the young onset dementia cases, as most people affected are relatively young (55-65 years old)</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"10.1192/bjp.180.2.140", "ISSN" : "00071250", "abstract" : "Background Frontotemporal dementia accounts for up to 20% of cases of dementia in the presenium, yet remains poorly recognised. Diagnostic criteria have been devised to aid clinical diagnosis. Aims To provide an overview of clinical and pathological characteristics of frontotemporal dementia and its nosological status. Methods The review summarises consensus diagnostic criteria for frontotemporal dementia and draws on the authors' clinical experience of 300 frontotemporal dementia cases, and pathological experience of 50 autopsied cases. Results Frontotemporal dementia is characterised by pronounced changes in affect and personal and social conduct. Some patients also develop motor neuron disease. Mutations in the tau gene account for some but not all familial cases of frontotemporal dementia. Conclusions Frontotemporal dementia is a focal form of dementia, which is clinically and pathologically distinct from other dementias. It represents an important model for understanding the functions of the frontotemporal lobes.", "author" : [ { "dropping-particle" : "", "family" : "SNOWDEN", "given" : "J. S.", "non-dropping-particle" : "", "parse-names" : false, "suffix" : "" } ], "container-title" : "The British Journal of Psychiatry", "id" : "ITEM-1", "issue" : "2", "issued" : { "date-parts" : [ [ "2002" ] ] }, "page" : "140-143", "title" : "Frontotemporal dementia", "type" : "article-journal", "volume" : "180" }, "uris" : [ "http://www.mendeley.com/documents/?uuid=0c53e22c-8b9f-4d2c-8d0c-1abd453c132b" ] } ], "mendeley" : { "formattedCitation" : "[2]", "plainTextFormattedCitation" : "[2]", "previouslyFormattedCitation" : "[2]"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[2]</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w:t>
      </w:r>
    </w:p>
    <w:p w:rsidR="003B67B0" w:rsidRDefault="002040E9" w:rsidP="00F70EA4">
      <w:pPr>
        <w:pStyle w:val="NormalWeb"/>
        <w:jc w:val="both"/>
        <w:rPr>
          <w:rFonts w:asciiTheme="minorHAnsi" w:hAnsiTheme="minorHAnsi" w:cstheme="minorHAnsi"/>
          <w:bCs/>
          <w:sz w:val="22"/>
          <w:lang w:val="en"/>
        </w:rPr>
      </w:pPr>
      <w:r w:rsidRPr="003B67B0">
        <w:rPr>
          <w:rFonts w:asciiTheme="minorHAnsi" w:hAnsiTheme="minorHAnsi" w:cstheme="minorHAnsi"/>
          <w:bCs/>
          <w:sz w:val="22"/>
          <w:lang w:val="en"/>
        </w:rPr>
        <w:t xml:space="preserve">FTD occurs mostly in familial forms and frequently as sporadic events. Around 30% of diagnosed patents present hereditary forms of FTD, with up to 20% of these cases carrying different mutations in the MAPT (microtubule associated protein Tau) gene. Clinical cases of FTD due to mutations in the MAPT gene present a Parkinson like impairment -  degeneration of subcortical area of the brain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"10.1007/s12031-011-9593-4", "ISBN" : "0895-8696", "ISSN" : "08958696", "PMID" : "21785996", "abstract" : "Microtubule-associated protein tau is the most commonly misfolded protein in human neurodegenerative diseases, where it becomes hyperphosphorylated and filamentous. Mutations in MAPT, the tau gene, cause approximately 5% of cases of frontotemporal dementia. They are frequently accompanied by parkinsonism. The existence of MAPT mutations has established that dysfunction of tau protein is sufficient to cause neurodegeneration and dementia. However, most tauopathies are not inherited in a dominant manner. The hyperphosphorylated sites are similar between diseases, but filament morphologies and tau isoform compositions vary. This is consistent with the existence of multiple tau conformers and recent findings have provided experimental support for this concept.", "author" : [ { "dropping-particle" : "", "family" : "Goedert", "given" : "Michel", "non-dropping-particle" : "", "parse-names" : false, "suffix" : "" }, { "dropping-particle" : "", "family" : "Spillantini", "given" : "Maria Grazia", "non-dropping-particle" : "", "parse-names" : false, "suffix" : "" } ], "container-title" : "Journal of Molecular Neuroscience", "id" : "ITEM-1", "issue" : "3", "issued" : { "date-parts" : [ [ "2011" ] ] }, "page" : "425-431", "title" : "Pathogenesis of the tauopathies", "type" : "paper-conference", "volume" : "45" }, "uris" : [ "http://www.mendeley.com/documents/?uuid=982db646-8221-4c5f-b70a-f8eb385b8aae" ] } ], "mendeley" : { "formattedCitation" : "[3]", "plainTextFormattedCitation" : "[3]", "previouslyFormattedCitation" : "[3]"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[3]</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and are categorized as a tauopathy type disease. Tauopathies are a class of neurodegenerative diseases characterized by the existence in the human brains of tau </w:t>
      </w:r>
      <w:r w:rsidRPr="003B67B0">
        <w:rPr>
          <w:rFonts w:asciiTheme="minorHAnsi" w:hAnsiTheme="minorHAnsi" w:cstheme="minorHAnsi"/>
          <w:bCs/>
          <w:sz w:val="22"/>
          <w:lang w:val="en"/>
        </w:rPr>
        <w:t xml:space="preserve">protein deposits in various morphologies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"10.1083/jcb.201007161", "ISBN" : "1540-8140 (Electronic)\\n0021-9525 (Linking)", "ISSN" : "00219525", "PMID" : "21339331", "abstract" : "Changes of the microtubule-associated protein tau are central in Alzheimer's disease (AD) and frontotemporal dementia with Parkinsonism linked to chromosome 17 (FTDP-17). However, the functional consequence of the FTDP-17 tau mutation R406W, which causes a tauopathy clinically resembling AD, is not well understood. We find that the R406W mutation does not affect microtubule interaction but abolishes tau's membrane binding. Loss of binding is associated with decreased trapping at the tip of neurites and increased length fluctuations during process growth. Tandem affinity purification tag purification and mass spectrometry identify the calcium-regulated plasma membrane-binding protein annexin A2 (AnxA2) as a potential interaction partner of tau. Consistently, wild-type tau but not R406W tau interacts with AnxA2 in a heterologous yeast expression system. Sequestration of Ca(2+) or knockdown of AnxA2 abolishes the differential trapping of wild-type and R406W tau. We suggest that the pathological effect of the R406W mutation is caused by impaired membrane binding, which involves a functional interaction with AnxA2 as a membrane-cytoskeleton linker.", "author" : [ { "dropping-particle" : "", "family" : "Gauthier-Kemper", "given" : "Anne", "non-dropping-particle" : "", "parse-names" : false, "suffix" : "" }, { "dropping-particle" : "", "family" : "Weissmann", "given" : "Carina", "non-dropping-particle" : "", "parse-names" : false, "suffix" : "" }, { "dropping-particle" : "", "family" : "Golovyashkina", "given" : "Nataliya", "non-dropping-particle" : "", "parse-names" : false, "suffix" : "" }, { "dropping-particle" : "", "family" : "Seb\u00f6-Lemke", "given" : "Zsofia", "non-dropping-particle" : "", "parse-names" : false, "suffix" : "" }, { "dropping-particle" : "", "family" : "Drewes", "given" : "Gerard", "non-dropping-particle" : "", "parse-names" : false, "suffix" : "" }, { "dropping-particle" : "", "family" : "Gerke", "given" : "Volker", "non-dropping-particle" : "", "parse-names" : false, "suffix" : "" }, { "dropping-particle" : "", "family" : "Heinisch", "given" : "J\u00fcrgen J.", "non-dropping-particle" : "", "parse-names" : false, "suffix" : "" }, { "dropping-particle" : "", "family" : "Brandt", "given" : "Roland", "non-dropping-particle" : "", "parse-names" : false, "suffix" : "" } ], "container-title" : "Journal of Cell Biology", "id" : "ITEM-1", "issue" : "4", "issued" : { "date-parts" : [ [ "2011" ] ] }, "page" : "647-661", "title" : "The frontotemporal dementia mutation R406W blocks tau's interaction with the membrane in an annexin A2-dependent manner", "type" : "article-journal", "volume" : "192" }, "uris" : [ "http://www.mendeley.com/documents/?uuid=8abe9d16-4c08-4ccb-8fdb-564f0cc7ec35" ] } ], "mendeley" : { "formattedCitation" : "[4]", "plainTextFormattedCitation" : "[4]", "previouslyFormattedCitation" : "[4]"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[4]</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Currently, there are no effective treatments, preventative or curative, targeting tauopathies. Hence, acquiring a better understanding of tau function and roles in healthy pathology and disease models would allow identification of new possible targets for therapies</w:t>
      </w:r>
      <w:r w:rsidR="003B67B0">
        <w:rPr>
          <w:rFonts w:asciiTheme="minorHAnsi" w:hAnsiTheme="minorHAnsi" w:cstheme="minorHAnsi"/>
          <w:bCs/>
          <w:sz w:val="22"/>
          <w:lang w:val="en"/>
        </w:rPr>
        <w:t>.</w:t>
      </w:r>
    </w:p>
    <w:p w:rsidR="003B67B0" w:rsidRPr="003B67B0" w:rsidRDefault="003B67B0" w:rsidP="003B67B0">
      <w:pPr>
        <w:pStyle w:val="NormalWeb"/>
        <w:jc w:val="both"/>
        <w:rPr>
          <w:rFonts w:asciiTheme="minorHAnsi" w:hAnsiTheme="minorHAnsi" w:cstheme="minorHAnsi"/>
          <w:bCs/>
          <w:sz w:val="22"/>
          <w:lang w:val="en"/>
        </w:rPr>
        <w:sectPr w:rsidR="003B67B0" w:rsidRPr="003B67B0" w:rsidSect="003B67B0">
          <w:type w:val="continuous"/>
          <w:pgSz w:w="11906" w:h="16838"/>
          <w:pgMar w:top="1440" w:right="1440" w:bottom="1440" w:left="1440" w:header="708" w:footer="708" w:gutter="0"/>
          <w:pgNumType w:start="1"/>
          <w:cols w:num="2" w:space="708"/>
          <w:titlePg/>
          <w:docGrid w:linePitch="360"/>
        </w:sectPr>
      </w:pPr>
      <w:r w:rsidRPr="003B67B0">
        <w:rPr>
          <w:rFonts w:asciiTheme="minorHAnsi" w:hAnsiTheme="minorHAnsi" w:cstheme="minorHAnsi"/>
          <w:bCs/>
          <w:sz w:val="22"/>
          <w:lang w:val="en"/>
        </w:rPr>
        <w:t xml:space="preserve">Tau protein has a crucial role in neurons as it stabilizes microtubules, acts as a component of the neural cytoskeleton, defines neural polarity and facilitates axonal outgrowth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"10.3389/fneur.2013.00083", "ISBN" : "1664-2295 (Electronic)\\r1664-2295 (Linking)", "ISSN" : "16642295", "PMID" : "23847585", "abstract" : "Fibrillar deposits of highly phosphorylated tau are a key pathological feature of several neurodegenerative tauopathies including Alzheimer's disease (AD) and some frontotemporal dementias. Increasing evidence suggests that the presence of these end-stage neurofibrillary lesions do not cause neuronal loss, but rather that alterations to soluble tau proteins induce neurodegeneration. In particular, aberrant tau phosphorylation is acknowledged to be a key disease process, influencing tau structure, distribution, and function in neurons. Although typically described as a cytosolic protein that associates with microtubules and regulates axonal transport, several additional functions of tau have recently been demonstrated, including roles in DNA stabilization, and synaptic function. Most recently, studies examining the trans-synaptic spread of tau pathology in disease models have suggested a potential role for extracellular tau in cell signaling pathways intrinsic to neurodegeneration. Here we review the evidence showing that tau phosphorylation plays a key role in neurodegenerative tauopathies. We also comment on the tractability of altering phosphorylation-dependent tau functions for therapeutic intervention in AD and related disorders.", "author" : [ { "dropping-particle" : "", "family" : "Noble", "given" : "Wendy", "non-dropping-particle" : "", "parse-names" : false, "suffix" : "" }, { "dropping-particle" : "", "family" : "Hanger", "given" : "Diane P.", "non-dropping-particle" : "", "parse-names" : false, "suffix" : "" }, { "dropping-particle" : "", "family" : "Miller", "given" : "Christopher C J", "non-dropping-particle" : "", "parse-names" : false, "suffix" : "" }, { "dropping-particle" : "", "family" : "Lovestone", "given" : "Simon", "non-dropping-particle" : "", "parse-names" : false, "suffix" : "" } ], "container-title" : "Frontiers in Neurology", "id" : "ITEM-1", "issued" : { "date-parts" : [ [ "2013" ] ] }, "title" : "The importance of tau phosphorylation for neurodegenerative diseases", "type" : "article", "volume" : "4 JUL" }, "uris" : [ "http://www.mendeley.com/documents/?uuid=e4ebe8dc-08ac-4796-9943-bdb4f6e04f54" ] } ], "mendeley" : { "formattedCitation" : "[5]", "plainTextFormattedCitation" : "[5]", "previouslyFormattedCitation" : "[5]"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[5]</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As microtubules are the backbone of neuronal transport and synaptic plasticity, their regulation is directly linked to neurodegeneration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"10.1126/science.1152993", "ISBN" : "1095-9203 (Electronic)\\r0036-8075 (Linking)", "ISSN" : "0036-8075", "PMID" : "18202255", "abstract" : "Dynein and kinesin motor proteins transport cellular cargoes toward opposite ends of microtubule tracks. In neurons, microtubules are abundantly decorated with microtubule-associated proteins (MAPs) such as tau. Motor proteins thus encounter MAPs frequently along their path. To determine the effects of tau on dynein and kinesin motility, we conducted single-molecule studies of motor proteins moving along tau-decorated microtubules. Dynein tended to reverse direction, whereas kinesin tended to detach at patches of bound tau. Kinesin was inhibited at about a tenth of the tau concentration that inhibited dynein, and the microtubule-binding domain of tau was sufficient to inhibit motor activity. The differential modulation of dynein and kinesin motility suggests that MAPs can spatially regulate the balance of microtubule-dependent axonal transport", "author" : [ { "dropping-particle" : "", "family" : "Dixit", "given" : "R.", "non-dropping-particle" : "", "parse-names" : false, "suffix" : "" }, { "dropping-particle" : "", "family" : "Ross", "given" : "J. L.", "non-dropping-particle" : "", "parse-names" : false, "suffix" : "" }, { "dropping-particle" : "", "family" : "Goldman", "given" : "Y. E.", "non-dropping-particle" : "", "parse-names" : false, "suffix" : "" }, { "dropping-particle" : "", "family" : "Holzbaur", "given" : "E. L. F.", "non-dropping-particle" : "", "parse-names" : false, "suffix" : "" } ], "container-title" : "Science", "id" : "ITEM-1", "issue" : "5866", "issued" : { "date-parts" : [ [ "2008" ] ] }, "page" : "1086-1089", "title" : "Differential Regulation of Dynein and Kinesin Motor Proteins by Tau", "type" : "article-journal", "volume" : "319" }, "uris" : [ "http://www.mendeley.com/documents/?uuid=860968b2-f84a-45b2-99b4-de670a15f5b6" ] } ], "mendeley" : { "formattedCitation" : "[6]", "plainTextFormattedCitation" : "[6]", "previouslyFormattedCitation" : "[6]"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[6]</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Extensive evidence has demonstrated that dynamic microtubules growth is a decisive factor in the regulation of synaptic plasticity, and its turnover is linked to synaptic modifications and memory formation. Therefore, loss of microtubules dynamic and turnover due to failure of tau stabilization has been shown to be connected neurodegeneration (Figure 1)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"10.1016/j.neuron.2008.11.013", "ISBN" : "1097-4199 (Electronic)", "ISSN" : "08966273", "PMID" : "19146815", "abstract" : "Dendritic spines are the major sites of excitatory synaptic input, and their morphological changes have been linked to learning and memory processes. Here, we report that growing microtubule plus ends decorated by the microtubule tip-tracking protein EB3 enter spines and can modulate spine morphology. We describe p140Cap/SNIP, a regulator of Src tyrosine kinase, as an EB3 interacting partner that is predominately localized to spines and enriched in the postsynaptic density. Inhibition of microtubule dynamics, or knockdown of either EB3 or p140Cap, modulates spine shape via regulation of the actin cytoskeleton. Fluorescence recovery after photobleaching revealed that EB3-binding is required for p140Cap accumulation within spines. In addition, we found that p140Cap interacts with Src substrate and F-actin-binding protein cortactin. We propose that EB3-labeled growing microtubule ends regulate the localization of p140Cap, control cortactin function, and modulate actin dynamics within dendritic spines, thus linking dynamic microtubules to spine changes and synaptic plasticity. \u00a9 2009 Elsevier Inc. All rights reserved.", "author" : [ { "dropping-particle" : "", "family" : "Jaworski", "given" : "Jacek", "non-dropping-particle" : "", "parse-names" : false, "suffix" : "" }, { "dropping-particle" : "", "family" : "Kapitein", "given" : "Lukas C.", "non-dropping-particle" : "", "parse-names" : false, "suffix" : "" }, { "dropping-particle" : "", "family" : "Gouveia", "given" : "Susana Montenegro", "non-dropping-particle" : "", "parse-names" : false, "suffix" : "" }, { "dropping-particle" : "", "family" : "Dortland", "given" : "Bjorn R.", "non-dropping-particle" : "", "parse-names" : false, "suffix" : "" }, { "dropping-particle" : "", "family" : "Wulf", "given" : "Phebe S.", "non-dropping-particle" : "", "parse-names" : false, "suffix" : "" }, { "dropping-particle" : "", "family" : "Grigoriev", "given" : "Ilya", "non-dropping-particle" : "", "parse-names" : false, "suffix" : "" }, { "dropping-particle" : "", "family" : "Camera", "given" : "Paola", "non-dropping-particle" : "", "parse-names" : false, "suffix" : "" }, { "dropping-particle" : "", "family" : "Spangler", "given" : "Samantha A.", "non-dropping-particle" : "", "parse-names" : false, "suffix" : "" }, { "dropping-particle" : "", "family" : "Stefano", "given" : "Paola", "non-dropping-particle" : "Di", "parse-names" : false, "suffix" : "" }, { "dropping-particle" : "", "family" : "Demmers", "given" : "Jeroen", "non-dropping-particle" : "", "parse-names" : false, "suffix" : "" }, { "dropping-particle" : "", "family" : "Krugers", "given" : "Harm", "non-dropping-particle" : "", "parse-names" : false, "suffix" : "" }, { "dropping-particle" : "", "family" : "Defilippi", "given" : "Paola", "non-dropping-particle" : "", "parse-names" : false, "suffix" : "" }, { "dropping-particle" : "", "family" : "Akhmanova", "given" : "Anna", "non-dropping-particle" : "", "parse-names" : false, "suffix" : "" }, { "dropping-particle" : "", "family" : "Hoogenraad", "given" : "Casper C.", "non-dropping-particle" : "", "parse-names" : false, "suffix" : "" } ], "container-title" : "Neuron", "id" : "ITEM-1", "issue" : "1", "issued" : { "date-parts" : [ [ "2009" ] ] }, "page" : "85-100", "title" : "Dynamic Microtubules Regulate Dendritic Spine Morphology and Synaptic Plasticity", "type" : "article-journal", "volume" : "61" }, "uris" : [ "http://www.mendeley.com/documents/?uuid=582f997c-75a9-40b9-862b-a1c44c0a6a45" ] }, { "id" : "ITEM-2", "itemData" : { "DOI" : "10.1523/JNEUROSCI.3590-09.2009", "ISBN" : "1529-2401 (Electronic)\\r0270-6474 (Linking)", "ISSN" : "0270-6474", "PMID" : "19923278", "abstract" : "Alzheimer's disease is characterized by synaptic alterations and neurodegeneration. Histopathological hallmarks represent amyloid plaques composed of amyloid-beta (Abeta) and neurofibrillary tangles containing hyperphosphorylated tau. To determine whether synaptic changes and neurodegeneration share common pathways, we established an ex vivo model using organotypic hippocampal slice cultures from amyloid precursor protein transgenic mice combined with virus-mediated expression of EGFP-tagged tau constructs. Confocal high-resolution imaging, algorithm-based evaluation of spines, and live imaging were used to determine spine changes and neurodegeneration. We report that Abeta but not tau induces spine loss and shifts spine shape from mushroom to stubby through a mechanism involving NMDA receptor (NMDAR), calcineurin, and GSK-3beta activation. In contrast, Abeta alone does not cause neurodegeneration but induces toxicity through phosphorylation of wild-type (wt) tau in an NMDAR-dependent pathway. We show that GSK-3beta levels are elevated in APP transgenic cultures and that inhibiting GSK-3beta activity or use of phosphorylation-blocking tau mutations prevented Abeta-induced toxicity of tau. FTDP-17 tau mutants are differentially affected by Abeta. While R406W tau shows increased toxicity in the presence of Abeta, no change is observed with P301L tau. While blocking NMDAR activity abolishes toxicity of both wt and R406W tau, the inhibition of GSK-3beta only protects against toxicity of wt tau but not of R406W tau induced by Abeta. Tau aggregation does not correlate with toxicity. We propose that Abeta-induced spine pathology and tau-dependent neurodegeneration are mediated by divergent pathways downstream of NMDAR activation and suggest that Abeta affects wt and R406W tau toxicity by different pathways downstream of NMDAR activity.", "author" : [ { "dropping-particle" : "", "family" : "Tackenberg", "given" : "C.", "non-dropping-particle" : "", "parse-names" : false, "suffix" : "" }, { "dropping-particle" : "", "family" : "Brandt", "given" : "R.", "non-dropping-particle" : "", "parse-names" : false, "suffix" : "" } ], "container-title" : "Journal of Neuroscience", "id" : "ITEM-2", "issue" : "46", "issued" : { "date-parts" : [ [ "2009" ] ] }, "page" : "14439-14450", "title" : "Divergent Pathways Mediate Spine Alterations and Cell Death Induced by Amyloid-\u00a0, Wild-Type Tau, and R406W Tau", "type" : "article-journal", "volume" : "29" }, "uris" : [ "http://www.mendeley.com/documents/?uuid=68f7ebfe-61d4-4157-a42f-b60dec09d4fc" ] } ], "mendeley" : { "formattedCitation" : "[7,8]", "plainTextFormattedCitation" : "[7,8]", "previouslyFormattedCitation" : "[7,8]"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[7,8]</w:t>
      </w:r>
      <w:r w:rsidRPr="003B67B0">
        <w:rPr>
          <w:rFonts w:asciiTheme="minorHAnsi" w:hAnsiTheme="minorHAnsi" w:cstheme="minorHAnsi"/>
          <w:bCs/>
          <w:sz w:val="22"/>
          <w:lang w:val="en"/>
        </w:rPr>
        <w:fldChar w:fldCharType="end"/>
      </w:r>
      <w:r>
        <w:rPr>
          <w:rFonts w:asciiTheme="minorHAnsi" w:hAnsiTheme="minorHAnsi" w:cstheme="minorHAnsi"/>
          <w:bCs/>
          <w:sz w:val="22"/>
          <w:lang w:val="en"/>
        </w:rPr>
        <w:t>.</w:t>
      </w:r>
    </w:p>
    <w:p w:rsidR="003B67B0" w:rsidRDefault="003B67B0" w:rsidP="00F70EA4">
      <w:pPr>
        <w:pStyle w:val="NormalWeb"/>
        <w:jc w:val="both"/>
        <w:rPr>
          <w:rFonts w:asciiTheme="minorHAnsi" w:hAnsiTheme="minorHAnsi" w:cstheme="minorHAnsi"/>
          <w:bCs/>
          <w:lang w:val="en"/>
        </w:rPr>
        <w:sectPr w:rsidR="003B67B0" w:rsidSect="003B67B0">
          <w:type w:val="continuous"/>
          <w:pgSz w:w="11906" w:h="16838"/>
          <w:pgMar w:top="1440" w:right="1440" w:bottom="1440" w:left="1440" w:header="708" w:footer="708" w:gutter="0"/>
          <w:pgNumType w:start="1"/>
          <w:cols w:space="708"/>
          <w:titlePg/>
          <w:docGrid w:linePitch="360"/>
        </w:sectPr>
      </w:pPr>
    </w:p>
    <w:p w:rsidR="003B67B0" w:rsidRDefault="003B67B0" w:rsidP="002040E9">
      <w:pPr>
        <w:pStyle w:val="NormalWeb"/>
        <w:rPr>
          <w:rFonts w:asciiTheme="minorHAnsi" w:hAnsiTheme="minorHAnsi" w:cstheme="minorHAnsi"/>
          <w:bCs/>
          <w:lang w:val="en"/>
        </w:rPr>
        <w:sectPr w:rsidR="003B67B0" w:rsidSect="002040E9">
          <w:type w:val="continuous"/>
          <w:pgSz w:w="11906" w:h="16838"/>
          <w:pgMar w:top="1440" w:right="1440" w:bottom="1440" w:left="1440" w:header="708" w:footer="708" w:gutter="0"/>
          <w:pgNumType w:start="1"/>
          <w:cols w:space="708"/>
          <w:titlePg/>
          <w:docGrid w:linePitch="360"/>
        </w:sectPr>
      </w:pPr>
    </w:p>
    <w:p w:rsidR="002040E9" w:rsidRDefault="003B67B0" w:rsidP="002040E9">
      <w:pPr>
        <w:pStyle w:val="NormalWeb"/>
        <w:rPr>
          <w:rFonts w:asciiTheme="minorHAnsi" w:hAnsiTheme="minorHAnsi" w:cstheme="minorHAnsi"/>
          <w:bCs/>
          <w:lang w:val="en"/>
        </w:rPr>
        <w:sectPr w:rsidR="002040E9" w:rsidSect="002040E9">
          <w:type w:val="continuous"/>
          <w:pgSz w:w="11906" w:h="16838"/>
          <w:pgMar w:top="1440" w:right="1440" w:bottom="1440" w:left="1440" w:header="708" w:footer="708" w:gutter="0"/>
          <w:pgNumType w:start="1"/>
          <w:cols w:space="708"/>
          <w:titlePg/>
          <w:docGrid w:linePitch="360"/>
        </w:sectPr>
      </w:pPr>
      <w:r w:rsidRPr="000072E8">
        <w:rPr>
          <w:rFonts w:cstheme="minorHAnsi"/>
          <w:noProof/>
        </w:rPr>
        <w:lastRenderedPageBreak/>
        <mc:AlternateContent>
          <mc:Choice Requires="wps">
            <w:drawing>
              <wp:anchor distT="45720" distB="45720" distL="114300" distR="114300" simplePos="0" relativeHeight="251663360" behindDoc="0" locked="0" layoutInCell="1" allowOverlap="1" wp14:anchorId="6F67A356" wp14:editId="75F20CE1">
                <wp:simplePos x="0" y="0"/>
                <wp:positionH relativeFrom="margin">
                  <wp:align>left</wp:align>
                </wp:positionH>
                <wp:positionV relativeFrom="paragraph">
                  <wp:posOffset>5831055</wp:posOffset>
                </wp:positionV>
                <wp:extent cx="5480050" cy="1516380"/>
                <wp:effectExtent l="0" t="0" r="635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1516380"/>
                        </a:xfrm>
                        <a:prstGeom prst="rect">
                          <a:avLst/>
                        </a:prstGeom>
                        <a:solidFill>
                          <a:srgbClr val="FFFFFF"/>
                        </a:solidFill>
                        <a:ln w="9525">
                          <a:noFill/>
                          <a:miter lim="800000"/>
                          <a:headEnd/>
                          <a:tailEnd/>
                        </a:ln>
                      </wps:spPr>
                      <wps:txbx>
                        <w:txbxContent>
                          <w:p w:rsidR="002040E9" w:rsidRDefault="002040E9" w:rsidP="00F70EA4">
                            <w:pPr>
                              <w:jc w:val="both"/>
                            </w:pPr>
                            <w:r w:rsidRPr="000072E8">
                              <w:rPr>
                                <w:b/>
                                <w:bCs/>
                              </w:rPr>
                              <w:t xml:space="preserve">Figure 1| Tau involvement in maintaining microtubule stabilization. </w:t>
                            </w:r>
                            <w:r w:rsidRPr="000072E8">
                              <w:t xml:space="preserve">Along the axon, tau binds to microtubules and </w:t>
                            </w:r>
                            <w:r>
                              <w:t>stabilizes them in a – polarity</w:t>
                            </w:r>
                            <w:r w:rsidRPr="000072E8">
                              <w:t xml:space="preserve"> to + polarity </w:t>
                            </w:r>
                            <w:r w:rsidR="00F70EA4" w:rsidRPr="000072E8">
                              <w:t>manner</w:t>
                            </w:r>
                            <w:r w:rsidRPr="000072E8">
                              <w:t xml:space="preserve">. Tubulin, </w:t>
                            </w:r>
                            <w:r>
                              <w:t>the heterodimer protein that forms the microtubules</w:t>
                            </w:r>
                            <w:r w:rsidR="00F70EA4">
                              <w:t>,</w:t>
                            </w:r>
                            <w:r>
                              <w:t xml:space="preserve"> presents dual polarity, which gives the direction of the microtubules growth. </w:t>
                            </w:r>
                            <w:r w:rsidR="00F70EA4">
                              <w:t>In h</w:t>
                            </w:r>
                            <w:r>
                              <w:t>ealthy</w:t>
                            </w:r>
                            <w:r w:rsidRPr="000072E8">
                              <w:t xml:space="preserve"> neurons </w:t>
                            </w:r>
                            <w:r w:rsidRPr="000072E8">
                              <w:rPr>
                                <w:b/>
                                <w:bCs/>
                              </w:rPr>
                              <w:t xml:space="preserve">(A), </w:t>
                            </w:r>
                            <w:r w:rsidRPr="000072E8">
                              <w:t xml:space="preserve">tau </w:t>
                            </w:r>
                            <w:r w:rsidR="00F70EA4">
                              <w:t>stabilizes</w:t>
                            </w:r>
                            <w:r w:rsidRPr="000072E8">
                              <w:t xml:space="preserve"> the microtubule dynamic growth. During tauopathies diseases, the function of tau is compromised, resulting in less tau binding to microtubules and more neurofibrillary tangles formation, contributing to the neuropathology of </w:t>
                            </w:r>
                            <w:r w:rsidR="00F70EA4">
                              <w:t>the disease</w:t>
                            </w:r>
                            <w:r>
                              <w:t xml:space="preserve"> (adapted from </w:t>
                            </w:r>
                            <w:r>
                              <w:fldChar w:fldCharType="begin" w:fldLock="1"/>
                            </w:r>
                            <w:r w:rsidR="003B67B0">
                              <w:instrText>ADDIN CSL_CITATION { "citationItems" : [ { "id" : "ITEM-1", "itemData" : { "DOI" : "10.1038/nrd2959", "ISBN" : "1474-1784 (Electronic)\\n1474-1776 (Linking)", "ISSN" : "1474-1776", "PMID" : "19794442", "abstract" : "Neuronal inclusions comprised of the microtubule-associated protein tau are found in numerous neurodegenerative diseases, commonly known as tauopathies. In Alzheimer's disease - the most prevalent tauopathy - misfolded tau is probably a key pathological agent. The recent failure of amyloid-beta-targeted therapeutics in Phase III clinical trials suggests that it is timely and prudent to consider alternative drug discovery strategies for Alzheimer's disease. Here, we focus on strategies directed at reducing misfolded tau and compensating for the loss of normal tau function.", "author" : [ { "dropping-particle" : "", "family" : "Brunden", "given" : "Kurt R.", "non-dropping-particle" : "", "parse-names" : false, "suffix" : "" }, { "dropping-particle" : "", "family" : "Trojanowski", "given" : "John Q.", "non-dropping-particle" : "", "parse-names" : false, "suffix" : "" }, { "dropping-particle" : "", "family" : "Lee", "given" : "Virginia M.-Y.", "non-dropping-particle" : "", "parse-names" : false, "suffix" : "" } ], "container-title" : "Nature Reviews Drug Discovery", "id" : "ITEM-1", "issue" : "10", "issued" : { "date-parts" : [ [ "2009" ] ] }, "page" : "783-793", "title" : "Advances in tau-focused drug discovery for Alzheimer's disease and related tauopathies", "type" : "article-journal", "volume" : "8" }, "uris" : [ "http://www.mendeley.com/documents/?uuid=7925fe36-ad23-44e6-9b46-df545921fe7b" ] } ], "mendeley" : { "formattedCitation" : "[25]", "plainTextFormattedCitation" : "[25]", "previouslyFormattedCitation" : "[26]" }, "properties" : { "noteIndex" : 0 }, "schema" : "https://github.com/citation-style-language/schema/raw/master/csl-citation.json" }</w:instrText>
                            </w:r>
                            <w:r>
                              <w:fldChar w:fldCharType="separate"/>
                            </w:r>
                            <w:r w:rsidR="003B67B0" w:rsidRPr="003B67B0">
                              <w:rPr>
                                <w:noProof/>
                              </w:rPr>
                              <w:t>[25]</w:t>
                            </w:r>
                            <w:r>
                              <w:fldChar w:fldCharType="end"/>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7A356" id="_x0000_t202" coordsize="21600,21600" o:spt="202" path="m,l,21600r21600,l21600,xe">
                <v:stroke joinstyle="miter"/>
                <v:path gradientshapeok="t" o:connecttype="rect"/>
              </v:shapetype>
              <v:shape id="Text Box 2" o:spid="_x0000_s1026" type="#_x0000_t202" style="position:absolute;margin-left:0;margin-top:459.15pt;width:431.5pt;height:119.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0LIAIAABwEAAAOAAAAZHJzL2Uyb0RvYy54bWysU21v2yAQ/j5p/wHxfbGdxW1qxam6dJkm&#10;dS9Sux+AMY7RgGNAYme/fgdO06j7No0PiOOOh+eeu1vdjlqRg3BegqlpMcspEYZDK82upj+etu+W&#10;lPjATMsUGFHTo/D0dv32zWqwlZhDD6oVjiCI8dVga9qHYKss87wXmvkZWGHQ2YHTLKDpdlnr2IDo&#10;WmXzPL/KBnCtdcCF93h7PznpOuF3neDhW9d5EYiqKXILaXdpb+KerVes2jlme8lPNNg/sNBMGvz0&#10;DHXPAiN7J/+C0pI78NCFGQedQddJLlIOmE2Rv8rmsWdWpFxQHG/PMvn/B8u/Hr47ItuaXlNimMYS&#10;PYkxkA8wknlUZ7C+wqBHi2FhxGuscsrU2wfgPz0xsOmZ2Yk752DoBWuRXRFfZhdPJxwfQZrhC7T4&#10;DdsHSEBj53SUDsUgiI5VOp4rE6lwvCwXyzwv0cXRV5TF1ftlql3Gqufn1vnwSYAm8VBTh6VP8Ozw&#10;4EOkw6rnkPibByXbrVQqGW7XbJQjB4Ztsk0rZfAqTBky1PSmnJcJ2UB8nzpIy4BtrKSuKRLFNTVW&#10;lOOjaVNIYFJNZ2SizEmfKMkkThibEQOjaA20R1TKwdSuOF546MH9pmTAVq2p/7VnTlCiPhtU+6ZY&#10;LGJvJ2NRXs/RcJee5tLDDEeomgZKpuMmpHmIOhi4w6p0Mun1wuTEFVswyXgal9jjl3aKehnq9R8A&#10;AAD//wMAUEsDBBQABgAIAAAAIQD1VUrV3gAAAAkBAAAPAAAAZHJzL2Rvd25yZXYueG1sTI/BTsMw&#10;EETvSPyDtZW4IOqE0iQNcSpAAnFt6Qc48TaJGq+j2G3Sv2c50ePOjGbfFNvZ9uKCo+8cKYiXEQik&#10;2pmOGgWHn8+nDIQPmozuHaGCK3rYlvd3hc6Nm2iHl31oBJeQz7WCNoQhl9LXLVrtl25AYu/oRqsD&#10;n2MjzagnLre9fI6iRFrdEX9o9YAfLdan/dkqOH5Pj+vNVH2FQ7p7Sd51l1buqtTDYn57BRFwDv9h&#10;+MNndCiZqXJnMl70CnhIULCJsxUItrNkxUrFuXidxiDLQt4uKH8BAAD//wMAUEsBAi0AFAAGAAgA&#10;AAAhALaDOJL+AAAA4QEAABMAAAAAAAAAAAAAAAAAAAAAAFtDb250ZW50X1R5cGVzXS54bWxQSwEC&#10;LQAUAAYACAAAACEAOP0h/9YAAACUAQAACwAAAAAAAAAAAAAAAAAvAQAAX3JlbHMvLnJlbHNQSwEC&#10;LQAUAAYACAAAACEALJWNCyACAAAcBAAADgAAAAAAAAAAAAAAAAAuAgAAZHJzL2Uyb0RvYy54bWxQ&#10;SwECLQAUAAYACAAAACEA9VVK1d4AAAAJAQAADwAAAAAAAAAAAAAAAAB6BAAAZHJzL2Rvd25yZXYu&#10;eG1sUEsFBgAAAAAEAAQA8wAAAIUFAAAAAA==&#10;" stroked="f">
                <v:textbox>
                  <w:txbxContent>
                    <w:p w:rsidR="002040E9" w:rsidRDefault="002040E9" w:rsidP="00F70EA4">
                      <w:pPr>
                        <w:jc w:val="both"/>
                      </w:pPr>
                      <w:r w:rsidRPr="000072E8">
                        <w:rPr>
                          <w:b/>
                          <w:bCs/>
                        </w:rPr>
                        <w:t xml:space="preserve">Figure 1| Tau involvement in maintaining microtubule stabilization. </w:t>
                      </w:r>
                      <w:r w:rsidRPr="000072E8">
                        <w:t xml:space="preserve">Along the axon, tau binds to microtubules and </w:t>
                      </w:r>
                      <w:r>
                        <w:t>stabilizes them in a – polarity</w:t>
                      </w:r>
                      <w:r w:rsidRPr="000072E8">
                        <w:t xml:space="preserve"> to + polarity </w:t>
                      </w:r>
                      <w:r w:rsidR="00F70EA4" w:rsidRPr="000072E8">
                        <w:t>manner</w:t>
                      </w:r>
                      <w:r w:rsidRPr="000072E8">
                        <w:t xml:space="preserve">. Tubulin, </w:t>
                      </w:r>
                      <w:r>
                        <w:t>the heterodimer protein that forms the microtubules</w:t>
                      </w:r>
                      <w:r w:rsidR="00F70EA4">
                        <w:t>,</w:t>
                      </w:r>
                      <w:r>
                        <w:t xml:space="preserve"> presents dual polarity, which gives the direction of the microtubules growth. </w:t>
                      </w:r>
                      <w:r w:rsidR="00F70EA4">
                        <w:t>In h</w:t>
                      </w:r>
                      <w:r>
                        <w:t>ealthy</w:t>
                      </w:r>
                      <w:r w:rsidRPr="000072E8">
                        <w:t xml:space="preserve"> neurons </w:t>
                      </w:r>
                      <w:r w:rsidRPr="000072E8">
                        <w:rPr>
                          <w:b/>
                          <w:bCs/>
                        </w:rPr>
                        <w:t xml:space="preserve">(A), </w:t>
                      </w:r>
                      <w:r w:rsidRPr="000072E8">
                        <w:t xml:space="preserve">tau </w:t>
                      </w:r>
                      <w:r w:rsidR="00F70EA4">
                        <w:t>stabilizes</w:t>
                      </w:r>
                      <w:r w:rsidRPr="000072E8">
                        <w:t xml:space="preserve"> the microtubule dynamic growth. During tauopathies diseases, the function of tau is compromised, resulting in less tau binding to microtubules and more neurofibrillary tangles formation, contributing to the neuropathology of </w:t>
                      </w:r>
                      <w:r w:rsidR="00F70EA4">
                        <w:t>the disease</w:t>
                      </w:r>
                      <w:r>
                        <w:t xml:space="preserve"> (adapted from </w:t>
                      </w:r>
                      <w:r>
                        <w:fldChar w:fldCharType="begin" w:fldLock="1"/>
                      </w:r>
                      <w:r w:rsidR="003B67B0">
                        <w:instrText>ADDIN CSL_CITATION { "citationItems" : [ { "id" : "ITEM-1", "itemData" : { "DOI" : "10.1038/nrd2959", "ISBN" : "1474-1784 (Electronic)\\n1474-1776 (Linking)", "ISSN" : "1474-1776", "PMID" : "19794442", "abstract" : "Neuronal inclusions comprised of the microtubule-associated protein tau are found in numerous neurodegenerative diseases, commonly known as tauopathies. In Alzheimer's disease - the most prevalent tauopathy - misfolded tau is probably a key pathological agent. The recent failure of amyloid-beta-targeted therapeutics in Phase III clinical trials suggests that it is timely and prudent to consider alternative drug discovery strategies for Alzheimer's disease. Here, we focus on strategies directed at reducing misfolded tau and compensating for the loss of normal tau function.", "author" : [ { "dropping-particle" : "", "family" : "Brunden", "given" : "Kurt R.", "non-dropping-particle" : "", "parse-names" : false, "suffix" : "" }, { "dropping-particle" : "", "family" : "Trojanowski", "given" : "John Q.", "non-dropping-particle" : "", "parse-names" : false, "suffix" : "" }, { "dropping-particle" : "", "family" : "Lee", "given" : "Virginia M.-Y.", "non-dropping-particle" : "", "parse-names" : false, "suffix" : "" } ], "container-title" : "Nature Reviews Drug Discovery", "id" : "ITEM-1", "issue" : "10", "issued" : { "date-parts" : [ [ "2009" ] ] }, "page" : "783-793", "title" : "Advances in tau-focused drug discovery for Alzheimer's disease and related tauopathies", "type" : "article-journal", "volume" : "8" }, "uris" : [ "http://www.mendeley.com/documents/?uuid=7925fe36-ad23-44e6-9b46-df545921fe7b" ] } ], "mendeley" : { "formattedCitation" : "[25]", "plainTextFormattedCitation" : "[25]", "previouslyFormattedCitation" : "[26]" }, "properties" : { "noteIndex" : 0 }, "schema" : "https://github.com/citation-style-language/schema/raw/master/csl-citation.json" }</w:instrText>
                      </w:r>
                      <w:r>
                        <w:fldChar w:fldCharType="separate"/>
                      </w:r>
                      <w:r w:rsidR="003B67B0" w:rsidRPr="003B67B0">
                        <w:rPr>
                          <w:noProof/>
                        </w:rPr>
                        <w:t>[25]</w:t>
                      </w:r>
                      <w:r>
                        <w:fldChar w:fldCharType="end"/>
                      </w:r>
                      <w:r>
                        <w:t xml:space="preserve">). </w:t>
                      </w:r>
                    </w:p>
                  </w:txbxContent>
                </v:textbox>
                <w10:wrap type="square" anchorx="margin"/>
              </v:shape>
            </w:pict>
          </mc:Fallback>
        </mc:AlternateContent>
      </w:r>
      <w:r>
        <w:rPr>
          <w:rFonts w:cstheme="minorHAnsi"/>
          <w:noProof/>
        </w:rPr>
        <w:drawing>
          <wp:anchor distT="0" distB="0" distL="114300" distR="114300" simplePos="0" relativeHeight="251661312" behindDoc="0" locked="0" layoutInCell="1" allowOverlap="1" wp14:anchorId="03B7D5B1" wp14:editId="3E8D8A84">
            <wp:simplePos x="0" y="0"/>
            <wp:positionH relativeFrom="page">
              <wp:posOffset>551306</wp:posOffset>
            </wp:positionH>
            <wp:positionV relativeFrom="paragraph">
              <wp:posOffset>425998</wp:posOffset>
            </wp:positionV>
            <wp:extent cx="6580505" cy="518604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0505" cy="5186045"/>
                    </a:xfrm>
                    <a:prstGeom prst="rect">
                      <a:avLst/>
                    </a:prstGeom>
                    <a:noFill/>
                  </pic:spPr>
                </pic:pic>
              </a:graphicData>
            </a:graphic>
            <wp14:sizeRelH relativeFrom="margin">
              <wp14:pctWidth>0</wp14:pctWidth>
            </wp14:sizeRelH>
            <wp14:sizeRelV relativeFrom="margin">
              <wp14:pctHeight>0</wp14:pctHeight>
            </wp14:sizeRelV>
          </wp:anchor>
        </w:drawing>
      </w:r>
    </w:p>
    <w:p w:rsidR="003B67B0" w:rsidRDefault="003B67B0" w:rsidP="00606A98">
      <w:pPr>
        <w:pStyle w:val="NormalWeb"/>
        <w:jc w:val="both"/>
        <w:rPr>
          <w:rFonts w:asciiTheme="minorHAnsi" w:hAnsiTheme="minorHAnsi" w:cstheme="minorHAnsi"/>
          <w:bCs/>
          <w:lang w:val="en"/>
        </w:rPr>
        <w:sectPr w:rsidR="003B67B0" w:rsidSect="003B67B0">
          <w:pgSz w:w="11906" w:h="16838"/>
          <w:pgMar w:top="1440" w:right="1440" w:bottom="1440" w:left="1440" w:header="708" w:footer="708" w:gutter="0"/>
          <w:cols w:num="2" w:space="708"/>
          <w:docGrid w:linePitch="360"/>
        </w:sectPr>
      </w:pPr>
    </w:p>
    <w:p w:rsidR="002040E9" w:rsidRPr="003B67B0" w:rsidRDefault="002040E9" w:rsidP="00606A98">
      <w:pPr>
        <w:pStyle w:val="NormalWeb"/>
        <w:jc w:val="both"/>
        <w:rPr>
          <w:rFonts w:asciiTheme="minorHAnsi" w:hAnsiTheme="minorHAnsi" w:cstheme="minorHAnsi"/>
          <w:bCs/>
          <w:sz w:val="22"/>
          <w:lang w:val="en"/>
        </w:rPr>
      </w:pPr>
      <w:r w:rsidRPr="003B67B0">
        <w:rPr>
          <w:rFonts w:asciiTheme="minorHAnsi" w:hAnsiTheme="minorHAnsi" w:cstheme="minorHAnsi"/>
          <w:bCs/>
          <w:sz w:val="22"/>
          <w:lang w:val="en"/>
        </w:rPr>
        <w:t>There are six different human Tau isoforms expressed in the adu</w:t>
      </w:r>
      <w:r w:rsidR="00F70EA4" w:rsidRPr="003B67B0">
        <w:rPr>
          <w:rFonts w:asciiTheme="minorHAnsi" w:hAnsiTheme="minorHAnsi" w:cstheme="minorHAnsi"/>
          <w:bCs/>
          <w:sz w:val="22"/>
          <w:lang w:val="en"/>
        </w:rPr>
        <w:t>lt brain; this being the result</w:t>
      </w:r>
      <w:r w:rsidRPr="003B67B0">
        <w:rPr>
          <w:rFonts w:asciiTheme="minorHAnsi" w:hAnsiTheme="minorHAnsi" w:cstheme="minorHAnsi"/>
          <w:bCs/>
          <w:sz w:val="22"/>
          <w:lang w:val="en"/>
        </w:rPr>
        <w:t xml:space="preserve"> of alternative splicing of axons 2, 3 and 10 of the MAPT gene (Figure 2)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"10.1002/jcp.22842", "ISBN" : "1097-4652 (Electronic)\\r0021-9541 (Linking)", "ISSN" : "00219541", "PMID" : "21604267", "abstract" : "Tau is a microtubule-associated protein that fulfills several functions critical for neuronal formation and health. Tau discharges its functions by producing multiple isoforms via regulated alternative splicing. These isoforms modulate tau function in normal brain by altering the domains of the protein, thereby influencing its localization, conformation, and post-translational modifications and hence its availability and affinity for microtubules and other ligands. Disturbances in tau expression result in disruption of the neuronal cytoskeleton and formation of tau structures (neurofibrillary tangles) found in brains of dementia sufferers. More specifically, aberrations in tau splicing regulation directly cause several neurodegenerative diseases, which lead to dementia. In this review, I present our cumulative knowledge of tau splicing regulation in connection with neurodegeneration and also briefly go over the still-extensive list of questions that are connected to tau (dys)function.", "author" : [ { "dropping-particle" : "", "family" : "Andreadis", "given" : "Athena", "non-dropping-particle" : "", "parse-names" : false, "suffix" : "" } ], "container-title" : "Journal of Cellular Physiology", "id" : "ITEM-1", "issue" : "3", "issued" : { "date-parts" : [ [ "2012" ] ] }, "page" : "1220-1225", "title" : "Tau splicing and the intricacies of dementia", "type" : "article", "volume" : "227" }, "uris" : [ "http://www.mendeley.com/documents/?uuid=45ca79ea-7cca-4483-9cb2-e5f5548372c3" ] } ], "mendeley" : { "formattedCitation" : "[9]", "plainTextFormattedCitation" : "[9]", "previouslyFormattedCitation" : "[9]"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[9]</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In healthy brains, the ration between the different isoforms (4R and 3R) is ba</w:t>
      </w:r>
      <w:r w:rsidR="00F70EA4" w:rsidRPr="003B67B0">
        <w:rPr>
          <w:rFonts w:asciiTheme="minorHAnsi" w:hAnsiTheme="minorHAnsi" w:cstheme="minorHAnsi"/>
          <w:bCs/>
          <w:sz w:val="22"/>
          <w:lang w:val="en"/>
        </w:rPr>
        <w:t>lanced, however in FTD cases this</w:t>
      </w:r>
      <w:r w:rsidRPr="003B67B0">
        <w:rPr>
          <w:rFonts w:asciiTheme="minorHAnsi" w:hAnsiTheme="minorHAnsi" w:cstheme="minorHAnsi"/>
          <w:bCs/>
          <w:sz w:val="22"/>
          <w:lang w:val="en"/>
        </w:rPr>
        <w:t xml:space="preserve"> ratio presents a significant</w:t>
      </w:r>
      <w:r w:rsidR="00F70EA4" w:rsidRPr="003B67B0">
        <w:rPr>
          <w:rFonts w:asciiTheme="minorHAnsi" w:hAnsiTheme="minorHAnsi" w:cstheme="minorHAnsi"/>
          <w:bCs/>
          <w:sz w:val="22"/>
          <w:lang w:val="en"/>
        </w:rPr>
        <w:t xml:space="preserve"> shift towards the</w:t>
      </w:r>
      <w:r w:rsidRPr="003B67B0">
        <w:rPr>
          <w:rFonts w:asciiTheme="minorHAnsi" w:hAnsiTheme="minorHAnsi" w:cstheme="minorHAnsi"/>
          <w:bCs/>
          <w:sz w:val="22"/>
          <w:lang w:val="en"/>
        </w:rPr>
        <w:t xml:space="preserve"> 4R isoforms, </w:t>
      </w:r>
      <w:r w:rsidR="00F70EA4" w:rsidRPr="003B67B0">
        <w:rPr>
          <w:rFonts w:asciiTheme="minorHAnsi" w:hAnsiTheme="minorHAnsi" w:cstheme="minorHAnsi"/>
          <w:bCs/>
          <w:sz w:val="22"/>
          <w:lang w:val="en"/>
        </w:rPr>
        <w:t xml:space="preserve">followed by </w:t>
      </w:r>
      <w:r w:rsidRPr="003B67B0">
        <w:rPr>
          <w:rFonts w:asciiTheme="minorHAnsi" w:hAnsiTheme="minorHAnsi" w:cstheme="minorHAnsi"/>
          <w:bCs/>
          <w:sz w:val="22"/>
          <w:lang w:val="en"/>
        </w:rPr>
        <w:t xml:space="preserve">4R Tau protein deposits of neurofibrillary tangles being augmented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"10.1007/s12031-011-9593-4", "ISBN" : "0895-8696", "ISSN" : "08958696", "PMID" : "21785996", "abstract" : "Microtubule-associated protein tau is the most commonly misfolded protein in human neurodegenerative diseases, where it becomes hyperphosphorylated and filamentous. Mutations in MAPT, the tau gene, cause approximately 5% of cases of frontotemporal dementia. They are frequently accompanied by parkinsonism. The existence of MAPT mutations has established that dysfunction of tau protein is sufficient to cause neurodegeneration and dementia. However, most tauopathies are not inherited in a dominant manner. The hyperphosphorylated sites are similar between diseases, but filament morphologies and tau isoform compositions vary. This is consistent with the existence of multiple tau conformers and recent findings have provided experimental support for this concept.", "author" : [ { "dropping-particle" : "", "family" : "Goedert", "given" : "Michel", "non-dropping-particle" : "", "parse-names" : false, "suffix" : "" }, { "dropping-particle" : "", "family" : "Spillantini", "given" : "Maria Grazia", "non-dropping-particle" : "", "parse-names" : false, "suffix" : "" } ], "container-title" : "Journal of Molecular Neuroscience", "id" : "ITEM-1", "issue" : "3", "issued" : { "date-parts" : [ [ "2011" ] ] }, "page" : "425-431", "title" : "Pathogenesis of the tauopathies", "type" : "paper-conference", "volume" : "45" }, "uris" : [ "http://www.mendeley.com/documents/?uuid=982db646-8221-4c5f-b70a-f8eb385b8aae" ] } ], "mendeley" : { "formattedCitation" : "[3]", "plainTextFormattedCitation" : "[3]", "previouslyFormattedCitation" : "[3]"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[3]</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One of the crucial questions that are currently being researched is the mechanisms behind the Tau tangles formations. Mutations of the Tau protein might represent part of the answer</w:t>
      </w:r>
      <w:r w:rsidR="00F70EA4" w:rsidRPr="003B67B0">
        <w:rPr>
          <w:rFonts w:asciiTheme="minorHAnsi" w:hAnsiTheme="minorHAnsi" w:cstheme="minorHAnsi"/>
          <w:bCs/>
          <w:sz w:val="22"/>
          <w:lang w:val="en"/>
        </w:rPr>
        <w:t>,</w:t>
      </w:r>
      <w:r w:rsidRPr="003B67B0">
        <w:rPr>
          <w:rFonts w:asciiTheme="minorHAnsi" w:hAnsiTheme="minorHAnsi" w:cstheme="minorHAnsi"/>
          <w:bCs/>
          <w:sz w:val="22"/>
          <w:lang w:val="en"/>
        </w:rPr>
        <w:t xml:space="preserve"> as they may result in structurally and biochemically abnormal proteins and </w:t>
      </w:r>
      <w:r w:rsidR="00F70EA4" w:rsidRPr="003B67B0">
        <w:rPr>
          <w:rFonts w:asciiTheme="minorHAnsi" w:hAnsiTheme="minorHAnsi" w:cstheme="minorHAnsi"/>
          <w:bCs/>
          <w:sz w:val="22"/>
          <w:lang w:val="en"/>
        </w:rPr>
        <w:t xml:space="preserve">may induce an </w:t>
      </w:r>
      <w:r w:rsidRPr="003B67B0">
        <w:rPr>
          <w:rFonts w:asciiTheme="minorHAnsi" w:hAnsiTheme="minorHAnsi" w:cstheme="minorHAnsi"/>
          <w:bCs/>
          <w:sz w:val="22"/>
          <w:lang w:val="en"/>
        </w:rPr>
        <w:t xml:space="preserve">unbalance </w:t>
      </w:r>
      <w:r w:rsidR="00F70EA4" w:rsidRPr="003B67B0">
        <w:rPr>
          <w:rFonts w:asciiTheme="minorHAnsi" w:hAnsiTheme="minorHAnsi" w:cstheme="minorHAnsi"/>
          <w:bCs/>
          <w:sz w:val="22"/>
          <w:lang w:val="en"/>
        </w:rPr>
        <w:t>in the ratio between the 3R and 4R t</w:t>
      </w:r>
      <w:r w:rsidRPr="003B67B0">
        <w:rPr>
          <w:rFonts w:asciiTheme="minorHAnsi" w:hAnsiTheme="minorHAnsi" w:cstheme="minorHAnsi"/>
          <w:bCs/>
          <w:sz w:val="22"/>
          <w:lang w:val="en"/>
        </w:rPr>
        <w:t>au</w:t>
      </w:r>
      <w:r w:rsidR="00F70EA4" w:rsidRPr="003B67B0">
        <w:rPr>
          <w:rFonts w:asciiTheme="minorHAnsi" w:hAnsiTheme="minorHAnsi" w:cstheme="minorHAnsi"/>
          <w:bCs/>
          <w:sz w:val="22"/>
          <w:lang w:val="en"/>
        </w:rPr>
        <w:t xml:space="preserve"> levels</w:t>
      </w:r>
      <w:r w:rsidRPr="003B67B0">
        <w:rPr>
          <w:rFonts w:asciiTheme="minorHAnsi" w:hAnsiTheme="minorHAnsi" w:cstheme="minorHAnsi"/>
          <w:bCs/>
          <w:sz w:val="22"/>
          <w:lang w:val="en"/>
        </w:rPr>
        <w:t>. In normal state, tau is classified as a soluble protein, however in FTD MAPT mutations pathologies</w:t>
      </w:r>
      <w:r w:rsidR="00F70EA4" w:rsidRPr="003B67B0">
        <w:rPr>
          <w:rFonts w:asciiTheme="minorHAnsi" w:hAnsiTheme="minorHAnsi" w:cstheme="minorHAnsi"/>
          <w:bCs/>
          <w:sz w:val="22"/>
          <w:lang w:val="en"/>
        </w:rPr>
        <w:t>,</w:t>
      </w:r>
      <w:r w:rsidRPr="003B67B0">
        <w:rPr>
          <w:rFonts w:asciiTheme="minorHAnsi" w:hAnsiTheme="minorHAnsi" w:cstheme="minorHAnsi"/>
          <w:bCs/>
          <w:sz w:val="22"/>
          <w:lang w:val="en"/>
        </w:rPr>
        <w:t xml:space="preserve"> it is found </w:t>
      </w:r>
      <w:r w:rsidR="00F70EA4" w:rsidRPr="003B67B0">
        <w:rPr>
          <w:rFonts w:asciiTheme="minorHAnsi" w:hAnsiTheme="minorHAnsi" w:cstheme="minorHAnsi"/>
          <w:bCs/>
          <w:sz w:val="22"/>
          <w:lang w:val="en"/>
        </w:rPr>
        <w:t>in</w:t>
      </w:r>
      <w:r w:rsidRPr="003B67B0">
        <w:rPr>
          <w:rFonts w:asciiTheme="minorHAnsi" w:hAnsiTheme="minorHAnsi" w:cstheme="minorHAnsi"/>
          <w:bCs/>
          <w:sz w:val="22"/>
          <w:lang w:val="en"/>
        </w:rPr>
        <w:t xml:space="preserve"> an insoluble form – it tends to become </w:t>
      </w:r>
      <w:proofErr w:type="spellStart"/>
      <w:r w:rsidRPr="003B67B0">
        <w:rPr>
          <w:rFonts w:asciiTheme="minorHAnsi" w:hAnsiTheme="minorHAnsi" w:cstheme="minorHAnsi"/>
          <w:bCs/>
          <w:sz w:val="22"/>
          <w:lang w:val="en"/>
        </w:rPr>
        <w:t>hyperphosphorylated</w:t>
      </w:r>
      <w:proofErr w:type="spellEnd"/>
      <w:r w:rsidRPr="003B67B0">
        <w:rPr>
          <w:rFonts w:asciiTheme="minorHAnsi" w:hAnsiTheme="minorHAnsi" w:cstheme="minorHAnsi"/>
          <w:bCs/>
          <w:sz w:val="22"/>
          <w:lang w:val="en"/>
        </w:rPr>
        <w:t xml:space="preserve"> and accumulate in filaments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"10.1126/science.1132814", "ISBN" : "3145800777", "ISSN" : "0036-8075", "PMID" : "17082447", "abstract" : "One hundred years ago a small group of psychiatrists described the abnormal protein deposits in the brain that define the most common neurodegenerative diseases. Over the past 25 years, it has become clear that the proteins forming the deposits are central to the disease process. Amyloid-beta and tau make up the plaques and tangles of Alzheimer's disease, where these normally soluble proteins assemble into amyloid-like filaments. Tau inclusions are also found in a number of related disorders. Genetic studies have shown that dysfunction of amyloid-beta or tau is sufficient to cause dementia. The ongoing molecular dissection of the neurodegenerative pathways is expected to lead to a true understanding of disease pathogenesis.", "author" : [ { "dropping-particle" : "", "family" : "Goedert", "given" : "M.", "non-dropping-particle" : "", "parse-names" : false, "suffix" : "" }, { "dropping-particle" : "", "family" : "Spillantini", "given" : "M. G.", "non-dropping-particle" : "", "parse-names" : false, "suffix" : "" } ], "container-title" : "Science", "id" : "ITEM-1", "issue" : "5800", "issued" : { "date-parts" : [ [ "2006" ] ] }, "page" : "777-781", "title" : "A Century of Alzheimer's Disease", "type" : "article-journal", "volume" : "314" }, "uris" : [ "http://www.mendeley.com/documents/?uuid=c0bdf1bc-515e-4dc7-8d0b-0d566a2cdcea" ] } ], "mendeley" : { "formattedCitation" : "[10]", "plainTextFormattedCitation" : "[10]", "previouslyFormattedCitation" : "[10]"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[10]</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Consequently, </w:t>
      </w:r>
      <w:proofErr w:type="spellStart"/>
      <w:r w:rsidRPr="003B67B0">
        <w:rPr>
          <w:rFonts w:asciiTheme="minorHAnsi" w:hAnsiTheme="minorHAnsi" w:cstheme="minorHAnsi"/>
          <w:bCs/>
          <w:sz w:val="22"/>
          <w:lang w:val="en"/>
        </w:rPr>
        <w:t>hyperphosphorylation</w:t>
      </w:r>
      <w:proofErr w:type="spellEnd"/>
      <w:r w:rsidRPr="003B67B0">
        <w:rPr>
          <w:rFonts w:asciiTheme="minorHAnsi" w:hAnsiTheme="minorHAnsi" w:cstheme="minorHAnsi"/>
          <w:bCs/>
          <w:sz w:val="22"/>
          <w:lang w:val="en"/>
        </w:rPr>
        <w:t xml:space="preserve"> of the tau protein hallmarks the change in structure and plays a decisive role in generating FTD </w:t>
      </w:r>
      <w:r w:rsidR="00F70EA4" w:rsidRPr="003B67B0">
        <w:rPr>
          <w:rFonts w:asciiTheme="minorHAnsi" w:hAnsiTheme="minorHAnsi" w:cstheme="minorHAnsi"/>
          <w:bCs/>
          <w:sz w:val="22"/>
          <w:lang w:val="en"/>
        </w:rPr>
        <w:t>disease phenotypes</w:t>
      </w:r>
      <w:r w:rsidRPr="003B67B0">
        <w:rPr>
          <w:rFonts w:asciiTheme="minorHAnsi" w:hAnsiTheme="minorHAnsi" w:cstheme="minorHAnsi"/>
          <w:bCs/>
          <w:sz w:val="22"/>
          <w:lang w:val="en"/>
        </w:rPr>
        <w:t>. Tau contains a significant number of potential phosphorylation sites, around 85 sites per protein, which have a deciding influence on regulating its function. In heathy circumstan</w:t>
      </w:r>
      <w:r w:rsidR="00606A98" w:rsidRPr="003B67B0">
        <w:rPr>
          <w:rFonts w:asciiTheme="minorHAnsi" w:hAnsiTheme="minorHAnsi" w:cstheme="minorHAnsi"/>
          <w:bCs/>
          <w:sz w:val="22"/>
          <w:lang w:val="en"/>
        </w:rPr>
        <w:t>ces, tau has ~ 20 phosphate</w:t>
      </w:r>
      <w:r w:rsidRPr="003B67B0">
        <w:rPr>
          <w:rFonts w:asciiTheme="minorHAnsi" w:hAnsiTheme="minorHAnsi" w:cstheme="minorHAnsi"/>
          <w:bCs/>
          <w:sz w:val="22"/>
          <w:lang w:val="en"/>
        </w:rPr>
        <w:t xml:space="preserve"> molecules attached, however as its phosphorylation increases, tau’s affinity for </w:t>
      </w:r>
      <w:r w:rsidR="00606A98" w:rsidRPr="003B67B0">
        <w:rPr>
          <w:rFonts w:asciiTheme="minorHAnsi" w:hAnsiTheme="minorHAnsi" w:cstheme="minorHAnsi"/>
          <w:bCs/>
          <w:sz w:val="22"/>
          <w:lang w:val="en"/>
        </w:rPr>
        <w:t xml:space="preserve">binding to microtubules changes, </w:t>
      </w:r>
      <w:r w:rsidRPr="003B67B0">
        <w:rPr>
          <w:rFonts w:asciiTheme="minorHAnsi" w:hAnsiTheme="minorHAnsi" w:cstheme="minorHAnsi"/>
          <w:bCs/>
          <w:sz w:val="22"/>
          <w:lang w:val="en"/>
        </w:rPr>
        <w:t>hindering its ability to regulate their outgrowth</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"10.1074/jbc.270.13.7679", "ISBN" : "0021-9258 (Print)\\r0021-9258 (Linking)", "ISSN" : "00219258", "PMID" : "7706316", "abstract" : "Aberrant phosphorylation of the microtubule-associated protein tau is one of the pathological features of neuronal degeneration in Alzheimer's disease. The phosphorylation of Ser-262 within the microtubule binding region of tau is of particular interest because so far it is observed only in Alzheimer's disease (Hasegawa, M., Morishima-Kawashima, M., Takio, K., Suzuki, M., Titani, K., and Ihara, Y. (1992) J. Biol. Chem. 26, 17047-17054) and because phosphorylation of this site alone dramatically reduces the affinity for microtubules in vitro (Biernat, J., Gustke, N., Drewes, G., Mandelkow, E.-M., and Mandelkow, E. (1993) Neuron 11, 153-163). Here we describe the purification and characterization of a protein-serine kinase from brain tissue with an apparent molecular mass of 110 kDa on SDS gels. This kinase specifically phosphorylates tau on its KIGS or KCGS motifs in the repeat domain, whereas no significant phosphorylation outside this region was detected. Phosphorylation occurs mainly on Ser-262 located in the first repeat. This largely abolishes tau's binding to microtubules and makes them dynamically unstable, in contrast to other protein kinases that phosphorylate tau at or near the repeat domain. The data suggest a role for this novel kinase in cellular events involving rearrangement of the microtuble-associated proteins/microtubule arrays and their pathological degeneration in Alzheimer's disease.", "author" : [ { "dropping-particle" : "", "family" : "Drewes", "given" : "Gerard", "non-dropping-particle" : "", "parse-names" : false, "suffix" : "" }, { "dropping-particle" : "", "family" : "Trinczek", "given" : "Bernhard", "non-dropping-particle" : "", "parse-names" : false, "suffix" : "" }, { "dropping-particle" : "", "family" : "Illenberger", "given" : "Susanne", "non-dropping-particle" : "", "parse-names" : false, "suffix" : "" }, { "dropping-particle" : "", "family" : "Biernat", "given" : "Jacek", "non-dropping-particle" : "", "parse-names" : false, "suffix" : "" }, { "dropping-particle" : "", "family" : "Schmitt-Ulms", "given" : "Gerold", "non-dropping-particle" : "", "parse-names" : false, "suffix" : "" }, { "dropping-particle" : "", "family" : "Meyer", "given" : "Helmut E.", "non-dropping-particle" : "", "parse-names" : false, "suffix" : "" }, { "dropping-particle" : "", "family" : "Mandelkow", "given" : "Eva Maria", "non-dropping-particle" : "", "parse-names" : false, "suffix" : "" }, { "dropping-particle" : "", "family" : "Mandelkow", "given" : "Eckhard", "non-dropping-particle" : "", "parse-names" : false, "suffix" : "" } ], "container-title" : "Journal of Biological Chemistry", "id" : "ITEM-1", "issue" : "13", "issued" : { "date-parts" : [ [ "1995" ] ] }, "page" : "7679-7688", "title" : "Microtubule-associated protein/microtubule affinity-regulating kinase (p110mark): A novel protein kinase that regulates tau-microtubule interactions and dynamic instability by phosphorylation at the Alzheimer-specific site serine 262", "type" : "article-journal", "volume" : "270" }, "uris" : [ "http://www.mendeley.com/documents/?uuid=27cf994f-a05a-4e6b-9ebf-42d8e94ae801" ] }, { "id" : "ITEM-2", "itemData" : { "DOI" : "10.1016/j.molmed.2009.01.003", "ISBN" : "1471-4914 (Print)\\r1471-4914 (Linking)", "ISSN" : "14714914", "PMID" : "19246243", "abstract" : "The microtubule-associated protein tau is integral to the pathogenesis of Alzheimer's disease (AD), as well as several related disorders, termed tauopathies, in which tau is deposited in affected brain regions. In the tauopathies, pathological tau is in an elevated state of phosphorylation and is aberrantly cleaved. It also exhibits abnormal conformations and becomes aggregated, resulting in neurofibrillary tau pathology. Recent evidence suggests that relatively early disease-associated changes in soluble tau proteins, including phosphorylation, are involved in the induction of neuronal death. Here, we summarize recent developments that suggest new therapeutic strategies to prevent or reduce the progression of pathology in the tauopathies. A list of tau phosphorylation sites identified in the tauopathies and in controls accompanies this review. \u00a9 2009 Elsevier Ltd. All rights reserved.", "author" : [ { "dropping-particle" : "", "family" : "Hanger", "given" : "Diane P.", "non-dropping-particle" : "", "parse-names" : false, "suffix" : "" }, { "dropping-particle" : "", "family" : "Anderton", "given" : "Brian H.", "non-dropping-particle" : "", "parse-names" : false, "suffix" : "" }, { "dropping-particle" : "", "family" : "Noble", "given" : "Wendy", "non-dropping-particle" : "", "parse-names" : false, "suffix" : "" } ], "container-title" : "Trends in Molecular Medicine", "id" : "ITEM-2", "issue" : "3", "issued" : { "date-parts" : [ [ "2009" ] ] }, "page" : "112-119", "title" : "Tau phosphorylation: the therapeutic challenge for neurodegenerative disease", "type" : "article", "volume" : "15" }, "uris" : [ "http://www.mendeley.com/documents/?uuid=fa4975bd-4c1d-4fe4-8fed-143ecdf41956" ] } ], "mendeley" : { "formattedCitation" : "[11,12]", "plainTextFormattedCitation" : "[11,12]", "previouslyFormattedCitation" : "[11,12]"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[11,12]</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w:t>
      </w:r>
    </w:p>
    <w:p w:rsidR="002040E9" w:rsidRPr="003B67B0" w:rsidRDefault="002040E9" w:rsidP="00606A98">
      <w:pPr>
        <w:pStyle w:val="NormalWeb"/>
        <w:jc w:val="both"/>
        <w:rPr>
          <w:rFonts w:asciiTheme="minorHAnsi" w:hAnsiTheme="minorHAnsi" w:cstheme="minorHAnsi"/>
          <w:bCs/>
          <w:sz w:val="22"/>
          <w:lang w:val="en"/>
        </w:rPr>
      </w:pPr>
      <w:r w:rsidRPr="003B67B0">
        <w:rPr>
          <w:rFonts w:asciiTheme="minorHAnsi" w:hAnsiTheme="minorHAnsi" w:cstheme="minorHAnsi"/>
          <w:bCs/>
          <w:sz w:val="22"/>
          <w:lang w:val="en"/>
        </w:rPr>
        <w:t xml:space="preserve">Site specific phosphorylation has been shown to induce changes in its function- phosphorylation of the proline-rich regions of tau </w:t>
      </w:r>
      <w:r w:rsidR="00606A98" w:rsidRPr="003B67B0">
        <w:rPr>
          <w:rFonts w:asciiTheme="minorHAnsi" w:hAnsiTheme="minorHAnsi" w:cstheme="minorHAnsi"/>
          <w:bCs/>
          <w:sz w:val="22"/>
          <w:lang w:val="en"/>
        </w:rPr>
        <w:t>can</w:t>
      </w:r>
      <w:r w:rsidRPr="003B67B0">
        <w:rPr>
          <w:rFonts w:asciiTheme="minorHAnsi" w:hAnsiTheme="minorHAnsi" w:cstheme="minorHAnsi"/>
          <w:bCs/>
          <w:sz w:val="22"/>
          <w:lang w:val="en"/>
        </w:rPr>
        <w:t xml:space="preserve"> halt its microtubule regulation activity and stimulating an increase in its biochemical properties towards a more self-aggregating form</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"10.1042/0264-6021:3570759", "ISBN" : "0264-6021 (Print)\\r0264-6021 (Linking)", "ISSN" : "0264-6021", "PMID" : "11463346", "abstract" : "The microtubule-associated tau proteins represent a family of closely related phosphoproteins that become enriched in the axons during brain development. In Alzheimer's disease (AD), tau aggregates somatodendritically in paired helical filaments in a hyperphosphorylated form. Most of the sites that are phosphorylated to a high extent in paired helical filament tau are clustered in the proline-rich region (P-region; residues 172--251) and the C-terminal tail region (C-region; residues 368--441) that flank tau's microtubule-binding repeats. This might point to a role of a region-specific phosphorylation cluster for the pathogenesis of AD. To determine the functional consequences of such modifications, mutated tau proteins were produced in which a P- or C-region-specific phosphorylation cluster was simulated by replacement of serine/threonine residues with glutamate. We show that a phosphorylation-mimicking glutamate cluster in the P-region is sufficient to block microtubule assembly and to inhibit tau's interaction with the dominant brain phosphatase protein phosphatase 2A isoform AB alpha C. P-region-specific mutations also decrease tau aggregation into filaments and decrease tau's process-inducing activity in a cellular transfection model. In contrast, a phosphorylation-mimicking glutamate cluster in the C-region is neutral with regard to these activities. A glutamate cluster in both the P- and C-regions induces the formation of SDS-resistant conformational domains in tau and suppresses tau's interaction with the neural membrane cortex. The results indicate that modifications in the proline-rich region are sufficient to induce the functional deficiencies of tau that have been observed in AD. They suggest that phosphorylation of the proline-rich region has a crucial role in mediating tau-related changes during disease.", "author" : [ { "dropping-particle" : "", "family" : "Eidenm\u00fcller", "given" : "J", "non-dropping-particle" : "", "parse-names" : false, "suffix" : "" }, { "dropping-particle" : "", "family" : "Fath", "given" : "T", "non-dropping-particle" : "", "parse-names" : false, "suffix" : "" }, { "dropping-particle" : "", "family" : "Maas", "given" : "T", "non-dropping-particle" : "", "parse-names" : false, "suffix" : "" }, { "dropping-particle" : "", "family" : "Pool", "given" : "M", "non-dropping-particle" : "", "parse-names" : false, "suffix" : "" }, { "dropping-particle" : "", "family" : "Sontag", "given" : "E", "non-dropping-particle" : "", "parse-names" : false, "suffix" : "" }, { "dropping-particle" : "", "family" : "Brandt", "given" : "R", "non-dropping-particle" : "", "parse-names" : false, "suffix" : "" } ], "container-title" : "The Biochemical journal", "id" : "ITEM-1", "issue" : "Pt 3", "issued" : { "date-parts" : [ [ "2001" ] ] }, "page" : "759-67", "title" : "Phosphorylation-mimicking glutamate clusters in the proline-rich region are sufficient to simulate the functional deficiencies of hyperphosphorylated tau protein.", "type" : "article-journal", "volume" : "357" }, "uris" : [ "http://www.mendeley.com/documents/?uuid=69ebb9a5-d0d8-4fb1-a1e1-cb0327cd36a3" ] }, { "id" : "ITEM-2", "itemData" : { "DOI" : "10.1111/j.1460-9568.2007.05955.x", "ISBN" : "1460-9568 (Electronic)\\r0953-816X (Linking)", "ISSN" : "0953816X", "PMID" : "18052981", "abstract" : "Microtubule-associated protein tau is abnormally hyperphosphorylated and aggregated into neurofibrillary tangles in brains with Alzheimer's disease. The phosphorylation sites of tau are mainly localized in the proline-rich (residues 172-251) and C-terminal tail (residues 368-441) regions, which flank the microtubule-binding repeats. Here, we investigated the effects of tau phosphorylation at these distinct sites/regions on its activity of stimulating microtubule assembly and its self-aggregation. We found that tau phosphorylation at the proline-rich region by dual-specificity tyrosine-phosphorylated and -regulated kinase 1A inhibited its microtubule assembly activity moderately and promoted its self-aggregation slightly. Tau phosphorylation at the C-terminal tail region by glycogen synthase kinase-3beta increased its activity and promoted its self-aggregation markedly. Tau phosphorylation at both regions plus the microtubule-binding region by cAMP-dependent protein kinase diminished its activity (approximately 70% inhibition) and disrupted microtubules. These studies reveal the differential regulation of tau's biological activity and self-aggregation by phosphorylation at various sites/regions.", "author" : [ { "dropping-particle" : "", "family" : "Liu", "given" : "Fei", "non-dropping-particle" : "", "parse-names" : false, "suffix" : "" }, { "dropping-particle" : "", "family" : "Li", "given" : "Bin", "non-dropping-particle" : "", "parse-names" : false, "suffix" : "" }, { "dropping-particle" : "", "family" : "Tung", "given" : "E. Jan", "non-dropping-particle" : "", "parse-names" : false, "suffix" : "" }, { "dropping-particle" : "", "family" : "Grundke-Iqbal", "given" : "Inge", "non-dropping-particle" : "", "parse-names" : false, "suffix" : "" }, { "dropping-particle" : "", "family" : "Iqbal", "given" : "Khalid", "non-dropping-particle" : "", "parse-names" : false, "suffix" : "" }, { "dropping-particle" : "", "family" : "Gong", "given" : "Cheng Xin", "non-dropping-particle" : "", "parse-names" : false, "suffix" : "" } ], "container-title" : "European Journal of Neuroscience", "id" : "ITEM-2", "issue" : "12", "issued" : { "date-parts" : [ [ "2007" ] ] }, "page" : "3429-3436", "title" : "Site-specific effects of tau phosphorylation on its microtubule assembly activity and self-aggregation", "type" : "article-journal", "volume" : "26" }, "uris" : [ "http://www.mendeley.com/documents/?uuid=3253aa46-6aea-47d4-a39f-d71d25b58bea" ] } ], "mendeley" : { "formattedCitation" : "[13,14]", "plainTextFormattedCitation" : "[13,14]", "previouslyFormattedCitation" : "[13,14]"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[13,14]</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Although none of the current known mutations of MAPT are directly influencing the phosphorylation status of the tau protein, several mutations have been </w:t>
      </w:r>
      <w:r w:rsidRPr="003B67B0">
        <w:rPr>
          <w:rFonts w:asciiTheme="minorHAnsi" w:hAnsiTheme="minorHAnsi" w:cstheme="minorHAnsi"/>
          <w:bCs/>
          <w:sz w:val="22"/>
          <w:lang w:val="en"/>
        </w:rPr>
        <w:t xml:space="preserve">identified that can induce a heightened phosphorylation level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"10.1074/jbc.M405131200", "ISBN" : "0021-9258 (Print)\\r0021-9258 (Linking)", "ISSN" : "00219258", "PMID" : "15190058", "abstract" : "Mutations in the tau gene are known to cosegregate with the disease in frontotemporal dementia with parkinsonism linked to chromosome 17 (FTDP-17). However, the molecular mechanism by which these mutations might lead to the disease is not understood. Here, we show that four of the FTDP-17 tau mutations, R406W, V337M, G272V, and P301L, result in tau proteins that are more favorable substrates for phosphorylation by brain protein kinases than the wild-type, largest four-repeat protein tau4L and tau4L more than tau3L. In general, at all the sites studied, mutant tau proteins were phosphorylated faster and to a higher extent than tau4L and tau4L &gt; tau3L. The most dramatic difference found was in the rate and level of phosphorylation of tau4L(R406W) at positions Ser-396, Ser-400, Thr-403, and Ser-404. Phosphorylation of this mutant tau was 12 times faster and 400% greater at Ser-396 and less than 30% at Ser-400, Thr-403, and Ser-404 than phosphorylation of tau4L. The mutated tau proteins polymerized into filaments when 4-6 mol of phosphate per mol of tau were incorporated, whereas wild-type tau required approximately 10 mol of phosphate per mol of protein to self-assemble. Mutated and wild-type tau proteins were able to sequester normal tau upon incorporation of approximately 4 mol of phosphate per mol of protein, which was achieved at as early as 30 min of phosphorylation in the case of mutant tau proteins. These findings taken together suggest that the mutations in tau might cause neurodegeneration by making the protein a more favorable substrate for hyperphosphorylation.", "author" : [ { "dropping-particle" : "", "family" : "Alonso", "given" : "Alejandra Del C", "non-dropping-particle" : "", "parse-names" : false, "suffix" : "" }, { "dropping-particle" : "", "family" : "Mederlyova", "given" : "Anna", "non-dropping-particle" : "", "parse-names" : false, "suffix" : "" }, { "dropping-particle" : "", "family" : "Novak", "given" : "Michal", "non-dropping-particle" : "", "parse-names" : false, "suffix" : "" }, { "dropping-particle" : "", "family" : "Grundke-Iqbal", "given" : "Inge", "non-dropping-particle" : "", "parse-names" : false, "suffix" : "" }, { "dropping-particle" : "", "family" : "Iqbal", "given" : "Khalid", "non-dropping-particle" : "", "parse-names" : false, "suffix" : "" } ], "container-title" : "Journal of Biological Chemistry", "id" : "ITEM-1", "issue" : "33", "issued" : { "date-parts" : [ [ "2004" ] ] }, "page" : "34873-34881", "title" : "Promotion of hyperphosphorylation by frontotemporal dementia tau mutations", "type" : "article-journal", "volume" : "279" }, "uris" : [ "http://www.mendeley.com/documents/?uuid=36262a16-50eb-419c-83c9-0174c21aad85" ] } ], "mendeley" : { "formattedCitation" : "[15]", "plainTextFormattedCitation" : "[15]", "previouslyFormattedCitation" : "[15]"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[15]</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One of these mutations that has been identified is V337M, which is a </w:t>
      </w:r>
      <w:proofErr w:type="spellStart"/>
      <w:r w:rsidRPr="003B67B0">
        <w:rPr>
          <w:rFonts w:asciiTheme="minorHAnsi" w:hAnsiTheme="minorHAnsi" w:cstheme="minorHAnsi"/>
          <w:bCs/>
          <w:sz w:val="22"/>
          <w:lang w:val="en"/>
        </w:rPr>
        <w:t>exonic</w:t>
      </w:r>
      <w:proofErr w:type="spellEnd"/>
      <w:r w:rsidRPr="003B67B0">
        <w:rPr>
          <w:rFonts w:asciiTheme="minorHAnsi" w:hAnsiTheme="minorHAnsi" w:cstheme="minorHAnsi"/>
          <w:bCs/>
          <w:sz w:val="22"/>
          <w:lang w:val="en"/>
        </w:rPr>
        <w:t xml:space="preserve"> mutation and has </w:t>
      </w:r>
      <w:r w:rsidR="00606A98" w:rsidRPr="003B67B0">
        <w:rPr>
          <w:rFonts w:asciiTheme="minorHAnsi" w:hAnsiTheme="minorHAnsi" w:cstheme="minorHAnsi"/>
          <w:bCs/>
          <w:sz w:val="22"/>
          <w:lang w:val="en"/>
        </w:rPr>
        <w:t>proven</w:t>
      </w:r>
      <w:r w:rsidRPr="003B67B0">
        <w:rPr>
          <w:rFonts w:asciiTheme="minorHAnsi" w:hAnsiTheme="minorHAnsi" w:cstheme="minorHAnsi"/>
          <w:bCs/>
          <w:sz w:val="22"/>
          <w:lang w:val="en"/>
        </w:rPr>
        <w:t xml:space="preserve"> to affect all 6 tau human isoforms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"10.1016/0896-6273(89)90210-9", "ISBN" : "0896-6273 (Print)\\r0896-6273 (Linking)", "ISSN" : "08966273", "PMID" : "2484340", "abstract" : "We have determined the sequences of isoforms of human tau protein, which differ from previously reported forms by insertions of 29 or 58 amino acids in the amino-terminal region. Complementary DNA cloning shows that the insertions occur in combination with both three and four tandem repeats. RNAase protection assays indicate that transcripts encoding isoforms with the insertions are expressed in an adult-specific manner. Transcripts encoding four tandem repeats are also expressed in an adult-specific manner, whereas mRNAs encoding three tandem repeats are expressed throughout life, including in fetal brain. The levels of transcripts encoding the 29 or 58 amino acid inserts were not significantly changed in cerebral cortex from patients with Alzheimer's disease. Antisera raised against synthetic peptides corresponding to these different human tau isoforms demonstrate that multiple tau protein isoforms are incorporated into the neurofibrillary tangles of Alzheimer's disease. ?? 1989.", "author" : [ { "dropping-particle" : "", "family" : "Goedert", "given" : "M.", "non-dropping-particle" : "", "parse-names" : false, "suffix" : "" }, { "dropping-particle" : "", "family" : "Spillantini", "given" : "M. G.", "non-dropping-particle" : "", "parse-names" : false, "suffix" : "" }, { "dropping-particle" : "", "family" : "Jakes", "given" : "R.", "non-dropping-particle" : "", "parse-names" : false, "suffix" : "" }, { "dropping-particle" : "", "family" : "Rutherford", "given" : "D.", "non-dropping-particle" : "", "parse-names" : false, "suffix" : "" }, { "dropping-particle" : "", "family" : "Crowther", "given" : "R. A.", "non-dropping-particle" : "", "parse-names" : false, "suffix" : "" } ], "container-title" : "Neuron", "id" : "ITEM-1", "issue" : "4", "issued" : { "date-parts" : [ [ "1989" ] ] }, "page" : "519-526", "title" : "Multiple isoforms of human microtubule-associated protein tau: sequences and localization in neurofibrillary tangles of Alzheimer's disease", "type" : "article-journal", "volume" : "3" }, "uris" : [ "http://www.mendeley.com/documents/?uuid=96475712-1a9b-4c95-b55c-e0d992223e20" ] } ], "mendeley" : { "formattedCitation" : "[16]", "plainTextFormattedCitation" : "[16]", "previouslyFormattedCitation" : "[16]"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[16]</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Moreover, V337M is been one of the first mutations in MAPT shown to be present in familial sporadic cases, and to have a substantial description at the phenotypic and genetic linkage levels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"10.1212/WNL.42.1.120", "ISBN" : "0028-3878", "ISSN" : "0028-3878", "PMID" : "1734292", "abstract" : "We report a family in which 13 members in three generations had the presenile (age 42 to 66 years) onset of dementia with an autosomal dominant pattern of inheritance. An early symptom in eight individuals was prominent antisocial psychotic or belligerent behavior, often leading to the initial clinical diagnosis of paranoid schizophrenia. Duration of illness was longer than is usual in Alzheimer's disease (AD), ranging from 14 to 26 years in six members. Three affected siblings and a cousin have come to autopsy, and all had neurofibrillary tangles without senile plaques in several regions of the neocortex, amygdala, and parahippocampal gyrus. The hippocampus was free of both neurofibrillary tangles and senile plaques in all four, but in three there was neuronal loss with gliosis in the CA1 region of Ammon's horn bilaterally. There also was neuronal loss and neurofibrillary tangles in the nucleus basalis. The neurofibrillary tangles were tau-2 and Alz-50 positive and were composed of paired helical filaments ultrastructurally. The disease in this kindred appears to be a unique hereditary disorder that is distinct from familial AD.", "author" : [ { "dropping-particle" : "", "family" : "Sumi", "given" : "S M", "non-dropping-particle" : "", "parse-names" : false, "suffix" : "" }, { "dropping-particle" : "", "family" : "Bird", "given" : "T D", "non-dropping-particle" : "", "parse-names" : false, "suffix" : "" }, { "dropping-particle" : "", "family" : "Nochlin", "given" : "D", "non-dropping-particle" : "", "parse-names" : false, "suffix" : "" }, { "dropping-particle" : "", "family" : "Raskind", "given" : "M a", "non-dropping-particle" : "", "parse-names" : false, "suffix" : "" } ], "container-title" : "Neurology", "id" : "ITEM-1", "issue" : "1", "issued" : { "date-parts" : [ [ "1992" ] ] }, "page" : "120-127", "title" : "Familial presenile dementia with psychosis associated with cortical neurofibrillary tangles and degeneration of the amygdala", "type" : "article-journal", "volume" : "42" }, "uris" : [ "http://www.mendeley.com/documents/?uuid=afee7856-c6d6-4909-9653-00812b4bd24a" ] }, { "id" : "ITEM-2", "itemData" : { "ISSN" : "0028-3878 (Print)", "PMID" : "9109883", "abstract" : "Several previous families with differing clinical and pathologic characteristics have demonstrated linkage to the 17q21-22 region. We have performed a linkage analysis with chromosome 17 markers on three families showing autosomal dominant inheritance of non-Alzheimer dementia and 60 kindreds with late-onset familial Alzheimer's disease (FAD). Family A shows unequivocal evidence of linkage with a maximum lod score of 5.0 for marker D17S934 (theta = 0.001). This family has an unusual syndrome of a schizophrenia-like psychosis beginning in the fifth or sixth decade followed by severe dementia with an average disease duration of 13.8 years. Neuropathology from five autopsies in this family has shown marked neurofibrillary tangle formation (NFT), degeneration of the amygdala, and no amyloid plaques. This confirms the presence of a gene associated with dementia on 17q and extends the related phenotype to include schizophrenia-like symptoms and classic NFT pathology. A second family with early aphasia progressing to dementia and cortical-basal ganglion-like degeneration also has suggestive evidence for linkage to 17q. A third family with very early-onset dementia (mean, 31 years) and nonspecific pathology can be excluded from the 17q region and emphasizes additional genetic heterogeneity in non-Alzheimer hereditary dementia. Finally, we also present evidence against linkage to D17S579 in the set of 60 families with late-onset FAD, providing further evidence that the chromosome 17 gene is unlikely to be involved in the pathogenesis of typical AD", "author" : [ { "dropping-particle" : "", "family" : "Bird", "given" : "T D", "non-dropping-particle" : "", "parse-names" : false, "suffix" : "" }, { "dropping-particle" : "", "family" : "Wijsman", "given" : "E M", "non-dropping-particle" : "", "parse-names" : false, "suffix" : "" }, { "dropping-particle" : "", "family" : "Nochlin", "given" : "D", "non-dropping-particle" : "", "parse-names" : false, "suffix" : "" }, { "dropping-particle" : "", "family" : "Leehey", "given" : "M", "non-dropping-particle" : "", "parse-names" : false, "suffix" : "" }, { "dropping-particle" : "", "family" : "Sumi", "given" : "S M", "non-dropping-particle" : "", "parse-names" : false, "suffix" : "" }, { "dropping-particle" : "", "family" : "Payami", "given" : "H", "non-dropping-particle" : "", "parse-names" : false, "suffix" : "" }, { "dropping-particle" : "", "family" : "Poorkaj", "given" : "P", "non-dropping-particle" : "", "parse-names" : false, "suffix" : "" }, { "dropping-particle" : "", "family" : "Nemens", "given" : "E", "non-dropping-particle" : "", "parse-names" : false, "suffix" : "" }, { "dropping-particle" : "", "family" : "Rafkind", "given" : "M", "non-dropping-particle" : "", "parse-names" : false, "suffix" : "" }, { "dropping-particle" : "", "family" : "Schellenberg", "given" : "G D", "non-dropping-particle" : "", "parse-names" : false, "suffix" : "" } ], "container-title" : "Neurology", "id" : "ITEM-2", "issue" : "0028-3878 (Print)", "issued" : { "date-parts" : [ [ "1997" ] ] }, "page" : "949-954", "title" : "Chromosome 17 and hereditary dementia: linkage studies in three non-Alzheimer families and kindreds with late-onset FAD", "type" : "article-journal", "volume" : "48" }, "uris" : [ "http://www.mendeley.com/documents/?uuid=b6c16c71-e31a-4bfa-8e51-d8d4e574701f" ] } ], "mendeley" : { "formattedCitation" : "[17,18]", "plainTextFormattedCitation" : "[17,18]", "previouslyFormattedCitation" : "[17,18]"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[17,18]</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Different studies have been associating the presence of the V337M mutation with significant increase of </w:t>
      </w:r>
      <w:proofErr w:type="spellStart"/>
      <w:r w:rsidRPr="003B67B0">
        <w:rPr>
          <w:rFonts w:asciiTheme="minorHAnsi" w:hAnsiTheme="minorHAnsi" w:cstheme="minorHAnsi"/>
          <w:bCs/>
          <w:sz w:val="22"/>
          <w:lang w:val="en"/>
        </w:rPr>
        <w:t>hyperphosphorylated</w:t>
      </w:r>
      <w:proofErr w:type="spellEnd"/>
      <w:r w:rsidRPr="003B67B0">
        <w:rPr>
          <w:rFonts w:asciiTheme="minorHAnsi" w:hAnsiTheme="minorHAnsi" w:cstheme="minorHAnsi"/>
          <w:bCs/>
          <w:sz w:val="22"/>
          <w:lang w:val="en"/>
        </w:rPr>
        <w:t xml:space="preserve"> tau in both 4R and 3R isoforms and an increase of neurofibrillary tangles present in the brain </w:t>
      </w:r>
      <w:r w:rsidRPr="003B67B0">
        <w:rPr>
          <w:rFonts w:asciiTheme="minorHAnsi" w:hAnsiTheme="minorHAnsi" w:cstheme="minorHAnsi"/>
          <w:bCs/>
          <w:sz w:val="22"/>
          <w:lang w:val="en"/>
        </w:rPr>
        <w:fldChar w:fldCharType="begin" w:fldLock="1"/>
      </w:r>
      <w:r w:rsidRPr="003B67B0">
        <w:rPr>
          <w:rFonts w:asciiTheme="minorHAnsi" w:hAnsiTheme="minorHAnsi" w:cstheme="minorHAnsi"/>
          <w:bCs/>
          <w:sz w:val="22"/>
          <w:lang w:val="en"/>
        </w:rPr>
        <w:instrText>ADDIN CSL_CITATION { "citationItems" : [ { "id" : "ITEM-1", "itemData" : { "DOI" : "10.1212/WNL.0000000000003636", "ISSN" : "0028-3878", "PMID" : "28130473", "abstract" : "OBJECTIVE To assess the efficacy of [(18)F]AV1451 PET in visualizing tau pathology in vivo in a patient with frontotemporal dementia (FTD) associated with the V337M microtubule-associated protein tau (MAPT) mutation. METHODS MAPT mutations are associated with the deposition of hyperphosphorylated tau protein in neurons and glia. The PET tracer [(18)F]AV1451 binds with high affinity to paired helical filaments tau that comprises neurofibrillary tangles in Alzheimer disease (AD), while postmortem studies suggest lower or absent binding to the tau filaments of the majority of non-AD tauopathies. We describe clinical, structural MRI, and [(18)F]AV1451 PET findings in a V337M MAPT mutation carrier affected by FTD and pathologic findings in his affected mother and in an unrelated V337M MAPT carrier also affected with FTD. The biochemical similarity between paired helical filament tau in AD and MAPT V337M predicts that the tau pathology associated with this mutation constitutes a compelling target for [(18)F]AV1451 imaging. RESULTS We found a strong association between topography and degree of [(18)F]AV1451 tracer retention in the proband and distribution of tau pathology in the brain of the proband's mother and the unrelated V337M mutation carrier. We also found a significant correlation between the degree of regional MRI brain atrophy and the extent of [(18)F]AV1451 binding in the proband and a strong association between the proband's clinical presentation and the extent of regional brain atrophy and tau accumulation as assessed by structural brain MRI and [(18)F]AV1451PET. CONCLUSION Our study supports the usefulness of [(18)F]AV1451 to characterize tau pathology in at least a subset of pathogenic MAPT mutations.", "author" : [ { "dropping-particle" : "", "family" : "Spina", "given" : "Salvatore", "non-dropping-particle" : "", "parse-names" : false, "suffix" : "" }, { "dropping-particle" : "", "family" : "Schonhaut", "given" : "Daniel R.", "non-dropping-particle" : "", "parse-names" : false, "suffix" : "" }, { "dropping-particle" : "", "family" : "Boeve", "given" : "Bradley F.", "non-dropping-particle" : "", "parse-names" : false, "suffix" : "" }, { "dropping-particle" : "", "family" : "Seeley", "given" : "William W.", "non-dropping-particle" : "", "parse-names" : false, "suffix" : "" }, { "dropping-particle" : "", "family" : "Ossenkoppele", "given" : "Rik", "non-dropping-particle" : "", "parse-names" : false, "suffix" : "" }, { "dropping-particle" : "", "family" : "O'Neil", "given" : "James P.", "non-dropping-particle" : "", "parse-names" : false, "suffix" : "" }, { "dropping-particle" : "", "family" : "Lazaris", "given" : "Andreas", "non-dropping-particle" : "", "parse-names" : false, "suffix" : "" }, { "dropping-particle" : "", "family" : "Rosen", "given" : "Howard J.", "non-dropping-particle" : "", "parse-names" : false, "suffix" : "" }, { "dropping-particle" : "", "family" : "Boxer", "given" : "Adam L.", "non-dropping-particle" : "", "parse-names" : false, "suffix" : "" }, { "dropping-particle" : "", "family" : "Perry", "given" : "David C.", "non-dropping-particle" : "", "parse-names" : false, "suffix" : "" }, { "dropping-particle" : "", "family" : "Miller", "given" : "Bruce L.", "non-dropping-particle" : "", "parse-names" : false, "suffix" : "" }, { "dropping-particle" : "", "family" : "Dickson", "given" : "Dennis W.", "non-dropping-particle" : "", "parse-names" : false, "suffix" : "" }, { "dropping-particle" : "", "family" : "Parisi", "given" : "Joseph E.", "non-dropping-particle" : "", "parse-names" : false, "suffix" : "" }, { "dropping-particle" : "", "family" : "Jagust", "given" : "William J.", "non-dropping-particle" : "", "parse-names" : false, "suffix" : "" }, { "dropping-particle" : "", "family" : "Murray", "given" : "Melissa E.", "non-dropping-particle" : "", "parse-names" : false, "suffix" : "" }, { "dropping-particle" : "", "family" : "Rabinovici", "given" : "Gil D.", "non-dropping-particle" : "", "parse-names" : false, "suffix" : "" } ], "container-title" : "Neurology", "id" : "ITEM-1", "issue" : "8", "issued" : { "date-parts" : [ [ "2017" ] ] }, "page" : "758-766", "title" : "Frontotemporal dementia with the V337M &lt;i&gt;MAPT&lt;/i&gt; mutation", "type" : "article-journal", "volume" : "88" }, "uris" : [ "http://www.mendeley.com/documents/?uuid=2518cc3b-4ed0-44d9-98f2-6083ebf34f71" ] }, { "id" : "ITEM-2", "itemData" : { "DOI" : "10.1002/ajmg.b.32443", "ISBN" : "1552-4841", "ISSN" : "1552485X", "PMID" : "26990251", "abstract" : "Mutations in the MAPT gene coding for the tau protein are one of the most common causes of familial frontotemporal dementia (FTD). In a previously described family with the V337M mutation in MAPT, we now report an affected woman who died at age 92 with a &gt;40 year duration of symptoms, more than three times the mean disease duration in her family (13.8 years). Neuropathology showed the typical findings of a diffuse tauopathy. Conversely, her 67-year-old son with the same mutation remains asymptomatic more than 15 years beyond the mean age of onset in the family (51.5 years). These two cases demonstrate the marked variability in onset and duration of familial FTD and underscore the difficulties of discussing these issues with patients and families. The presumed genetic and environmental factors influencing these parameters remain largely unknown.", "author" : [ { "dropping-particle" : "", "family" : "Domoto-Reilly", "given" : "Kimiko", "non-dropping-particle" : "", "parse-names" : false, "suffix" : "" }, { "dropping-particle" : "", "family" : "Davis", "given" : "Marie Y.", "non-dropping-particle" : "", "parse-names" : false, "suffix" : "" }, { "dropping-particle" : "", "family" : "Keene", "given" : "C. Dirk", "non-dropping-particle" : "", "parse-names" : false, "suffix" : "" }, { "dropping-particle" : "", "family" : "Bird", "given" : "Thomas D.", "non-dropping-particle" : "", "parse-names" : false, "suffix" : "" } ], "container-title" : "American Journal of Medical Genetics, Part B: Neuropsychiatric Genetics", "id" : "ITEM-2", "issue" : "1", "issued" : { "date-parts" : [ [ "2017" ] ] }, "page" : "70-74", "title" : "Unusually long duration and delayed penetrance in a family with FTD and mutation in MAPT (V337M)", "type" : "article-journal", "volume" : "174" }, "uris" : [ "http://www.mendeley.com/documents/?uuid=5e97a533-a77b-4a62-94d2-461e1d8075ba" ] } ], "mendeley" : { "formattedCitation" : "[19,20]", "plainTextFormattedCitation" : "[19,20]", "previouslyFormattedCitation" : "[19,20]" }, "properties" : { "noteIndex" : 0 }, "schema" : "https://github.com/citation-style-language/schema/raw/master/csl-citation.json" }</w:instrText>
      </w:r>
      <w:r w:rsidRPr="003B67B0">
        <w:rPr>
          <w:rFonts w:asciiTheme="minorHAnsi" w:hAnsiTheme="minorHAnsi" w:cstheme="minorHAnsi"/>
          <w:bCs/>
          <w:sz w:val="22"/>
          <w:lang w:val="en"/>
        </w:rPr>
        <w:fldChar w:fldCharType="separate"/>
      </w:r>
      <w:r w:rsidRPr="003B67B0">
        <w:rPr>
          <w:rFonts w:asciiTheme="minorHAnsi" w:hAnsiTheme="minorHAnsi" w:cstheme="minorHAnsi"/>
          <w:bCs/>
          <w:noProof/>
          <w:sz w:val="22"/>
          <w:lang w:val="en"/>
        </w:rPr>
        <w:t>[19,20]</w:t>
      </w:r>
      <w:r w:rsidRPr="003B67B0">
        <w:rPr>
          <w:rFonts w:asciiTheme="minorHAnsi" w:hAnsiTheme="minorHAnsi" w:cstheme="minorHAnsi"/>
          <w:bCs/>
          <w:sz w:val="22"/>
          <w:lang w:val="en"/>
        </w:rPr>
        <w:fldChar w:fldCharType="end"/>
      </w:r>
      <w:r w:rsidRPr="003B67B0">
        <w:rPr>
          <w:rFonts w:asciiTheme="minorHAnsi" w:hAnsiTheme="minorHAnsi" w:cstheme="minorHAnsi"/>
          <w:bCs/>
          <w:sz w:val="22"/>
          <w:lang w:val="en"/>
        </w:rPr>
        <w:t xml:space="preserve">. Current data infers a strong correlation between the presence of the V337M mutation and </w:t>
      </w:r>
      <w:proofErr w:type="spellStart"/>
      <w:r w:rsidRPr="003B67B0">
        <w:rPr>
          <w:rFonts w:asciiTheme="minorHAnsi" w:hAnsiTheme="minorHAnsi" w:cstheme="minorHAnsi"/>
          <w:bCs/>
          <w:sz w:val="22"/>
          <w:lang w:val="en"/>
        </w:rPr>
        <w:t>hyperphosphorylation</w:t>
      </w:r>
      <w:proofErr w:type="spellEnd"/>
      <w:r w:rsidRPr="003B67B0">
        <w:rPr>
          <w:rFonts w:asciiTheme="minorHAnsi" w:hAnsiTheme="minorHAnsi" w:cstheme="minorHAnsi"/>
          <w:bCs/>
          <w:sz w:val="22"/>
          <w:lang w:val="en"/>
        </w:rPr>
        <w:t xml:space="preserve"> state of tau; however, questions are still being raised as to how this mutation affects the localization of tau and how does this localization changes after </w:t>
      </w:r>
      <w:proofErr w:type="spellStart"/>
      <w:r w:rsidRPr="003B67B0">
        <w:rPr>
          <w:rFonts w:asciiTheme="minorHAnsi" w:hAnsiTheme="minorHAnsi" w:cstheme="minorHAnsi"/>
          <w:bCs/>
          <w:sz w:val="22"/>
          <w:lang w:val="en"/>
        </w:rPr>
        <w:t>hyperphosphorylation</w:t>
      </w:r>
      <w:proofErr w:type="spellEnd"/>
      <w:r w:rsidRPr="003B67B0">
        <w:rPr>
          <w:rFonts w:asciiTheme="minorHAnsi" w:hAnsiTheme="minorHAnsi" w:cstheme="minorHAnsi"/>
          <w:bCs/>
          <w:sz w:val="22"/>
          <w:lang w:val="en"/>
        </w:rPr>
        <w:t xml:space="preserve"> that leads to neurofibrillary tangles formation.  </w:t>
      </w:r>
    </w:p>
    <w:p w:rsidR="003B67B0" w:rsidRDefault="002040E9" w:rsidP="00606A98">
      <w:pPr>
        <w:pStyle w:val="NormalWeb"/>
        <w:jc w:val="both"/>
        <w:rPr>
          <w:rFonts w:asciiTheme="minorHAnsi" w:hAnsiTheme="minorHAnsi" w:cstheme="minorHAnsi"/>
          <w:bCs/>
          <w:sz w:val="22"/>
          <w:lang w:val="en"/>
        </w:rPr>
      </w:pPr>
      <w:r w:rsidRPr="003B67B0">
        <w:rPr>
          <w:rFonts w:asciiTheme="minorHAnsi" w:hAnsiTheme="minorHAnsi" w:cstheme="minorHAnsi"/>
          <w:bCs/>
          <w:sz w:val="22"/>
          <w:lang w:val="en"/>
        </w:rPr>
        <w:t xml:space="preserve">Experiments performed previously in our lab have </w:t>
      </w:r>
      <w:r w:rsidR="00606A98" w:rsidRPr="003B67B0">
        <w:rPr>
          <w:rFonts w:asciiTheme="minorHAnsi" w:hAnsiTheme="minorHAnsi" w:cstheme="minorHAnsi"/>
          <w:bCs/>
          <w:sz w:val="22"/>
          <w:lang w:val="en"/>
        </w:rPr>
        <w:t>demonstrated</w:t>
      </w:r>
      <w:r w:rsidRPr="003B67B0">
        <w:rPr>
          <w:rFonts w:asciiTheme="minorHAnsi" w:hAnsiTheme="minorHAnsi" w:cstheme="minorHAnsi"/>
          <w:bCs/>
          <w:sz w:val="22"/>
          <w:lang w:val="en"/>
        </w:rPr>
        <w:t xml:space="preserve"> a strong phenotype of </w:t>
      </w:r>
      <w:r w:rsidRPr="003B67B0">
        <w:rPr>
          <w:rFonts w:asciiTheme="minorHAnsi" w:hAnsiTheme="minorHAnsi" w:cstheme="minorHAnsi"/>
          <w:bCs/>
          <w:i/>
          <w:sz w:val="22"/>
          <w:lang w:val="en"/>
        </w:rPr>
        <w:t>drosophila</w:t>
      </w:r>
      <w:r w:rsidRPr="003B67B0">
        <w:rPr>
          <w:rFonts w:asciiTheme="minorHAnsi" w:hAnsiTheme="minorHAnsi" w:cstheme="minorHAnsi"/>
          <w:bCs/>
          <w:sz w:val="22"/>
          <w:lang w:val="en"/>
        </w:rPr>
        <w:t xml:space="preserve"> neurons </w:t>
      </w:r>
      <w:proofErr w:type="spellStart"/>
      <w:r w:rsidR="00606A98" w:rsidRPr="003B67B0">
        <w:rPr>
          <w:rFonts w:asciiTheme="minorHAnsi" w:hAnsiTheme="minorHAnsi" w:cstheme="minorHAnsi"/>
          <w:bCs/>
          <w:sz w:val="22"/>
          <w:lang w:val="en"/>
        </w:rPr>
        <w:t>exppressing</w:t>
      </w:r>
      <w:proofErr w:type="spellEnd"/>
      <w:r w:rsidRPr="003B67B0">
        <w:rPr>
          <w:rFonts w:asciiTheme="minorHAnsi" w:hAnsiTheme="minorHAnsi" w:cstheme="minorHAnsi"/>
          <w:bCs/>
          <w:sz w:val="22"/>
          <w:lang w:val="en"/>
        </w:rPr>
        <w:t xml:space="preserve"> the V337M mutation. In the first 6 hours to 2 days of cultures, the neurons presented a normal phenotype, however this was slowly changed and after 6 days we could see a significant difference between the control neurons and the V337M mutated ones. These results implying a degree of neurodegeneration over time that was significantly promoted by the induction of the V337M mutation. </w:t>
      </w:r>
    </w:p>
    <w:p w:rsidR="003B67B0" w:rsidRPr="003B67B0" w:rsidRDefault="003B67B0" w:rsidP="003B67B0">
      <w:pPr>
        <w:pStyle w:val="NormalWeb"/>
        <w:jc w:val="both"/>
        <w:rPr>
          <w:rFonts w:asciiTheme="minorHAnsi" w:hAnsiTheme="minorHAnsi" w:cstheme="minorHAnsi"/>
          <w:bCs/>
          <w:sz w:val="22"/>
          <w:lang w:val="en"/>
        </w:rPr>
      </w:pPr>
      <w:r w:rsidRPr="003B67B0">
        <w:rPr>
          <w:rFonts w:asciiTheme="minorHAnsi" w:hAnsiTheme="minorHAnsi" w:cstheme="minorHAnsi"/>
          <w:bCs/>
          <w:sz w:val="22"/>
          <w:lang w:val="en"/>
        </w:rPr>
        <w:t xml:space="preserve">As we have introduced the human 0N4R isoform into a </w:t>
      </w:r>
      <w:r w:rsidRPr="003B67B0">
        <w:rPr>
          <w:rFonts w:asciiTheme="minorHAnsi" w:hAnsiTheme="minorHAnsi" w:cstheme="minorHAnsi"/>
          <w:bCs/>
          <w:i/>
          <w:sz w:val="22"/>
          <w:lang w:val="en"/>
        </w:rPr>
        <w:t>drosophila</w:t>
      </w:r>
      <w:r w:rsidRPr="003B67B0">
        <w:rPr>
          <w:rFonts w:asciiTheme="minorHAnsi" w:hAnsiTheme="minorHAnsi" w:cstheme="minorHAnsi"/>
          <w:bCs/>
          <w:sz w:val="22"/>
          <w:lang w:val="en"/>
        </w:rPr>
        <w:t xml:space="preserve"> model, the question of where does this human tau protein localize in the </w:t>
      </w:r>
      <w:r w:rsidRPr="003B67B0">
        <w:rPr>
          <w:rFonts w:asciiTheme="minorHAnsi" w:hAnsiTheme="minorHAnsi" w:cstheme="minorHAnsi"/>
          <w:bCs/>
          <w:i/>
          <w:sz w:val="22"/>
          <w:lang w:val="en"/>
        </w:rPr>
        <w:t>drosophila</w:t>
      </w:r>
      <w:r w:rsidRPr="003B67B0">
        <w:rPr>
          <w:rFonts w:asciiTheme="minorHAnsi" w:hAnsiTheme="minorHAnsi" w:cstheme="minorHAnsi"/>
          <w:bCs/>
          <w:sz w:val="22"/>
          <w:lang w:val="en"/>
        </w:rPr>
        <w:t xml:space="preserve"> neurons. Furthermore, is the phenotype generated due to an imbalance of tau as we have an overexpression of the protein or due to the toxicity effect of V337M mutation? </w:t>
      </w:r>
    </w:p>
    <w:p w:rsidR="003B67B0" w:rsidRPr="003B67B0" w:rsidRDefault="003B67B0" w:rsidP="003B67B0">
      <w:pPr>
        <w:pStyle w:val="NormalWeb"/>
        <w:jc w:val="both"/>
        <w:rPr>
          <w:rFonts w:asciiTheme="minorHAnsi" w:hAnsiTheme="minorHAnsi" w:cstheme="minorHAnsi"/>
          <w:bCs/>
          <w:sz w:val="22"/>
          <w:lang w:val="en"/>
        </w:rPr>
        <w:sectPr w:rsidR="003B67B0" w:rsidRPr="003B67B0" w:rsidSect="003B67B0">
          <w:type w:val="continuous"/>
          <w:pgSz w:w="11906" w:h="16838"/>
          <w:pgMar w:top="1440" w:right="1440" w:bottom="1440" w:left="1440" w:header="708" w:footer="708" w:gutter="0"/>
          <w:cols w:num="2" w:space="708"/>
          <w:docGrid w:linePitch="360"/>
        </w:sectPr>
      </w:pPr>
    </w:p>
    <w:p w:rsidR="003B67B0" w:rsidRDefault="003B67B0" w:rsidP="003B67B0">
      <w:pPr>
        <w:rPr>
          <w:rFonts w:eastAsia="Times New Roman" w:cstheme="minorHAnsi"/>
          <w:bCs/>
          <w:sz w:val="24"/>
          <w:szCs w:val="24"/>
          <w:lang w:val="en" w:eastAsia="en-GB"/>
        </w:rPr>
      </w:pPr>
    </w:p>
    <w:p w:rsidR="003B67B0" w:rsidRDefault="003B67B0" w:rsidP="00606A98">
      <w:pPr>
        <w:pStyle w:val="NormalWeb"/>
        <w:jc w:val="both"/>
        <w:rPr>
          <w:rFonts w:asciiTheme="minorHAnsi" w:hAnsiTheme="minorHAnsi" w:cstheme="minorHAnsi"/>
          <w:bCs/>
          <w:lang w:val="en"/>
        </w:rPr>
        <w:sectPr w:rsidR="003B67B0" w:rsidSect="003B67B0">
          <w:type w:val="continuous"/>
          <w:pgSz w:w="11906" w:h="16838"/>
          <w:pgMar w:top="1440" w:right="1440" w:bottom="1440" w:left="1440" w:header="708" w:footer="708" w:gutter="0"/>
          <w:cols w:space="708"/>
          <w:docGrid w:linePitch="360"/>
        </w:sectPr>
      </w:pPr>
    </w:p>
    <w:p w:rsidR="002040E9" w:rsidRDefault="002040E9">
      <w:pPr>
        <w:rPr>
          <w:rFonts w:cstheme="minorHAnsi"/>
          <w:bCs/>
          <w:lang w:val="en"/>
        </w:rPr>
      </w:pPr>
    </w:p>
    <w:p w:rsidR="002040E9" w:rsidRDefault="002040E9" w:rsidP="002040E9">
      <w:pPr>
        <w:pStyle w:val="NormalWeb"/>
        <w:rPr>
          <w:rFonts w:asciiTheme="minorHAnsi" w:hAnsiTheme="minorHAnsi" w:cstheme="minorHAnsi"/>
          <w:bCs/>
          <w:lang w:val="en"/>
        </w:rPr>
        <w:sectPr w:rsidR="002040E9" w:rsidSect="002040E9">
          <w:type w:val="continuous"/>
          <w:pgSz w:w="11906" w:h="16838"/>
          <w:pgMar w:top="1440" w:right="1440" w:bottom="1440" w:left="1440" w:header="708" w:footer="708" w:gutter="0"/>
          <w:cols w:space="708"/>
          <w:docGrid w:linePitch="360"/>
        </w:sectPr>
      </w:pPr>
    </w:p>
    <w:p w:rsidR="003B67B0" w:rsidRDefault="003B67B0" w:rsidP="002040E9">
      <w:pPr>
        <w:pStyle w:val="NormalWeb"/>
        <w:rPr>
          <w:rFonts w:asciiTheme="minorHAnsi" w:hAnsiTheme="minorHAnsi" w:cstheme="minorHAnsi"/>
          <w:bCs/>
          <w:lang w:val="en"/>
        </w:rPr>
        <w:sectPr w:rsidR="003B67B0" w:rsidSect="003B67B0">
          <w:type w:val="continuous"/>
          <w:pgSz w:w="11906" w:h="16838"/>
          <w:pgMar w:top="1440" w:right="1440" w:bottom="1440" w:left="1440" w:header="708" w:footer="708" w:gutter="0"/>
          <w:cols w:space="708"/>
          <w:docGrid w:linePitch="360"/>
        </w:sectPr>
      </w:pPr>
      <w:r>
        <w:rPr>
          <w:rFonts w:cstheme="minorHAnsi"/>
          <w:noProof/>
        </w:rPr>
        <w:lastRenderedPageBreak/>
        <w:drawing>
          <wp:anchor distT="0" distB="0" distL="114300" distR="114300" simplePos="0" relativeHeight="251665408" behindDoc="0" locked="0" layoutInCell="1" allowOverlap="1" wp14:anchorId="7A153AE5" wp14:editId="1B8157C8">
            <wp:simplePos x="0" y="0"/>
            <wp:positionH relativeFrom="margin">
              <wp:posOffset>-250786</wp:posOffset>
            </wp:positionH>
            <wp:positionV relativeFrom="paragraph">
              <wp:posOffset>439250</wp:posOffset>
            </wp:positionV>
            <wp:extent cx="6324600" cy="43484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4348480"/>
                    </a:xfrm>
                    <a:prstGeom prst="rect">
                      <a:avLst/>
                    </a:prstGeom>
                    <a:noFill/>
                  </pic:spPr>
                </pic:pic>
              </a:graphicData>
            </a:graphic>
            <wp14:sizeRelH relativeFrom="margin">
              <wp14:pctWidth>0</wp14:pctWidth>
            </wp14:sizeRelH>
            <wp14:sizeRelV relativeFrom="margin">
              <wp14:pctHeight>0</wp14:pctHeight>
            </wp14:sizeRelV>
          </wp:anchor>
        </w:drawing>
      </w:r>
    </w:p>
    <w:p w:rsidR="003B67B0" w:rsidRDefault="003B67B0" w:rsidP="003B67B0">
      <w:pPr>
        <w:pStyle w:val="NormalWeb"/>
        <w:rPr>
          <w:rFonts w:asciiTheme="minorHAnsi" w:hAnsiTheme="minorHAnsi" w:cstheme="minorHAnsi"/>
          <w:bCs/>
          <w:lang w:val="en"/>
        </w:rPr>
        <w:sectPr w:rsidR="003B67B0" w:rsidSect="003B67B0">
          <w:type w:val="continuous"/>
          <w:pgSz w:w="11906" w:h="16838"/>
          <w:pgMar w:top="1440" w:right="1440" w:bottom="1440" w:left="1440" w:header="708" w:footer="708" w:gutter="0"/>
          <w:cols w:num="2" w:space="708"/>
          <w:docGrid w:linePitch="360"/>
        </w:sectPr>
      </w:pPr>
      <w:r w:rsidRPr="0048719C">
        <w:rPr>
          <w:rFonts w:cstheme="minorHAnsi"/>
          <w:noProof/>
        </w:rPr>
        <mc:AlternateContent>
          <mc:Choice Requires="wps">
            <w:drawing>
              <wp:anchor distT="45720" distB="45720" distL="114300" distR="114300" simplePos="0" relativeHeight="251667456" behindDoc="0" locked="0" layoutInCell="1" allowOverlap="1" wp14:anchorId="6F255C47" wp14:editId="0752074F">
                <wp:simplePos x="0" y="0"/>
                <wp:positionH relativeFrom="margin">
                  <wp:align>center</wp:align>
                </wp:positionH>
                <wp:positionV relativeFrom="paragraph">
                  <wp:posOffset>4444874</wp:posOffset>
                </wp:positionV>
                <wp:extent cx="5299075" cy="1591310"/>
                <wp:effectExtent l="0" t="0" r="0" b="889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075" cy="1591310"/>
                        </a:xfrm>
                        <a:prstGeom prst="rect">
                          <a:avLst/>
                        </a:prstGeom>
                        <a:solidFill>
                          <a:srgbClr val="FFFFFF"/>
                        </a:solidFill>
                        <a:ln w="9525">
                          <a:noFill/>
                          <a:miter lim="800000"/>
                          <a:headEnd/>
                          <a:tailEnd/>
                        </a:ln>
                      </wps:spPr>
                      <wps:txbx>
                        <w:txbxContent>
                          <w:p w:rsidR="002040E9" w:rsidRPr="003B67B0" w:rsidRDefault="002040E9" w:rsidP="00606A98">
                            <w:pPr>
                              <w:jc w:val="both"/>
                            </w:pPr>
                            <w:r w:rsidRPr="003B67B0">
                              <w:rPr>
                                <w:b/>
                              </w:rPr>
                              <w:t>Figure 2| Overview of structure and isoforms of human MAPT protein.</w:t>
                            </w:r>
                            <w:r w:rsidRPr="003B67B0">
                              <w:t xml:space="preserve"> Tau is formed of 16 exons, the start being at exon 1 and stop at exon 13. Exons 2, 3, and 10 are mainly expressed in the central nervous system (CNS), and together they are responsible for the 6 isoforms formation. The isoforms are defined by the presence of 2N, 1N or ON amino terminal inserts combined with the 3R or 4R formation, which defines 3, respectively 4 microtubules binding repeat sites (adapted from </w:t>
                            </w:r>
                            <w:r w:rsidRPr="003B67B0">
                              <w:fldChar w:fldCharType="begin" w:fldLock="1"/>
                            </w:r>
                            <w:r w:rsidR="003B67B0">
                              <w:instrText>ADDIN CSL_CITATION { "citationItems" : [ { "id" : "ITEM-1", "itemData" : { "DOI" : "10.1016/j.brainresbull.2016.08.018", "author" : [ { "dropping-particle" : "", "family" : "Arendt", "given" : "Thomas", "non-dropping-particle" : "", "parse-names" : false, "suffix" : "" }, { "dropping-particle" : "", "family" : "Stieler", "given" : "Jens T", "non-dropping-particle" : "", "parse-names" : false, "suffix" : "" }, { "dropping-particle" : "", "family" : "Holzer", "given" : "Max", "non-dropping-particle" : "", "parse-names" : false, "suffix" : "" } ], "id" : "ITEM-1", "issued" : { "date-parts" : [ [ "2016" ] ] }, "page" : "238-292", "title" : "Tau and tauopathies", "type" : "article-journal", "volume" : "126" }, "uris" : [ "http://www.mendeley.com/documents/?uuid=28ecddb8-4647-493e-83aa-8f059d150f22" ] } ], "mendeley" : { "formattedCitation" : "[26]", "plainTextFormattedCitation" : "[26]", "previouslyFormattedCitation" : "[25]" }, "properties" : { "noteIndex" : 0 }, "schema" : "https://github.com/citation-style-language/schema/raw/master/csl-citation.json" }</w:instrText>
                            </w:r>
                            <w:r w:rsidRPr="003B67B0">
                              <w:fldChar w:fldCharType="separate"/>
                            </w:r>
                            <w:r w:rsidR="003B67B0" w:rsidRPr="003B67B0">
                              <w:rPr>
                                <w:noProof/>
                              </w:rPr>
                              <w:t>[26]</w:t>
                            </w:r>
                            <w:r w:rsidRPr="003B67B0">
                              <w:fldChar w:fldCharType="end"/>
                            </w:r>
                            <w:r w:rsidRPr="003B67B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5C47" id="_x0000_s1027" type="#_x0000_t202" style="position:absolute;margin-left:0;margin-top:350pt;width:417.25pt;height:125.3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i1IgIAACMEAAAOAAAAZHJzL2Uyb0RvYy54bWysU9tuGyEQfa/Uf0C813up3cQrr6PUqatK&#10;6UVK+gEsy3pRgaGAvet+fQbWcaz0rSoPiGGGw5kzM6ubUStyEM5LMDUtZjklwnBopdnV9Ofj9t01&#10;JT4w0zIFRtT0KDy9Wb99sxpsJUroQbXCEQQxvhpsTfsQbJVlnvdCMz8DKww6O3CaBTTdLmsdGxBd&#10;q6zM8w/ZAK61DrjwHm/vJiddJ/yuEzx87zovAlE1RW4h7S7tTdyz9YpVO8dsL/mJBvsHFppJg5+e&#10;oe5YYGTv5F9QWnIHHrow46Az6DrJRcoBsynyV9k89MyKlAuK4+1ZJv//YPm3ww9HZFvTBSWGaSzR&#10;oxgD+QgjKaM6g/UVBj1YDAsjXmOVU6be3gP/5YmBTc/MTtw6B0MvWIvsivgyu3g64fgI0gxfocVv&#10;2D5AAho7p6N0KAZBdKzS8VyZSIXj5aJcLvMrpMjRVyyWxfsi1S5j1fNz63z4LECTeKipw9IneHa4&#10;9yHSYdVzSPzNg5LtViqVDLdrNsqRA8M22aaVMngVpgwZarpclIuEbCC+Tx2kZcA2VlLX9DqPa2qs&#10;KMcn06aQwKSazshEmZM+UZJJnDA2YypEEi9q10B7RMEcTF2LU4aHHtwfSgbs2Jr633vmBCXqi0HR&#10;l8V8Hls8GfPFVYmGu/Q0lx5mOELVNFAyHTchjUWUw8AtFqeTSbYXJifK2IlJzdPUxFa/tFPUy2yv&#10;nwAAAP//AwBQSwMEFAAGAAgAAAAhAKRhRc7dAAAACAEAAA8AAABkcnMvZG93bnJldi54bWxMj8FO&#10;wzAQRO9I/IO1SFwQtYEmadNsKkACcW3pBzjxNoka21HsNunfs5zgNqtZzbwptrPtxYXG0HmH8LRQ&#10;IMjV3nSuQTh8fzyuQISondG9d4RwpQDb8vam0Lnxk9vRZR8bwSEu5BqhjXHIpQx1S1aHhR/IsXf0&#10;o9WRz7GRZtQTh9tePiuVSqs7xw2tHui9pfq0P1uE49f0kKyn6jMest0yfdNdVvkr4v3d/LoBEWmO&#10;f8/wi8/oUDJT5c/OBNEj8JCIkCnFgu3VyzIBUSGsE5WCLAv5f0D5AwAA//8DAFBLAQItABQABgAI&#10;AAAAIQC2gziS/gAAAOEBAAATAAAAAAAAAAAAAAAAAAAAAABbQ29udGVudF9UeXBlc10ueG1sUEsB&#10;Ai0AFAAGAAgAAAAhADj9If/WAAAAlAEAAAsAAAAAAAAAAAAAAAAALwEAAF9yZWxzLy5yZWxzUEsB&#10;Ai0AFAAGAAgAAAAhAI/cqLUiAgAAIwQAAA4AAAAAAAAAAAAAAAAALgIAAGRycy9lMm9Eb2MueG1s&#10;UEsBAi0AFAAGAAgAAAAhAKRhRc7dAAAACAEAAA8AAAAAAAAAAAAAAAAAfAQAAGRycy9kb3ducmV2&#10;LnhtbFBLBQYAAAAABAAEAPMAAACGBQAAAAA=&#10;" stroked="f">
                <v:textbox>
                  <w:txbxContent>
                    <w:p w:rsidR="002040E9" w:rsidRPr="003B67B0" w:rsidRDefault="002040E9" w:rsidP="00606A98">
                      <w:pPr>
                        <w:jc w:val="both"/>
                      </w:pPr>
                      <w:r w:rsidRPr="003B67B0">
                        <w:rPr>
                          <w:b/>
                        </w:rPr>
                        <w:t>Figure 2| Overview of structure and isoforms of human MAPT protein.</w:t>
                      </w:r>
                      <w:r w:rsidRPr="003B67B0">
                        <w:t xml:space="preserve"> Tau is formed of 16 exons, the start being at exon 1 and stop at exon 13. Exons 2, 3, and 10 are mainly expressed in the central nervous system (CNS), and together they are responsible for the 6 isoforms formation. The isoforms are defined by the presence of 2N, 1N or ON amino terminal inserts combined with the 3R or 4R formation, which defines 3, respectively 4 microtubules binding repeat sites (adapted from </w:t>
                      </w:r>
                      <w:r w:rsidRPr="003B67B0">
                        <w:fldChar w:fldCharType="begin" w:fldLock="1"/>
                      </w:r>
                      <w:r w:rsidR="003B67B0">
                        <w:instrText>ADDIN CSL_CITATION { "citationItems" : [ { "id" : "ITEM-1", "itemData" : { "DOI" : "10.1016/j.brainresbull.2016.08.018", "author" : [ { "dropping-particle" : "", "family" : "Arendt", "given" : "Thomas", "non-dropping-particle" : "", "parse-names" : false, "suffix" : "" }, { "dropping-particle" : "", "family" : "Stieler", "given" : "Jens T", "non-dropping-particle" : "", "parse-names" : false, "suffix" : "" }, { "dropping-particle" : "", "family" : "Holzer", "given" : "Max", "non-dropping-particle" : "", "parse-names" : false, "suffix" : "" } ], "id" : "ITEM-1", "issued" : { "date-parts" : [ [ "2016" ] ] }, "page" : "238-292", "title" : "Tau and tauopathies", "type" : "article-journal", "volume" : "126" }, "uris" : [ "http://www.mendeley.com/documents/?uuid=28ecddb8-4647-493e-83aa-8f059d150f22" ] } ], "mendeley" : { "formattedCitation" : "[26]", "plainTextFormattedCitation" : "[26]", "previouslyFormattedCitation" : "[25]" }, "properties" : { "noteIndex" : 0 }, "schema" : "https://github.com/citation-style-language/schema/raw/master/csl-citation.json" }</w:instrText>
                      </w:r>
                      <w:r w:rsidRPr="003B67B0">
                        <w:fldChar w:fldCharType="separate"/>
                      </w:r>
                      <w:r w:rsidR="003B67B0" w:rsidRPr="003B67B0">
                        <w:rPr>
                          <w:noProof/>
                        </w:rPr>
                        <w:t>[26]</w:t>
                      </w:r>
                      <w:r w:rsidRPr="003B67B0">
                        <w:fldChar w:fldCharType="end"/>
                      </w:r>
                      <w:r w:rsidRPr="003B67B0">
                        <w:t xml:space="preserve">). </w:t>
                      </w:r>
                    </w:p>
                  </w:txbxContent>
                </v:textbox>
                <w10:wrap type="topAndBottom" anchorx="margin"/>
              </v:shape>
            </w:pict>
          </mc:Fallback>
        </mc:AlternateContent>
      </w:r>
      <w:r w:rsidR="002040E9">
        <w:rPr>
          <w:rFonts w:asciiTheme="minorHAnsi" w:hAnsiTheme="minorHAnsi" w:cstheme="minorHAnsi"/>
          <w:bCs/>
          <w:lang w:val="en"/>
        </w:rPr>
        <w:t xml:space="preserve"> </w:t>
      </w:r>
    </w:p>
    <w:p w:rsidR="003B67B0" w:rsidRPr="003B67B0" w:rsidRDefault="003B67B0" w:rsidP="003B67B0">
      <w:pPr>
        <w:pStyle w:val="NormalWeb"/>
        <w:rPr>
          <w:rFonts w:asciiTheme="minorHAnsi" w:hAnsiTheme="minorHAnsi" w:cstheme="minorHAnsi"/>
          <w:bCs/>
          <w:lang w:val="en"/>
        </w:rPr>
        <w:sectPr w:rsidR="003B67B0" w:rsidRPr="003B67B0" w:rsidSect="003B67B0">
          <w:type w:val="continuous"/>
          <w:pgSz w:w="11906" w:h="16838"/>
          <w:pgMar w:top="1440" w:right="1440" w:bottom="1440" w:left="1440" w:header="708" w:footer="708" w:gutter="0"/>
          <w:cols w:num="2" w:space="708"/>
          <w:docGrid w:linePitch="360"/>
        </w:sectPr>
      </w:pPr>
      <w:r w:rsidRPr="003B67B0">
        <w:rPr>
          <w:rFonts w:asciiTheme="minorHAnsi" w:hAnsiTheme="minorHAnsi" w:cstheme="minorHAnsi"/>
          <w:bCs/>
          <w:sz w:val="22"/>
          <w:lang w:val="en"/>
        </w:rPr>
        <w:t xml:space="preserve">In this study, we have firstly attempted to reproduce the model seen in the </w:t>
      </w:r>
      <w:r w:rsidRPr="003B67B0">
        <w:rPr>
          <w:rFonts w:asciiTheme="minorHAnsi" w:hAnsiTheme="minorHAnsi" w:cstheme="minorHAnsi"/>
          <w:bCs/>
          <w:i/>
          <w:sz w:val="22"/>
          <w:lang w:val="en"/>
        </w:rPr>
        <w:t>drosophila</w:t>
      </w:r>
      <w:r w:rsidRPr="003B67B0">
        <w:rPr>
          <w:rFonts w:asciiTheme="minorHAnsi" w:hAnsiTheme="minorHAnsi" w:cstheme="minorHAnsi"/>
          <w:bCs/>
          <w:sz w:val="22"/>
          <w:lang w:val="en"/>
        </w:rPr>
        <w:t xml:space="preserve"> neurons. </w:t>
      </w:r>
      <w:proofErr w:type="gramStart"/>
      <w:r w:rsidRPr="003B67B0">
        <w:rPr>
          <w:rFonts w:asciiTheme="minorHAnsi" w:hAnsiTheme="minorHAnsi" w:cstheme="minorHAnsi"/>
          <w:bCs/>
          <w:sz w:val="22"/>
          <w:lang w:val="en"/>
        </w:rPr>
        <w:t>In order to</w:t>
      </w:r>
      <w:proofErr w:type="gramEnd"/>
      <w:r w:rsidRPr="003B67B0">
        <w:rPr>
          <w:rFonts w:asciiTheme="minorHAnsi" w:hAnsiTheme="minorHAnsi" w:cstheme="minorHAnsi"/>
          <w:bCs/>
          <w:sz w:val="22"/>
          <w:lang w:val="en"/>
        </w:rPr>
        <w:t xml:space="preserve"> ensure that this model is representative of what happens in </w:t>
      </w:r>
      <w:r w:rsidRPr="003B67B0">
        <w:rPr>
          <w:rFonts w:asciiTheme="minorHAnsi" w:hAnsiTheme="minorHAnsi" w:cstheme="minorHAnsi"/>
          <w:bCs/>
          <w:sz w:val="22"/>
          <w:lang w:val="en"/>
        </w:rPr>
        <w:t>vertebrates, we have used chicken neuronal cultures to further study the localization and function of V337M mutated tau proteins</w:t>
      </w:r>
      <w:r>
        <w:rPr>
          <w:rFonts w:asciiTheme="minorHAnsi" w:hAnsiTheme="minorHAnsi" w:cstheme="minorHAnsi"/>
          <w:bCs/>
          <w:sz w:val="22"/>
          <w:lang w:val="en"/>
        </w:rPr>
        <w:t>.</w:t>
      </w:r>
    </w:p>
    <w:p w:rsidR="002040E9" w:rsidRDefault="002040E9">
      <w:pPr>
        <w:rPr>
          <w:rFonts w:cstheme="minorHAnsi"/>
          <w:bCs/>
          <w:lang w:val="en"/>
        </w:rPr>
      </w:pPr>
    </w:p>
    <w:p w:rsidR="003B67B0" w:rsidRDefault="003B67B0">
      <w:pPr>
        <w:rPr>
          <w:rFonts w:cstheme="minorHAnsi"/>
          <w:bCs/>
          <w:lang w:val="en"/>
        </w:rPr>
      </w:pPr>
    </w:p>
    <w:p w:rsidR="003B67B0" w:rsidRDefault="003B67B0">
      <w:pPr>
        <w:rPr>
          <w:rFonts w:cstheme="minorHAnsi"/>
          <w:bCs/>
          <w:lang w:val="en"/>
        </w:rPr>
        <w:sectPr w:rsidR="003B67B0" w:rsidSect="003B67B0">
          <w:type w:val="continuous"/>
          <w:pgSz w:w="11906" w:h="16838"/>
          <w:pgMar w:top="1440" w:right="1440" w:bottom="1440" w:left="1440" w:header="708" w:footer="708" w:gutter="0"/>
          <w:cols w:space="708"/>
          <w:docGrid w:linePitch="360"/>
        </w:sectPr>
      </w:pPr>
    </w:p>
    <w:p w:rsidR="003B67B0" w:rsidRDefault="003B67B0">
      <w:pPr>
        <w:rPr>
          <w:rFonts w:cstheme="minorHAnsi"/>
          <w:bCs/>
          <w:lang w:val="en"/>
        </w:rPr>
      </w:pPr>
    </w:p>
    <w:p w:rsidR="003B67B0" w:rsidRDefault="003B67B0">
      <w:pPr>
        <w:rPr>
          <w:rFonts w:cstheme="minorHAnsi"/>
          <w:bCs/>
          <w:lang w:val="en"/>
        </w:rPr>
      </w:pPr>
    </w:p>
    <w:p w:rsidR="002040E9" w:rsidRDefault="002040E9" w:rsidP="002040E9">
      <w:pPr>
        <w:rPr>
          <w:rFonts w:cstheme="minorHAnsi"/>
          <w:bCs/>
          <w:lang w:val="en"/>
        </w:rPr>
      </w:pPr>
    </w:p>
    <w:p w:rsidR="002040E9" w:rsidRPr="002040E9" w:rsidRDefault="002040E9" w:rsidP="002040E9">
      <w:pPr>
        <w:rPr>
          <w:rFonts w:ascii="Calibri" w:hAnsi="Calibri" w:cs="Calibri"/>
          <w:b/>
        </w:rPr>
        <w:sectPr w:rsidR="002040E9" w:rsidRPr="002040E9" w:rsidSect="002040E9">
          <w:type w:val="continuous"/>
          <w:pgSz w:w="11906" w:h="16838"/>
          <w:pgMar w:top="1440" w:right="1440" w:bottom="1440" w:left="1440" w:header="708" w:footer="708" w:gutter="0"/>
          <w:cols w:space="708"/>
          <w:docGrid w:linePitch="360"/>
        </w:sectPr>
      </w:pPr>
      <w:r w:rsidRPr="002040E9">
        <w:rPr>
          <w:rFonts w:ascii="Calibri" w:hAnsi="Calibri" w:cs="Calibri"/>
          <w:b/>
        </w:rPr>
        <w:lastRenderedPageBreak/>
        <w:t>Methods</w:t>
      </w:r>
    </w:p>
    <w:p w:rsidR="002040E9" w:rsidRPr="002040E9" w:rsidRDefault="002040E9" w:rsidP="00606A98">
      <w:pPr>
        <w:jc w:val="both"/>
        <w:rPr>
          <w:rFonts w:ascii="Calibri" w:hAnsi="Calibri" w:cs="Calibri"/>
        </w:rPr>
      </w:pPr>
      <w:r w:rsidRPr="002040E9">
        <w:rPr>
          <w:rFonts w:ascii="Calibri" w:hAnsi="Calibri" w:cs="Calibri"/>
          <w:b/>
          <w:i/>
        </w:rPr>
        <w:t>Drosophila</w:t>
      </w:r>
      <w:r w:rsidRPr="002040E9">
        <w:rPr>
          <w:rFonts w:ascii="Calibri" w:hAnsi="Calibri" w:cs="Calibri"/>
          <w:b/>
        </w:rPr>
        <w:t xml:space="preserve"> embryo selection and neural cultures. </w:t>
      </w:r>
      <w:r w:rsidRPr="002040E9">
        <w:rPr>
          <w:rFonts w:ascii="Calibri" w:hAnsi="Calibri" w:cs="Calibri"/>
          <w:i/>
        </w:rPr>
        <w:t>Drosophila</w:t>
      </w:r>
      <w:r w:rsidRPr="002040E9">
        <w:rPr>
          <w:rFonts w:ascii="Calibri" w:hAnsi="Calibri" w:cs="Calibri"/>
        </w:rPr>
        <w:t xml:space="preserve"> crosses were performed over the weekend (Figure 3). The embryos were bleached (50% Bleach) for 90 seconds prior to selection. Stage 11 embryos were selected under the microscope; 30 embryos per genotype were used for each repeat performed. After selection, the embryos were transferred into 20µl of filtered </w:t>
      </w:r>
      <w:r w:rsidRPr="002040E9">
        <w:rPr>
          <w:rFonts w:ascii="Calibri" w:hAnsi="Calibri" w:cs="Calibri"/>
          <w:i/>
        </w:rPr>
        <w:t>Drosophila</w:t>
      </w:r>
      <w:r w:rsidRPr="002040E9">
        <w:rPr>
          <w:rFonts w:ascii="Calibri" w:hAnsi="Calibri" w:cs="Calibri"/>
        </w:rPr>
        <w:t xml:space="preserve"> neuronal media containing 1:1000 Pen/Strep. After a 20 seconds’ wash with </w:t>
      </w:r>
      <w:proofErr w:type="spellStart"/>
      <w:r w:rsidRPr="002040E9">
        <w:rPr>
          <w:rFonts w:ascii="Calibri" w:hAnsi="Calibri" w:cs="Calibri"/>
        </w:rPr>
        <w:t>EtOH</w:t>
      </w:r>
      <w:proofErr w:type="spellEnd"/>
      <w:r w:rsidRPr="002040E9">
        <w:rPr>
          <w:rFonts w:ascii="Calibri" w:hAnsi="Calibri" w:cs="Calibri"/>
        </w:rPr>
        <w:t xml:space="preserve">, the embryos were washed again with 100µl </w:t>
      </w:r>
      <w:r w:rsidRPr="002040E9">
        <w:rPr>
          <w:rFonts w:ascii="Calibri" w:hAnsi="Calibri" w:cs="Calibri"/>
          <w:i/>
        </w:rPr>
        <w:t>Drosophila</w:t>
      </w:r>
      <w:r w:rsidRPr="002040E9">
        <w:rPr>
          <w:rFonts w:ascii="Calibri" w:hAnsi="Calibri" w:cs="Calibri"/>
        </w:rPr>
        <w:t xml:space="preserve"> neuronal media. After discarding the neuronal media, 100µl of Dispersion media was added and the embryos were homogenized a homogenization pestle. This was followed by a 3.5 </w:t>
      </w:r>
      <w:proofErr w:type="gramStart"/>
      <w:r w:rsidRPr="002040E9">
        <w:rPr>
          <w:rFonts w:ascii="Calibri" w:hAnsi="Calibri" w:cs="Calibri"/>
        </w:rPr>
        <w:t>minutes</w:t>
      </w:r>
      <w:proofErr w:type="gramEnd"/>
      <w:r w:rsidRPr="002040E9">
        <w:rPr>
          <w:rFonts w:ascii="Calibri" w:hAnsi="Calibri" w:cs="Calibri"/>
        </w:rPr>
        <w:t xml:space="preserve"> incubation period at 37°C. After the incubation, 200µl of </w:t>
      </w:r>
      <w:r w:rsidRPr="002040E9">
        <w:rPr>
          <w:rFonts w:ascii="Calibri" w:hAnsi="Calibri" w:cs="Calibri"/>
          <w:i/>
        </w:rPr>
        <w:t>Drosophila</w:t>
      </w:r>
      <w:r w:rsidRPr="002040E9">
        <w:rPr>
          <w:rFonts w:ascii="Calibri" w:hAnsi="Calibri" w:cs="Calibri"/>
        </w:rPr>
        <w:t xml:space="preserve"> neuronal media was added and the solution was centrifugated for 5 minutes at 900g RT. The supernatant was removed and the cells were re-suspended in 90µl of </w:t>
      </w:r>
      <w:r w:rsidRPr="002040E9">
        <w:rPr>
          <w:rFonts w:ascii="Calibri" w:hAnsi="Calibri" w:cs="Calibri"/>
          <w:i/>
        </w:rPr>
        <w:t>Drosophila</w:t>
      </w:r>
      <w:r w:rsidRPr="002040E9">
        <w:rPr>
          <w:rFonts w:ascii="Calibri" w:hAnsi="Calibri" w:cs="Calibri"/>
        </w:rPr>
        <w:t xml:space="preserve"> neuronal media. A 30µl drop was plated into a sterile chamber coated with acetone. The drop culture was sealed with Vaseline and a cover slip. From each genotype 3 distinct drop neuronal cultures were produced. After 3 hours, the culture was reversed so the neurons were attached to the cover slip. The cultures were kept in at 37°C in the dark until further processing. </w:t>
      </w:r>
    </w:p>
    <w:p w:rsidR="002040E9" w:rsidRPr="002040E9" w:rsidRDefault="002040E9" w:rsidP="00606A98">
      <w:pPr>
        <w:jc w:val="both"/>
        <w:rPr>
          <w:rFonts w:ascii="Calibri" w:hAnsi="Calibri" w:cs="Calibri"/>
        </w:rPr>
      </w:pPr>
      <w:r w:rsidRPr="002040E9">
        <w:rPr>
          <w:rFonts w:ascii="Calibri" w:hAnsi="Calibri" w:cs="Calibri"/>
          <w:b/>
        </w:rPr>
        <w:t xml:space="preserve">Immunostaining of </w:t>
      </w:r>
      <w:r w:rsidRPr="002040E9">
        <w:rPr>
          <w:rFonts w:ascii="Calibri" w:hAnsi="Calibri" w:cs="Calibri"/>
          <w:b/>
          <w:i/>
        </w:rPr>
        <w:t>Drosophila</w:t>
      </w:r>
      <w:r w:rsidRPr="002040E9">
        <w:rPr>
          <w:rFonts w:ascii="Calibri" w:hAnsi="Calibri" w:cs="Calibri"/>
          <w:b/>
        </w:rPr>
        <w:t xml:space="preserve"> neuronal cultures. </w:t>
      </w:r>
      <w:r w:rsidRPr="002040E9">
        <w:rPr>
          <w:rFonts w:ascii="Calibri" w:hAnsi="Calibri" w:cs="Calibri"/>
        </w:rPr>
        <w:t>After 6 days of incubation, the neuronal drop cultures were fixed in 4% PFA for 30 min at room temperature. This was followed by 2 washes with PBT, each for 10 min. Primary antibody staining (α-Tubulin 1:1000 dilution) was performed overnight at 4°C in the dark. The cultures were then washed two times with PBT and 2</w:t>
      </w:r>
      <w:r w:rsidRPr="002040E9">
        <w:rPr>
          <w:rFonts w:ascii="Calibri" w:hAnsi="Calibri" w:cs="Calibri"/>
          <w:vertAlign w:val="superscript"/>
        </w:rPr>
        <w:t>nd</w:t>
      </w:r>
      <w:r w:rsidRPr="002040E9">
        <w:rPr>
          <w:rFonts w:ascii="Calibri" w:hAnsi="Calibri" w:cs="Calibri"/>
        </w:rPr>
        <w:t xml:space="preserve"> antibody was added for 1 hour. The HRP</w:t>
      </w:r>
      <w:r w:rsidR="00DF6825">
        <w:rPr>
          <w:rFonts w:ascii="Calibri" w:hAnsi="Calibri" w:cs="Calibri"/>
        </w:rPr>
        <w:t xml:space="preserve"> (Protein A)</w:t>
      </w:r>
      <w:r w:rsidRPr="002040E9">
        <w:rPr>
          <w:rFonts w:ascii="Calibri" w:hAnsi="Calibri" w:cs="Calibri"/>
        </w:rPr>
        <w:t xml:space="preserve"> antibody was direct labelled, hence was added as a 2</w:t>
      </w:r>
      <w:r w:rsidRPr="002040E9">
        <w:rPr>
          <w:rFonts w:ascii="Calibri" w:hAnsi="Calibri" w:cs="Calibri"/>
          <w:vertAlign w:val="superscript"/>
        </w:rPr>
        <w:t>nd</w:t>
      </w:r>
      <w:r w:rsidRPr="002040E9">
        <w:rPr>
          <w:rFonts w:ascii="Calibri" w:hAnsi="Calibri" w:cs="Calibri"/>
        </w:rPr>
        <w:t xml:space="preserve"> </w:t>
      </w:r>
      <w:r w:rsidRPr="002040E9">
        <w:rPr>
          <w:rFonts w:ascii="Calibri" w:hAnsi="Calibri" w:cs="Calibri"/>
        </w:rPr>
        <w:t xml:space="preserve">antibody with a dilution of 1:20. This was followed by 1 hour PBT wash. The cover slips were then mounted using </w:t>
      </w:r>
      <w:proofErr w:type="spellStart"/>
      <w:r w:rsidRPr="002040E9">
        <w:rPr>
          <w:rFonts w:ascii="Calibri" w:hAnsi="Calibri" w:cs="Calibri"/>
        </w:rPr>
        <w:t>Vectashield</w:t>
      </w:r>
      <w:proofErr w:type="spellEnd"/>
      <w:r w:rsidRPr="002040E9">
        <w:rPr>
          <w:rFonts w:ascii="Calibri" w:hAnsi="Calibri" w:cs="Calibri"/>
        </w:rPr>
        <w:t xml:space="preserve"> (Vector Laboratories) and then sealed with nail polish. The figures were taken with Nikon Eclipse 90s Microscope and further processed using ImageJ programme. </w:t>
      </w:r>
    </w:p>
    <w:p w:rsidR="002040E9" w:rsidRPr="00DF6825" w:rsidRDefault="002040E9" w:rsidP="00DF6825">
      <w:pPr>
        <w:jc w:val="both"/>
        <w:rPr>
          <w:bCs/>
          <w:lang w:val="en"/>
        </w:rPr>
      </w:pPr>
      <w:r w:rsidRPr="00DF6825">
        <w:rPr>
          <w:b/>
        </w:rPr>
        <w:t xml:space="preserve">Generating </w:t>
      </w:r>
      <w:proofErr w:type="spellStart"/>
      <w:r w:rsidRPr="00DF6825">
        <w:rPr>
          <w:b/>
        </w:rPr>
        <w:t>hTau</w:t>
      </w:r>
      <w:proofErr w:type="spellEnd"/>
      <w:r w:rsidRPr="00DF6825">
        <w:rPr>
          <w:b/>
        </w:rPr>
        <w:t xml:space="preserve"> plasmid with V337M mutation. </w:t>
      </w:r>
      <w:r w:rsidRPr="00DF6825">
        <w:t>Using the plasmid presented in Figure 4</w:t>
      </w:r>
      <w:r w:rsidR="008B750A" w:rsidRPr="00DF6825">
        <w:t>A</w:t>
      </w:r>
      <w:r w:rsidRPr="00DF6825">
        <w:t xml:space="preserve">, we have induced the V337M mutation in the Tau protein. The mutation was performed following the </w:t>
      </w:r>
      <w:proofErr w:type="spellStart"/>
      <w:r w:rsidRPr="00DF6825">
        <w:t>QuickChange</w:t>
      </w:r>
      <w:proofErr w:type="spellEnd"/>
      <w:r w:rsidRPr="00DF6825">
        <w:t xml:space="preserve"> Lightning Site-Directed Mutagenesis Kit (Agilent Technologies) protocol and using the following primers: forward 5’-</w:t>
      </w:r>
      <w:r w:rsidRPr="00DF6825">
        <w:rPr>
          <w:lang w:val="es-ES_tradnl"/>
        </w:rPr>
        <w:t>CAGGAGGTGGCCAGATGGAAGTAAAATCTG-'3; reverse: 3’- CAGATTTTACTTCCATCTGGCCACCTCCTG-5’</w:t>
      </w:r>
      <w:r w:rsidRPr="00DF6825">
        <w:t xml:space="preserve">. The resulting plasmids were transformed into DH5α Bacterial cells as per protocol. The transformed cells were plated into Kanamycin plates (concentration of 50ng/µl) with 200µl and 400µl of transformed cells and incubated overnight at 37˚C. The successful colonies were transferred into a 4ml LB media at 37˚C overnight in a shaking incubator at 225rpm. DNA was extracted using the </w:t>
      </w:r>
      <w:proofErr w:type="spellStart"/>
      <w:r w:rsidRPr="00DF6825">
        <w:t>QIAprep</w:t>
      </w:r>
      <w:proofErr w:type="spellEnd"/>
      <w:r w:rsidRPr="00DF6825">
        <w:t xml:space="preserve"> Spin Miniprep Kit (</w:t>
      </w:r>
      <w:proofErr w:type="spellStart"/>
      <w:r w:rsidRPr="00DF6825">
        <w:t>Qiagen</w:t>
      </w:r>
      <w:proofErr w:type="spellEnd"/>
      <w:r w:rsidRPr="00DF6825">
        <w:t xml:space="preserve">). The mutated clones were sequenced and the successful ones were further used for the </w:t>
      </w:r>
      <w:r w:rsidR="00165E2C" w:rsidRPr="00DF6825">
        <w:t>chicken</w:t>
      </w:r>
      <w:r w:rsidRPr="00DF6825">
        <w:t xml:space="preserve"> neuronal cultures transfection.</w:t>
      </w:r>
    </w:p>
    <w:p w:rsidR="002040E9" w:rsidRDefault="00165E2C" w:rsidP="00DF6825">
      <w:pPr>
        <w:jc w:val="both"/>
        <w:sectPr w:rsidR="002040E9" w:rsidSect="002040E9">
          <w:type w:val="continuous"/>
          <w:pgSz w:w="11906" w:h="16838"/>
          <w:pgMar w:top="1440" w:right="1440" w:bottom="1440" w:left="1440" w:header="708" w:footer="708" w:gutter="0"/>
          <w:cols w:num="2" w:space="708"/>
          <w:docGrid w:linePitch="360"/>
        </w:sectPr>
      </w:pPr>
      <w:r w:rsidRPr="00DF6825">
        <w:rPr>
          <w:b/>
        </w:rPr>
        <w:t>Chicken</w:t>
      </w:r>
      <w:r w:rsidR="002040E9" w:rsidRPr="00DF6825">
        <w:rPr>
          <w:b/>
        </w:rPr>
        <w:t xml:space="preserve"> neurons cultures. </w:t>
      </w:r>
      <w:r w:rsidR="002040E9" w:rsidRPr="00DF6825">
        <w:t>Chicken eggs were incubated at 37°C for 7 days. On the 8</w:t>
      </w:r>
      <w:r w:rsidR="002040E9" w:rsidRPr="00DF6825">
        <w:rPr>
          <w:vertAlign w:val="superscript"/>
        </w:rPr>
        <w:t>th</w:t>
      </w:r>
      <w:r w:rsidR="002040E9" w:rsidRPr="00DF6825">
        <w:t xml:space="preserve"> day the embryos were dissected and the 2 frontal lobes of the brain were extracted in 5 ml of Neurobasal media (containing 0.2% FBS, 0.4% Pen/Strep, 1% </w:t>
      </w:r>
      <w:proofErr w:type="spellStart"/>
      <w:r w:rsidR="002040E9" w:rsidRPr="00DF6825">
        <w:t>Glutamax</w:t>
      </w:r>
      <w:proofErr w:type="spellEnd"/>
      <w:r w:rsidR="002040E9" w:rsidRPr="00DF6825">
        <w:t xml:space="preserve">, 1% Sodium Pyruvate; </w:t>
      </w:r>
      <w:proofErr w:type="spellStart"/>
      <w:r w:rsidR="002040E9" w:rsidRPr="00DF6825">
        <w:t>Gibco</w:t>
      </w:r>
      <w:proofErr w:type="spellEnd"/>
      <w:r w:rsidR="002040E9" w:rsidRPr="00DF6825">
        <w:t>-Life Technologies). After all forebrains lobes were collected, 5 ml of Trypsin (</w:t>
      </w:r>
      <w:proofErr w:type="spellStart"/>
      <w:r w:rsidR="002040E9" w:rsidRPr="00DF6825">
        <w:t>Gibco</w:t>
      </w:r>
      <w:proofErr w:type="spellEnd"/>
      <w:r w:rsidR="002040E9" w:rsidRPr="00DF6825">
        <w:t xml:space="preserve">-Life Technologies) were added for 30 min at 37°C. </w:t>
      </w:r>
    </w:p>
    <w:p w:rsidR="00951B22" w:rsidRDefault="00606A98" w:rsidP="002040E9">
      <w:pPr>
        <w:tabs>
          <w:tab w:val="left" w:pos="2922"/>
        </w:tabs>
      </w:pPr>
      <w:r w:rsidRPr="00395AE9">
        <w:rPr>
          <w:noProof/>
          <w:lang w:eastAsia="en-GB"/>
        </w:rPr>
        <w:lastRenderedPageBreak/>
        <mc:AlternateContent>
          <mc:Choice Requires="wps">
            <w:drawing>
              <wp:anchor distT="45720" distB="45720" distL="114300" distR="114300" simplePos="0" relativeHeight="251671552" behindDoc="0" locked="0" layoutInCell="1" allowOverlap="1" wp14:anchorId="6BBFC437" wp14:editId="36D75FE7">
                <wp:simplePos x="0" y="0"/>
                <wp:positionH relativeFrom="column">
                  <wp:posOffset>-441325</wp:posOffset>
                </wp:positionH>
                <wp:positionV relativeFrom="paragraph">
                  <wp:posOffset>4485640</wp:posOffset>
                </wp:positionV>
                <wp:extent cx="6604000" cy="1290320"/>
                <wp:effectExtent l="0" t="0" r="635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290320"/>
                        </a:xfrm>
                        <a:prstGeom prst="rect">
                          <a:avLst/>
                        </a:prstGeom>
                        <a:solidFill>
                          <a:srgbClr val="FFFFFF"/>
                        </a:solidFill>
                        <a:ln w="9525">
                          <a:noFill/>
                          <a:miter lim="800000"/>
                          <a:headEnd/>
                          <a:tailEnd/>
                        </a:ln>
                      </wps:spPr>
                      <wps:txbx>
                        <w:txbxContent>
                          <w:p w:rsidR="00606A98" w:rsidRPr="00897D80" w:rsidRDefault="00606A98" w:rsidP="008B750A">
                            <w:pPr>
                              <w:spacing w:after="0" w:line="240" w:lineRule="auto"/>
                              <w:jc w:val="both"/>
                              <w:rPr>
                                <w:rFonts w:ascii="Calibri" w:eastAsia="Times New Roman" w:hAnsi="Calibri" w:cs="Times New Roman"/>
                                <w:szCs w:val="24"/>
                                <w:lang w:eastAsia="en-GB"/>
                              </w:rPr>
                            </w:pPr>
                            <w:r w:rsidRPr="00897D80">
                              <w:rPr>
                                <w:rFonts w:ascii="Calibri" w:eastAsia="+mn-ea" w:hAnsi="Calibri" w:cs="+mn-cs"/>
                                <w:b/>
                                <w:bCs/>
                                <w:color w:val="000000"/>
                                <w:kern w:val="24"/>
                                <w:szCs w:val="24"/>
                                <w:lang w:eastAsia="en-GB"/>
                              </w:rPr>
                              <w:t xml:space="preserve">Figure 3| Generation of </w:t>
                            </w:r>
                            <w:r w:rsidRPr="004B7690">
                              <w:rPr>
                                <w:rFonts w:ascii="Calibri" w:eastAsia="+mn-ea" w:hAnsi="Calibri" w:cs="+mn-cs"/>
                                <w:b/>
                                <w:bCs/>
                                <w:i/>
                                <w:color w:val="000000"/>
                                <w:kern w:val="24"/>
                                <w:szCs w:val="24"/>
                                <w:lang w:eastAsia="en-GB"/>
                              </w:rPr>
                              <w:t>Drosophila</w:t>
                            </w:r>
                            <w:r w:rsidRPr="00897D80">
                              <w:rPr>
                                <w:rFonts w:ascii="Calibri" w:eastAsia="+mn-ea" w:hAnsi="Calibri" w:cs="+mn-cs"/>
                                <w:b/>
                                <w:bCs/>
                                <w:color w:val="000000"/>
                                <w:kern w:val="24"/>
                                <w:szCs w:val="24"/>
                                <w:lang w:eastAsia="en-GB"/>
                              </w:rPr>
                              <w:t xml:space="preserve"> crosses expressing human Tau protein using the Gal4/UAS system. </w:t>
                            </w:r>
                            <w:r w:rsidRPr="00897D80">
                              <w:rPr>
                                <w:rFonts w:ascii="Calibri" w:eastAsia="+mn-ea" w:hAnsi="Calibri" w:cs="+mn-cs"/>
                                <w:color w:val="000000"/>
                                <w:kern w:val="24"/>
                                <w:szCs w:val="24"/>
                                <w:lang w:eastAsia="en-GB"/>
                              </w:rPr>
                              <w:t xml:space="preserve">In cross </w:t>
                            </w:r>
                            <w:r w:rsidRPr="008B750A">
                              <w:rPr>
                                <w:rFonts w:ascii="Calibri" w:eastAsia="+mn-ea" w:hAnsi="Calibri" w:cs="+mn-cs"/>
                                <w:b/>
                                <w:color w:val="000000"/>
                                <w:kern w:val="24"/>
                                <w:szCs w:val="24"/>
                                <w:lang w:eastAsia="en-GB"/>
                              </w:rPr>
                              <w:t>(A)</w:t>
                            </w:r>
                            <w:r w:rsidRPr="00897D80">
                              <w:rPr>
                                <w:rFonts w:ascii="Calibri" w:eastAsia="+mn-ea" w:hAnsi="Calibri" w:cs="+mn-cs"/>
                                <w:color w:val="000000"/>
                                <w:kern w:val="24"/>
                                <w:szCs w:val="24"/>
                                <w:lang w:eastAsia="en-GB"/>
                              </w:rPr>
                              <w:t xml:space="preserve"> </w:t>
                            </w:r>
                            <w:r w:rsidRPr="004B7690">
                              <w:rPr>
                                <w:rFonts w:ascii="Calibri" w:eastAsia="+mn-ea" w:hAnsi="Calibri" w:cs="+mn-cs"/>
                                <w:i/>
                                <w:color w:val="000000"/>
                                <w:kern w:val="24"/>
                                <w:szCs w:val="24"/>
                                <w:lang w:eastAsia="en-GB"/>
                              </w:rPr>
                              <w:t>drosophila</w:t>
                            </w:r>
                            <w:r w:rsidRPr="00897D80">
                              <w:rPr>
                                <w:rFonts w:ascii="Calibri" w:eastAsia="+mn-ea" w:hAnsi="Calibri" w:cs="+mn-cs"/>
                                <w:color w:val="000000"/>
                                <w:kern w:val="24"/>
                                <w:szCs w:val="24"/>
                                <w:lang w:eastAsia="en-GB"/>
                              </w:rPr>
                              <w:t xml:space="preserve"> female virgins containing the pan-neural driver elavGal4 were crossed with males UAS-hTauWT. Due to the UAS-hTAUV337M being inserted in the chromosome X of the flies’ genome</w:t>
                            </w:r>
                            <w:r>
                              <w:rPr>
                                <w:rFonts w:ascii="Calibri" w:eastAsia="+mn-ea" w:hAnsi="Calibri" w:cs="+mn-cs"/>
                                <w:color w:val="000000"/>
                                <w:kern w:val="24"/>
                                <w:szCs w:val="24"/>
                                <w:lang w:eastAsia="en-GB"/>
                              </w:rPr>
                              <w:t xml:space="preserve"> and the elavGal4 on the III chromosome</w:t>
                            </w:r>
                            <w:r w:rsidRPr="00897D80">
                              <w:rPr>
                                <w:rFonts w:ascii="Calibri" w:eastAsia="+mn-ea" w:hAnsi="Calibri" w:cs="+mn-cs"/>
                                <w:color w:val="000000"/>
                                <w:kern w:val="24"/>
                                <w:szCs w:val="24"/>
                                <w:lang w:eastAsia="en-GB"/>
                              </w:rPr>
                              <w:t xml:space="preserve">, we have used males caring the elavGal4 driver crossed with virgin females containing the UAS-hTAUV337M mutation </w:t>
                            </w:r>
                            <w:r>
                              <w:rPr>
                                <w:rFonts w:ascii="Calibri" w:eastAsia="+mn-ea" w:hAnsi="Calibri" w:cs="+mn-cs"/>
                                <w:color w:val="000000"/>
                                <w:kern w:val="24"/>
                                <w:szCs w:val="24"/>
                                <w:lang w:eastAsia="en-GB"/>
                              </w:rPr>
                              <w:t xml:space="preserve">for the second cross </w:t>
                            </w:r>
                            <w:r w:rsidRPr="008B750A">
                              <w:rPr>
                                <w:rFonts w:ascii="Calibri" w:eastAsia="+mn-ea" w:hAnsi="Calibri" w:cs="+mn-cs"/>
                                <w:b/>
                                <w:color w:val="000000"/>
                                <w:kern w:val="24"/>
                                <w:szCs w:val="24"/>
                                <w:lang w:eastAsia="en-GB"/>
                              </w:rPr>
                              <w:t>(B).</w:t>
                            </w:r>
                            <w:r w:rsidRPr="00897D80">
                              <w:rPr>
                                <w:rFonts w:ascii="Calibri" w:eastAsia="+mn-ea" w:hAnsi="Calibri" w:cs="+mn-cs"/>
                                <w:color w:val="000000"/>
                                <w:kern w:val="24"/>
                                <w:szCs w:val="24"/>
                                <w:lang w:eastAsia="en-GB"/>
                              </w:rPr>
                              <w:t xml:space="preserve"> As the </w:t>
                            </w:r>
                            <w:proofErr w:type="spellStart"/>
                            <w:r w:rsidRPr="00897D80">
                              <w:rPr>
                                <w:rFonts w:ascii="Calibri" w:eastAsia="+mn-ea" w:hAnsi="Calibri" w:cs="+mn-cs"/>
                                <w:color w:val="000000"/>
                                <w:kern w:val="24"/>
                                <w:szCs w:val="24"/>
                                <w:lang w:eastAsia="en-GB"/>
                              </w:rPr>
                              <w:t>elav</w:t>
                            </w:r>
                            <w:proofErr w:type="spellEnd"/>
                            <w:r w:rsidRPr="00897D80">
                              <w:rPr>
                                <w:rFonts w:ascii="Calibri" w:eastAsia="+mn-ea" w:hAnsi="Calibri" w:cs="+mn-cs"/>
                                <w:color w:val="000000"/>
                                <w:kern w:val="24"/>
                                <w:szCs w:val="24"/>
                                <w:lang w:eastAsia="en-GB"/>
                              </w:rPr>
                              <w:t xml:space="preserve"> neural driver become transiently expressed during development, GAL4 is transcribed and specifically binds to the UAS enhancer, activating gene transcription of hTauWT or hTauV337M. </w:t>
                            </w:r>
                          </w:p>
                          <w:p w:rsidR="00606A98" w:rsidRDefault="00606A98" w:rsidP="00606A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FC437" id="_x0000_s1028" type="#_x0000_t202" style="position:absolute;margin-left:-34.75pt;margin-top:353.2pt;width:520pt;height:101.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dEJQIAACUEAAAOAAAAZHJzL2Uyb0RvYy54bWysU9uO2yAQfa/Uf0C8N3bcJLux4qy22aaq&#10;tL1Iu/0AjHGMCgwFEjv9+h1wkkbbt6p+sAZmOJw5Z1jdDVqRg3BegqnodJJTIgyHRppdRX88b9/d&#10;UuIDMw1TYERFj8LTu/XbN6velqKADlQjHEEQ48veVrQLwZZZ5nknNPMTsMJgsgWnWcCl22WNYz2i&#10;a5UVeb7IenCNdcCF97j7MCbpOuG3reDhW9t6EYiqKHIL6e/Sv47/bL1i5c4x20l+osH+gYVm0uCl&#10;F6gHFhjZO/kXlJbcgYc2TDjoDNpWcpF6wG6m+atunjpmReoFxfH2IpP/f7D86+G7I7KpaDG9ocQw&#10;jSY9iyGQDzCQIurTW19i2ZPFwjDgNvqcevX2EfhPTwxsOmZ24t456DvBGuQ3jSezq6Mjjo8gdf8F&#10;GryG7QMkoKF1OoqHchBER5+OF28iFY6bi0U+y3NMccxNi2X+vkjuZaw8H7fOh08CNIlBRR2an+DZ&#10;4dGHSIeV55J4mwclm61UKi3crt4oRw4MB2WbvtTBqzJlSF/R5byYJ2QD8XyaIS0DDrKSuqK3yBOZ&#10;pu0ox0fTpDgwqcYYmShz0idKMooThnoYrTjLXkNzRMEcjHOL7wyDDtxvSnqc2Yr6X3vmBCXqs0HR&#10;l9PZLA55WszmN6gQcdeZ+jrDDEeoigZKxnAT0sOIchi4R3NamWSLLo5MTpRxFpOap3cTh/16nar+&#10;vO71CwAAAP//AwBQSwMEFAAGAAgAAAAhAEAYqlLeAAAACwEAAA8AAABkcnMvZG93bnJldi54bWxM&#10;j8tOwzAQRfdI/IM1ldig1ga1DglxKkACse3jAyaJm0SNx1HsNunfM6xgN4+jO2fy7ex6cbVj6DwZ&#10;eFopEJYqX3fUGDgePpcvIEJEqrH3ZA3cbIBtcX+XY1b7iXb2uo+N4BAKGRpoYxwyKUPVWodh5QdL&#10;vDv50WHkdmxkPeLE4a6Xz0pp6bAjvtDiYD9aW533F2fg9D09btKp/IrHZLfW79glpb8Z87CY315B&#10;RDvHPxh+9VkdCnYq/YXqIHoDS51uGDWQKL0GwUSaKJ6UXKhUgyxy+f+H4gcAAP//AwBQSwECLQAU&#10;AAYACAAAACEAtoM4kv4AAADhAQAAEwAAAAAAAAAAAAAAAAAAAAAAW0NvbnRlbnRfVHlwZXNdLnht&#10;bFBLAQItABQABgAIAAAAIQA4/SH/1gAAAJQBAAALAAAAAAAAAAAAAAAAAC8BAABfcmVscy8ucmVs&#10;c1BLAQItABQABgAIAAAAIQDNFNdEJQIAACUEAAAOAAAAAAAAAAAAAAAAAC4CAABkcnMvZTJvRG9j&#10;LnhtbFBLAQItABQABgAIAAAAIQBAGKpS3gAAAAsBAAAPAAAAAAAAAAAAAAAAAH8EAABkcnMvZG93&#10;bnJldi54bWxQSwUGAAAAAAQABADzAAAAigUAAAAA&#10;" stroked="f">
                <v:textbox>
                  <w:txbxContent>
                    <w:p w:rsidR="00606A98" w:rsidRPr="00897D80" w:rsidRDefault="00606A98" w:rsidP="008B750A">
                      <w:pPr>
                        <w:spacing w:after="0" w:line="240" w:lineRule="auto"/>
                        <w:jc w:val="both"/>
                        <w:rPr>
                          <w:rFonts w:ascii="Calibri" w:eastAsia="Times New Roman" w:hAnsi="Calibri" w:cs="Times New Roman"/>
                          <w:szCs w:val="24"/>
                          <w:lang w:eastAsia="en-GB"/>
                        </w:rPr>
                      </w:pPr>
                      <w:r w:rsidRPr="00897D80">
                        <w:rPr>
                          <w:rFonts w:ascii="Calibri" w:eastAsia="+mn-ea" w:hAnsi="Calibri" w:cs="+mn-cs"/>
                          <w:b/>
                          <w:bCs/>
                          <w:color w:val="000000"/>
                          <w:kern w:val="24"/>
                          <w:szCs w:val="24"/>
                          <w:lang w:eastAsia="en-GB"/>
                        </w:rPr>
                        <w:t xml:space="preserve">Figure 3| Generation of </w:t>
                      </w:r>
                      <w:r w:rsidRPr="004B7690">
                        <w:rPr>
                          <w:rFonts w:ascii="Calibri" w:eastAsia="+mn-ea" w:hAnsi="Calibri" w:cs="+mn-cs"/>
                          <w:b/>
                          <w:bCs/>
                          <w:i/>
                          <w:color w:val="000000"/>
                          <w:kern w:val="24"/>
                          <w:szCs w:val="24"/>
                          <w:lang w:eastAsia="en-GB"/>
                        </w:rPr>
                        <w:t>Drosophila</w:t>
                      </w:r>
                      <w:r w:rsidRPr="00897D80">
                        <w:rPr>
                          <w:rFonts w:ascii="Calibri" w:eastAsia="+mn-ea" w:hAnsi="Calibri" w:cs="+mn-cs"/>
                          <w:b/>
                          <w:bCs/>
                          <w:color w:val="000000"/>
                          <w:kern w:val="24"/>
                          <w:szCs w:val="24"/>
                          <w:lang w:eastAsia="en-GB"/>
                        </w:rPr>
                        <w:t xml:space="preserve"> crosses expressing human Tau protein using the Gal4/UAS system. </w:t>
                      </w:r>
                      <w:r w:rsidRPr="00897D80">
                        <w:rPr>
                          <w:rFonts w:ascii="Calibri" w:eastAsia="+mn-ea" w:hAnsi="Calibri" w:cs="+mn-cs"/>
                          <w:color w:val="000000"/>
                          <w:kern w:val="24"/>
                          <w:szCs w:val="24"/>
                          <w:lang w:eastAsia="en-GB"/>
                        </w:rPr>
                        <w:t xml:space="preserve">In cross </w:t>
                      </w:r>
                      <w:r w:rsidRPr="008B750A">
                        <w:rPr>
                          <w:rFonts w:ascii="Calibri" w:eastAsia="+mn-ea" w:hAnsi="Calibri" w:cs="+mn-cs"/>
                          <w:b/>
                          <w:color w:val="000000"/>
                          <w:kern w:val="24"/>
                          <w:szCs w:val="24"/>
                          <w:lang w:eastAsia="en-GB"/>
                        </w:rPr>
                        <w:t>(A)</w:t>
                      </w:r>
                      <w:r w:rsidRPr="00897D80">
                        <w:rPr>
                          <w:rFonts w:ascii="Calibri" w:eastAsia="+mn-ea" w:hAnsi="Calibri" w:cs="+mn-cs"/>
                          <w:color w:val="000000"/>
                          <w:kern w:val="24"/>
                          <w:szCs w:val="24"/>
                          <w:lang w:eastAsia="en-GB"/>
                        </w:rPr>
                        <w:t xml:space="preserve"> </w:t>
                      </w:r>
                      <w:r w:rsidRPr="004B7690">
                        <w:rPr>
                          <w:rFonts w:ascii="Calibri" w:eastAsia="+mn-ea" w:hAnsi="Calibri" w:cs="+mn-cs"/>
                          <w:i/>
                          <w:color w:val="000000"/>
                          <w:kern w:val="24"/>
                          <w:szCs w:val="24"/>
                          <w:lang w:eastAsia="en-GB"/>
                        </w:rPr>
                        <w:t>drosophila</w:t>
                      </w:r>
                      <w:r w:rsidRPr="00897D80">
                        <w:rPr>
                          <w:rFonts w:ascii="Calibri" w:eastAsia="+mn-ea" w:hAnsi="Calibri" w:cs="+mn-cs"/>
                          <w:color w:val="000000"/>
                          <w:kern w:val="24"/>
                          <w:szCs w:val="24"/>
                          <w:lang w:eastAsia="en-GB"/>
                        </w:rPr>
                        <w:t xml:space="preserve"> female virgins containing the pan-neural driver elavGal4 were crossed with males UAS-hTauWT. Due to the UAS-hTAUV337M being inserted in the chromosome X of the flies’ genome</w:t>
                      </w:r>
                      <w:r>
                        <w:rPr>
                          <w:rFonts w:ascii="Calibri" w:eastAsia="+mn-ea" w:hAnsi="Calibri" w:cs="+mn-cs"/>
                          <w:color w:val="000000"/>
                          <w:kern w:val="24"/>
                          <w:szCs w:val="24"/>
                          <w:lang w:eastAsia="en-GB"/>
                        </w:rPr>
                        <w:t xml:space="preserve"> and the elavGal4 on the III chromosome</w:t>
                      </w:r>
                      <w:r w:rsidRPr="00897D80">
                        <w:rPr>
                          <w:rFonts w:ascii="Calibri" w:eastAsia="+mn-ea" w:hAnsi="Calibri" w:cs="+mn-cs"/>
                          <w:color w:val="000000"/>
                          <w:kern w:val="24"/>
                          <w:szCs w:val="24"/>
                          <w:lang w:eastAsia="en-GB"/>
                        </w:rPr>
                        <w:t xml:space="preserve">, we have used males caring the elavGal4 driver crossed with virgin females containing the UAS-hTAUV337M mutation </w:t>
                      </w:r>
                      <w:r>
                        <w:rPr>
                          <w:rFonts w:ascii="Calibri" w:eastAsia="+mn-ea" w:hAnsi="Calibri" w:cs="+mn-cs"/>
                          <w:color w:val="000000"/>
                          <w:kern w:val="24"/>
                          <w:szCs w:val="24"/>
                          <w:lang w:eastAsia="en-GB"/>
                        </w:rPr>
                        <w:t xml:space="preserve">for the second cross </w:t>
                      </w:r>
                      <w:r w:rsidRPr="008B750A">
                        <w:rPr>
                          <w:rFonts w:ascii="Calibri" w:eastAsia="+mn-ea" w:hAnsi="Calibri" w:cs="+mn-cs"/>
                          <w:b/>
                          <w:color w:val="000000"/>
                          <w:kern w:val="24"/>
                          <w:szCs w:val="24"/>
                          <w:lang w:eastAsia="en-GB"/>
                        </w:rPr>
                        <w:t>(B).</w:t>
                      </w:r>
                      <w:r w:rsidRPr="00897D80">
                        <w:rPr>
                          <w:rFonts w:ascii="Calibri" w:eastAsia="+mn-ea" w:hAnsi="Calibri" w:cs="+mn-cs"/>
                          <w:color w:val="000000"/>
                          <w:kern w:val="24"/>
                          <w:szCs w:val="24"/>
                          <w:lang w:eastAsia="en-GB"/>
                        </w:rPr>
                        <w:t xml:space="preserve"> As the </w:t>
                      </w:r>
                      <w:proofErr w:type="spellStart"/>
                      <w:r w:rsidRPr="00897D80">
                        <w:rPr>
                          <w:rFonts w:ascii="Calibri" w:eastAsia="+mn-ea" w:hAnsi="Calibri" w:cs="+mn-cs"/>
                          <w:color w:val="000000"/>
                          <w:kern w:val="24"/>
                          <w:szCs w:val="24"/>
                          <w:lang w:eastAsia="en-GB"/>
                        </w:rPr>
                        <w:t>elav</w:t>
                      </w:r>
                      <w:proofErr w:type="spellEnd"/>
                      <w:r w:rsidRPr="00897D80">
                        <w:rPr>
                          <w:rFonts w:ascii="Calibri" w:eastAsia="+mn-ea" w:hAnsi="Calibri" w:cs="+mn-cs"/>
                          <w:color w:val="000000"/>
                          <w:kern w:val="24"/>
                          <w:szCs w:val="24"/>
                          <w:lang w:eastAsia="en-GB"/>
                        </w:rPr>
                        <w:t xml:space="preserve"> neural driver become transiently expressed during development, GAL4 is transcribed and specifically binds to the UAS enhancer, activating gene transcription of hTauWT or hTauV337M. </w:t>
                      </w:r>
                    </w:p>
                    <w:p w:rsidR="00606A98" w:rsidRDefault="00606A98" w:rsidP="00606A98"/>
                  </w:txbxContent>
                </v:textbox>
                <w10:wrap type="square"/>
              </v:shape>
            </w:pict>
          </mc:Fallback>
        </mc:AlternateContent>
      </w:r>
      <w:r>
        <w:rPr>
          <w:noProof/>
          <w:lang w:eastAsia="en-GB"/>
        </w:rPr>
        <w:drawing>
          <wp:anchor distT="0" distB="0" distL="114300" distR="114300" simplePos="0" relativeHeight="251669504" behindDoc="0" locked="0" layoutInCell="1" allowOverlap="1" wp14:anchorId="53B1B199" wp14:editId="62F72CFF">
            <wp:simplePos x="0" y="0"/>
            <wp:positionH relativeFrom="margin">
              <wp:align>center</wp:align>
            </wp:positionH>
            <wp:positionV relativeFrom="paragraph">
              <wp:posOffset>523</wp:posOffset>
            </wp:positionV>
            <wp:extent cx="6923533" cy="4494139"/>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3533" cy="4494139"/>
                    </a:xfrm>
                    <a:prstGeom prst="rect">
                      <a:avLst/>
                    </a:prstGeom>
                    <a:noFill/>
                  </pic:spPr>
                </pic:pic>
              </a:graphicData>
            </a:graphic>
          </wp:anchor>
        </w:drawing>
      </w:r>
      <w:r w:rsidR="008B750A">
        <w:t xml:space="preserve"> </w:t>
      </w:r>
    </w:p>
    <w:p w:rsidR="008B750A" w:rsidRDefault="008B750A" w:rsidP="008B750A">
      <w:pPr>
        <w:jc w:val="both"/>
        <w:sectPr w:rsidR="008B750A" w:rsidSect="002040E9">
          <w:type w:val="continuous"/>
          <w:pgSz w:w="11906" w:h="16838"/>
          <w:pgMar w:top="1440" w:right="1440" w:bottom="1440" w:left="1440" w:header="708" w:footer="708" w:gutter="0"/>
          <w:cols w:space="708"/>
          <w:docGrid w:linePitch="360"/>
        </w:sectPr>
      </w:pPr>
    </w:p>
    <w:p w:rsidR="008B750A" w:rsidRDefault="008B750A" w:rsidP="008B750A">
      <w:pPr>
        <w:jc w:val="both"/>
      </w:pPr>
      <w:r>
        <w:t>The media was then discarded and the brain fragments were washed 3 times with 10ml PBS. After adding 1ml of neuronal media, 100</w:t>
      </w:r>
      <w:r>
        <w:rPr>
          <w:rFonts w:cstheme="minorHAnsi"/>
        </w:rPr>
        <w:t>µ</w:t>
      </w:r>
      <w:r>
        <w:t xml:space="preserve">l of cells were added to each transfection reaction. </w:t>
      </w:r>
    </w:p>
    <w:p w:rsidR="008B750A" w:rsidRPr="00A40284" w:rsidRDefault="008B750A" w:rsidP="008B750A">
      <w:pPr>
        <w:jc w:val="both"/>
      </w:pPr>
      <w:r>
        <w:t xml:space="preserve">The transfection reaction was performed using </w:t>
      </w:r>
      <w:proofErr w:type="spellStart"/>
      <w:r>
        <w:t>Amaxa</w:t>
      </w:r>
      <w:proofErr w:type="spellEnd"/>
      <w:r>
        <w:t xml:space="preserve"> Chicken neuron </w:t>
      </w:r>
      <w:proofErr w:type="spellStart"/>
      <w:r>
        <w:t>Nucleofactor</w:t>
      </w:r>
      <w:proofErr w:type="spellEnd"/>
      <w:r>
        <w:t xml:space="preserve"> kit (</w:t>
      </w:r>
      <w:proofErr w:type="spellStart"/>
      <w:r>
        <w:t>Lonza</w:t>
      </w:r>
      <w:proofErr w:type="spellEnd"/>
      <w:r>
        <w:t xml:space="preserve">) as per protocol. The transfected cells were then diluted in 10 ml of neuronal media, then plated in plates coated with poly-D-lysine (Sigma Aldrich; P6407). Every 7 days, half of media has changed for all plates. After 7 and 14 </w:t>
      </w:r>
      <w:proofErr w:type="gramStart"/>
      <w:r>
        <w:t>days</w:t>
      </w:r>
      <w:proofErr w:type="gramEnd"/>
      <w:r>
        <w:t xml:space="preserve"> pictures were taken with Marianas SDC 3i </w:t>
      </w:r>
      <w:r>
        <w:t>(</w:t>
      </w:r>
      <w:proofErr w:type="spellStart"/>
      <w:r>
        <w:t>Ametek</w:t>
      </w:r>
      <w:proofErr w:type="spellEnd"/>
      <w:r>
        <w:t xml:space="preserve">) microscope. All figures were further processed using ImageJ programme. </w:t>
      </w:r>
    </w:p>
    <w:p w:rsidR="008B750A" w:rsidRDefault="008B750A" w:rsidP="008B750A">
      <w:pPr>
        <w:jc w:val="both"/>
      </w:pPr>
      <w:r>
        <w:rPr>
          <w:b/>
        </w:rPr>
        <w:t xml:space="preserve">Generating </w:t>
      </w:r>
      <w:proofErr w:type="spellStart"/>
      <w:r>
        <w:rPr>
          <w:b/>
        </w:rPr>
        <w:t>pUAST-attB</w:t>
      </w:r>
      <w:proofErr w:type="spellEnd"/>
      <w:r w:rsidRPr="002D4C37">
        <w:rPr>
          <w:b/>
        </w:rPr>
        <w:t xml:space="preserve"> plasmid </w:t>
      </w:r>
      <w:r>
        <w:rPr>
          <w:b/>
        </w:rPr>
        <w:t>containing the</w:t>
      </w:r>
      <w:r w:rsidRPr="002D4C37">
        <w:rPr>
          <w:b/>
        </w:rPr>
        <w:t xml:space="preserve"> </w:t>
      </w:r>
      <w:proofErr w:type="spellStart"/>
      <w:r>
        <w:rPr>
          <w:b/>
        </w:rPr>
        <w:t>hTau</w:t>
      </w:r>
      <w:proofErr w:type="spellEnd"/>
      <w:r>
        <w:rPr>
          <w:b/>
        </w:rPr>
        <w:t>-GFP sequence</w:t>
      </w:r>
      <w:r w:rsidRPr="002D4C37">
        <w:rPr>
          <w:b/>
        </w:rPr>
        <w:t>.</w:t>
      </w:r>
      <w:r>
        <w:rPr>
          <w:b/>
        </w:rPr>
        <w:t xml:space="preserve"> </w:t>
      </w:r>
      <w:r>
        <w:t xml:space="preserve">The hTauWT-GFP and hTauV337M-GFP were digested from the hTau4R plasmid using the </w:t>
      </w:r>
      <w:proofErr w:type="spellStart"/>
      <w:r>
        <w:t>BglII</w:t>
      </w:r>
      <w:proofErr w:type="spellEnd"/>
      <w:r>
        <w:t xml:space="preserve"> restriction enzyme (New England Biolabs) as per protocol. The restriction reaction was added 7µl of 6x Orange Dye (</w:t>
      </w:r>
      <w:proofErr w:type="spellStart"/>
      <w:r>
        <w:t>Thermo</w:t>
      </w:r>
      <w:proofErr w:type="spellEnd"/>
      <w:r>
        <w:t xml:space="preserve"> Scientific) and was run on a 1% agarose gel at 100V. The corrected bands were cut and the DNA was extracted using the </w:t>
      </w:r>
      <w:proofErr w:type="spellStart"/>
      <w:r>
        <w:t>QIAquick</w:t>
      </w:r>
      <w:proofErr w:type="spellEnd"/>
      <w:r>
        <w:t xml:space="preserve"> Gel </w:t>
      </w:r>
      <w:proofErr w:type="gramStart"/>
      <w:r>
        <w:t>extraction</w:t>
      </w:r>
      <w:proofErr w:type="gramEnd"/>
      <w:r>
        <w:t xml:space="preserve"> Kit (</w:t>
      </w:r>
      <w:proofErr w:type="spellStart"/>
      <w:r>
        <w:t>Qiagen</w:t>
      </w:r>
      <w:proofErr w:type="spellEnd"/>
      <w:r>
        <w:t>).</w:t>
      </w:r>
    </w:p>
    <w:p w:rsidR="008B750A" w:rsidRDefault="008B750A" w:rsidP="008B750A">
      <w:pPr>
        <w:sectPr w:rsidR="008B750A" w:rsidSect="008B750A">
          <w:type w:val="continuous"/>
          <w:pgSz w:w="11906" w:h="16838"/>
          <w:pgMar w:top="1440" w:right="1440" w:bottom="1440" w:left="1440" w:header="708" w:footer="708" w:gutter="0"/>
          <w:cols w:num="2" w:space="708"/>
          <w:docGrid w:linePitch="360"/>
        </w:sectPr>
      </w:pPr>
    </w:p>
    <w:p w:rsidR="008B750A" w:rsidRDefault="008B750A" w:rsidP="008B750A"/>
    <w:p w:rsidR="008B750A" w:rsidRDefault="008B750A" w:rsidP="008B750A"/>
    <w:p w:rsidR="008B750A" w:rsidRDefault="003B67B0" w:rsidP="008B750A">
      <w:r>
        <w:rPr>
          <w:noProof/>
          <w:lang w:eastAsia="en-GB"/>
        </w:rPr>
        <mc:AlternateContent>
          <mc:Choice Requires="wps">
            <w:drawing>
              <wp:anchor distT="0" distB="0" distL="114300" distR="114300" simplePos="0" relativeHeight="251683840" behindDoc="0" locked="0" layoutInCell="1" allowOverlap="1" wp14:anchorId="66F7BBD4" wp14:editId="48ED9D97">
                <wp:simplePos x="0" y="0"/>
                <wp:positionH relativeFrom="margin">
                  <wp:posOffset>90180</wp:posOffset>
                </wp:positionH>
                <wp:positionV relativeFrom="paragraph">
                  <wp:posOffset>7978722</wp:posOffset>
                </wp:positionV>
                <wp:extent cx="5695315" cy="411480"/>
                <wp:effectExtent l="0" t="0" r="635" b="7620"/>
                <wp:wrapTopAndBottom/>
                <wp:docPr id="10" name="Text Box 10"/>
                <wp:cNvGraphicFramePr/>
                <a:graphic xmlns:a="http://schemas.openxmlformats.org/drawingml/2006/main">
                  <a:graphicData uri="http://schemas.microsoft.com/office/word/2010/wordprocessingShape">
                    <wps:wsp>
                      <wps:cNvSpPr txBox="1"/>
                      <wps:spPr>
                        <a:xfrm>
                          <a:off x="0" y="0"/>
                          <a:ext cx="5695315" cy="411480"/>
                        </a:xfrm>
                        <a:prstGeom prst="rect">
                          <a:avLst/>
                        </a:prstGeom>
                        <a:solidFill>
                          <a:prstClr val="white"/>
                        </a:solidFill>
                        <a:ln>
                          <a:noFill/>
                        </a:ln>
                      </wps:spPr>
                      <wps:txbx>
                        <w:txbxContent>
                          <w:p w:rsidR="00584CA4" w:rsidRPr="003B67B0" w:rsidRDefault="00584CA4" w:rsidP="00DF6825">
                            <w:pPr>
                              <w:pStyle w:val="Caption"/>
                              <w:jc w:val="both"/>
                              <w:rPr>
                                <w:i w:val="0"/>
                                <w:noProof/>
                                <w:color w:val="auto"/>
                                <w:sz w:val="22"/>
                              </w:rPr>
                            </w:pPr>
                            <w:r w:rsidRPr="003B67B0">
                              <w:rPr>
                                <w:b/>
                                <w:i w:val="0"/>
                                <w:color w:val="auto"/>
                                <w:sz w:val="22"/>
                              </w:rPr>
                              <w:t xml:space="preserve">Figure 4| A) </w:t>
                            </w:r>
                            <w:r w:rsidRPr="003B67B0">
                              <w:rPr>
                                <w:i w:val="0"/>
                                <w:color w:val="auto"/>
                                <w:sz w:val="22"/>
                              </w:rPr>
                              <w:t>hTau4R plasmid used for generating and expressing hTauV337M mutation in chicken neurons.</w:t>
                            </w:r>
                            <w:r w:rsidRPr="003B67B0">
                              <w:rPr>
                                <w:b/>
                                <w:i w:val="0"/>
                                <w:color w:val="auto"/>
                                <w:sz w:val="22"/>
                              </w:rPr>
                              <w:t xml:space="preserve"> B</w:t>
                            </w:r>
                            <w:r w:rsidRPr="003B67B0">
                              <w:rPr>
                                <w:i w:val="0"/>
                                <w:color w:val="auto"/>
                                <w:sz w:val="22"/>
                              </w:rPr>
                              <w:t xml:space="preserve">) </w:t>
                            </w:r>
                            <w:proofErr w:type="spellStart"/>
                            <w:r w:rsidRPr="003B67B0">
                              <w:rPr>
                                <w:i w:val="0"/>
                                <w:color w:val="auto"/>
                                <w:sz w:val="22"/>
                              </w:rPr>
                              <w:t>pUAST-attB</w:t>
                            </w:r>
                            <w:proofErr w:type="spellEnd"/>
                            <w:r w:rsidRPr="003B67B0">
                              <w:rPr>
                                <w:i w:val="0"/>
                                <w:color w:val="auto"/>
                                <w:sz w:val="22"/>
                              </w:rPr>
                              <w:t xml:space="preserve"> plasmid structure before the addition of the hTauWT/V337M sequence.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7BBD4" id="_x0000_t202" coordsize="21600,21600" o:spt="202" path="m,l,21600r21600,l21600,xe">
                <v:stroke joinstyle="miter"/>
                <v:path gradientshapeok="t" o:connecttype="rect"/>
              </v:shapetype>
              <v:shape id="Text Box 10" o:spid="_x0000_s1029" type="#_x0000_t202" style="position:absolute;margin-left:7.1pt;margin-top:628.25pt;width:448.45pt;height:3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bJMwIAAGkEAAAOAAAAZHJzL2Uyb0RvYy54bWysVE1v2zAMvQ/YfxB0X5z0C21Qp8hadBgQ&#10;tAXSoWdFlmsBsqhJSuzs1+9JjtOt22nYRaZIitJ7j/T1Td8atlM+aLIln02mnCkrqdL2teTfnu8/&#10;XXIWorCVMGRVyfcq8JvFxw/XnZurE2rIVMozFLFh3rmSNzG6eVEE2ahWhAk5ZRGsybciYutfi8qL&#10;DtVbU5xMpxdFR75ynqQKAd67IcgXuX5dKxkf6zqoyEzJ8baYV5/XTVqLxbWYv3rhGi0PzxD/8IpW&#10;aItLj6XuRBRs6/UfpVotPQWq40RSW1Bda6kyBqCZTd+hWTfCqYwF5AR3pCn8v7LyYffkma6gHeix&#10;ooVGz6qP7DP1DC7w07kwR9raITH28CN39Ac4E+y+9m36AhBDHKX2R3ZTNQnn+cXV+ensnDOJ2Nls&#10;dnaZyxdvp50P8YuiliWj5B7qZVLFbhUiXoLUMSVdFsjo6l4bkzYpcGs82wko3TU6qvRGnPgty9iU&#10;aymdGsLJUySIA5RkxX7TZ0pOR5gbqvZA72non+DkvcZ9KxHik/BoGADGEMRHLLWhruR0sDhryP/4&#10;mz/lQ0dEOevQgCUP37fCK87MVwuFU7eOhh+NzWjYbXtLQDrDeDmZTRzw0Yxm7al9wWws0y0ICStx&#10;V8njaN7GYQwwW1ItlzkJPelEXNm1k6n0yOtz/yK8O6gSoecDja0p5u/EGXIHlpfbSLXOyiVeBxYP&#10;dKOfszyH2UsD8+s+Z739IRY/AQAA//8DAFBLAwQUAAYACAAAACEAD9yqIeEAAAAMAQAADwAAAGRy&#10;cy9kb3ducmV2LnhtbEyPwU7DMBBE70j8g7VIXBB17NKoDXEqaOFWDi1Vz25skoh4HcVOk/49ywlO&#10;q9kdzb7J15Nr2cX2ofGoQMwSYBZLbxqsFBw/3x+XwELUaHTr0Sq42gDr4vYm15nxI+7t5RArRiEY&#10;Mq2gjrHLOA9lbZ0OM99ZpNuX752OJPuKm16PFO5aLpMk5U43SB9q3dlNbcvvw+AUpNt+GPe4edge&#10;33b6o6vk6fV6Uur+bnp5BhbtFP/M8ItP6FAQ09kPaAJrST9JctKUi3QBjBwrIQSwM63mUsyBFzn/&#10;X6L4AQAA//8DAFBLAQItABQABgAIAAAAIQC2gziS/gAAAOEBAAATAAAAAAAAAAAAAAAAAAAAAABb&#10;Q29udGVudF9UeXBlc10ueG1sUEsBAi0AFAAGAAgAAAAhADj9If/WAAAAlAEAAAsAAAAAAAAAAAAA&#10;AAAALwEAAF9yZWxzLy5yZWxzUEsBAi0AFAAGAAgAAAAhAIKR5skzAgAAaQQAAA4AAAAAAAAAAAAA&#10;AAAALgIAAGRycy9lMm9Eb2MueG1sUEsBAi0AFAAGAAgAAAAhAA/cqiHhAAAADAEAAA8AAAAAAAAA&#10;AAAAAAAAjQQAAGRycy9kb3ducmV2LnhtbFBLBQYAAAAABAAEAPMAAACbBQAAAAA=&#10;" stroked="f">
                <v:textbox inset="0,0,0,0">
                  <w:txbxContent>
                    <w:p w:rsidR="00584CA4" w:rsidRPr="003B67B0" w:rsidRDefault="00584CA4" w:rsidP="00DF6825">
                      <w:pPr>
                        <w:pStyle w:val="Caption"/>
                        <w:jc w:val="both"/>
                        <w:rPr>
                          <w:i w:val="0"/>
                          <w:noProof/>
                          <w:color w:val="auto"/>
                          <w:sz w:val="22"/>
                        </w:rPr>
                      </w:pPr>
                      <w:r w:rsidRPr="003B67B0">
                        <w:rPr>
                          <w:b/>
                          <w:i w:val="0"/>
                          <w:color w:val="auto"/>
                          <w:sz w:val="22"/>
                        </w:rPr>
                        <w:t xml:space="preserve">Figure 4| A) </w:t>
                      </w:r>
                      <w:r w:rsidRPr="003B67B0">
                        <w:rPr>
                          <w:i w:val="0"/>
                          <w:color w:val="auto"/>
                          <w:sz w:val="22"/>
                        </w:rPr>
                        <w:t>hTau4R plasmid used for generating and expressing hTauV337M mutation in chicken neurons.</w:t>
                      </w:r>
                      <w:r w:rsidRPr="003B67B0">
                        <w:rPr>
                          <w:b/>
                          <w:i w:val="0"/>
                          <w:color w:val="auto"/>
                          <w:sz w:val="22"/>
                        </w:rPr>
                        <w:t xml:space="preserve"> B</w:t>
                      </w:r>
                      <w:r w:rsidRPr="003B67B0">
                        <w:rPr>
                          <w:i w:val="0"/>
                          <w:color w:val="auto"/>
                          <w:sz w:val="22"/>
                        </w:rPr>
                        <w:t xml:space="preserve">) </w:t>
                      </w:r>
                      <w:proofErr w:type="spellStart"/>
                      <w:r w:rsidRPr="003B67B0">
                        <w:rPr>
                          <w:i w:val="0"/>
                          <w:color w:val="auto"/>
                          <w:sz w:val="22"/>
                        </w:rPr>
                        <w:t>pUAST-attB</w:t>
                      </w:r>
                      <w:proofErr w:type="spellEnd"/>
                      <w:r w:rsidRPr="003B67B0">
                        <w:rPr>
                          <w:i w:val="0"/>
                          <w:color w:val="auto"/>
                          <w:sz w:val="22"/>
                        </w:rPr>
                        <w:t xml:space="preserve"> plasmid structure before the addition of the hTauWT/V337M sequence. </w:t>
                      </w:r>
                    </w:p>
                  </w:txbxContent>
                </v:textbox>
                <w10:wrap type="topAndBottom" anchorx="margin"/>
              </v:shape>
            </w:pict>
          </mc:Fallback>
        </mc:AlternateContent>
      </w:r>
      <w:r w:rsidR="00584CA4" w:rsidRPr="008B750A">
        <w:rPr>
          <w:noProof/>
          <w:lang w:eastAsia="en-GB"/>
        </w:rPr>
        <mc:AlternateContent>
          <mc:Choice Requires="wps">
            <w:drawing>
              <wp:anchor distT="0" distB="0" distL="114300" distR="114300" simplePos="0" relativeHeight="251681792" behindDoc="0" locked="0" layoutInCell="1" allowOverlap="1" wp14:anchorId="6D4FE083" wp14:editId="2C64EDCA">
                <wp:simplePos x="0" y="0"/>
                <wp:positionH relativeFrom="margin">
                  <wp:posOffset>-37652</wp:posOffset>
                </wp:positionH>
                <wp:positionV relativeFrom="paragraph">
                  <wp:posOffset>3942005</wp:posOffset>
                </wp:positionV>
                <wp:extent cx="432048" cy="338554"/>
                <wp:effectExtent l="0" t="0" r="0" b="0"/>
                <wp:wrapTopAndBottom/>
                <wp:docPr id="9" name="TextBox 19"/>
                <wp:cNvGraphicFramePr/>
                <a:graphic xmlns:a="http://schemas.openxmlformats.org/drawingml/2006/main">
                  <a:graphicData uri="http://schemas.microsoft.com/office/word/2010/wordprocessingShape">
                    <wps:wsp>
                      <wps:cNvSpPr txBox="1"/>
                      <wps:spPr>
                        <a:xfrm>
                          <a:off x="0" y="0"/>
                          <a:ext cx="432048" cy="338554"/>
                        </a:xfrm>
                        <a:prstGeom prst="rect">
                          <a:avLst/>
                        </a:prstGeom>
                        <a:noFill/>
                      </wps:spPr>
                      <wps:txbx>
                        <w:txbxContent>
                          <w:p w:rsidR="00584CA4" w:rsidRPr="008B750A" w:rsidRDefault="00584CA4" w:rsidP="00584CA4">
                            <w:pPr>
                              <w:pStyle w:val="NormalWeb"/>
                              <w:spacing w:before="0" w:beforeAutospacing="0" w:after="0" w:afterAutospacing="0"/>
                              <w:rPr>
                                <w:sz w:val="20"/>
                              </w:rPr>
                            </w:pPr>
                            <w:r>
                              <w:rPr>
                                <w:rFonts w:asciiTheme="minorHAnsi" w:hAnsi="Calibri" w:cstheme="minorBidi"/>
                                <w:b/>
                                <w:bCs/>
                                <w:color w:val="000000" w:themeColor="text1"/>
                                <w:kern w:val="24"/>
                                <w:szCs w:val="32"/>
                              </w:rPr>
                              <w:t>B</w:t>
                            </w:r>
                            <w:r w:rsidRPr="008B750A">
                              <w:rPr>
                                <w:rFonts w:asciiTheme="minorHAnsi" w:hAnsi="Calibri" w:cstheme="minorBidi"/>
                                <w:b/>
                                <w:bCs/>
                                <w:color w:val="000000" w:themeColor="text1"/>
                                <w:kern w:val="24"/>
                                <w:szCs w:val="32"/>
                              </w:rPr>
                              <w:t>)</w:t>
                            </w:r>
                          </w:p>
                        </w:txbxContent>
                      </wps:txbx>
                      <wps:bodyPr wrap="square" rtlCol="0">
                        <a:spAutoFit/>
                      </wps:bodyPr>
                    </wps:wsp>
                  </a:graphicData>
                </a:graphic>
              </wp:anchor>
            </w:drawing>
          </mc:Choice>
          <mc:Fallback>
            <w:pict>
              <v:shape w14:anchorId="6D4FE083" id="TextBox 19" o:spid="_x0000_s1030" type="#_x0000_t202" style="position:absolute;margin-left:-2.95pt;margin-top:310.4pt;width:34pt;height:26.6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26lwEAABQDAAAOAAAAZHJzL2Uyb0RvYy54bWysUstu2zAQvBfoPxC815IfKRLBctA2SC9F&#10;WyDJB9AUaREQuewubcl/3yXt2EV7C3rhY3Y5nJ3d9f3kB3EwSA5CK+ezWgoTNHQu7Fr58vz44VYK&#10;Sip0aoBgWnk0JO8379+tx9iYBfQwdAYFkwRqxtjKPqXYVBXp3nhFM4gmcNACepX4iruqQzUyux+q&#10;RV1/rEbALiJoQ8TowykoN4XfWqPTD2vJJDG0krWlsmJZt3mtNmvV7FDF3umzDPUGFV65wJ9eqB5U&#10;UmKP7h8q7zQCgU0zDb4Ca502pQauZl7/Vc1Tr6IptbA5FC820f+j1d8PP1G4rpV3UgTluUXPZkqf&#10;YRLzu+zOGKnhpKfIaWlinLv8ihODuejJos87lyM4zj4fL94ymdAMrpaLesXDoDm0XN7e3KwyS3V9&#10;HJHSVwNe5EMrkVtXHFWHb5ROqa8p+a8Aj24YMp4VnpTkU5q2U6mn8GdkC92RxY/c5FbSr71CIwWm&#10;4QuUmchkFD/tExOWf65vzuRsfVF6HpPc2z/vJes6zJvfAAAA//8DAFBLAwQUAAYACAAAACEA/6Mr&#10;+t0AAAAJAQAADwAAAGRycy9kb3ducmV2LnhtbEyPTU/DMAyG70j8h8hI3LakFStQmk4THxIHLoxy&#10;zxrTVDRO1WRr9+8xJzhZlh+9ft5qu/hBnHCKfSAN2VqBQGqD7anT0Hy8rO5AxGTImiEQajhjhG19&#10;eVGZ0oaZ3vG0T53gEIql0eBSGkspY+vQm7gOIxLfvsLkTeJ16qSdzMzhfpC5UoX0pif+4MyIjw7b&#10;7/3Ra0jJ7rJz8+zj6+fy9jQ71W5Mo/X11bJ7AJFwSX8w/OqzOtTsdAhHslEMGlabeyY1FLniCgwU&#10;eQbiwPP2JgNZV/J/g/oHAAD//wMAUEsBAi0AFAAGAAgAAAAhALaDOJL+AAAA4QEAABMAAAAAAAAA&#10;AAAAAAAAAAAAAFtDb250ZW50X1R5cGVzXS54bWxQSwECLQAUAAYACAAAACEAOP0h/9YAAACUAQAA&#10;CwAAAAAAAAAAAAAAAAAvAQAAX3JlbHMvLnJlbHNQSwECLQAUAAYACAAAACEAN4M9upcBAAAUAwAA&#10;DgAAAAAAAAAAAAAAAAAuAgAAZHJzL2Uyb0RvYy54bWxQSwECLQAUAAYACAAAACEA/6Mr+t0AAAAJ&#10;AQAADwAAAAAAAAAAAAAAAADxAwAAZHJzL2Rvd25yZXYueG1sUEsFBgAAAAAEAAQA8wAAAPsEAAAA&#10;AA==&#10;" filled="f" stroked="f">
                <v:textbox style="mso-fit-shape-to-text:t">
                  <w:txbxContent>
                    <w:p w:rsidR="00584CA4" w:rsidRPr="008B750A" w:rsidRDefault="00584CA4" w:rsidP="00584CA4">
                      <w:pPr>
                        <w:pStyle w:val="NormalWeb"/>
                        <w:spacing w:before="0" w:beforeAutospacing="0" w:after="0" w:afterAutospacing="0"/>
                        <w:rPr>
                          <w:sz w:val="20"/>
                        </w:rPr>
                      </w:pPr>
                      <w:r>
                        <w:rPr>
                          <w:rFonts w:asciiTheme="minorHAnsi" w:hAnsi="Calibri" w:cstheme="minorBidi"/>
                          <w:b/>
                          <w:bCs/>
                          <w:color w:val="000000" w:themeColor="text1"/>
                          <w:kern w:val="24"/>
                          <w:szCs w:val="32"/>
                        </w:rPr>
                        <w:t>B</w:t>
                      </w:r>
                      <w:r w:rsidRPr="008B750A">
                        <w:rPr>
                          <w:rFonts w:asciiTheme="minorHAnsi" w:hAnsi="Calibri" w:cstheme="minorBidi"/>
                          <w:b/>
                          <w:bCs/>
                          <w:color w:val="000000" w:themeColor="text1"/>
                          <w:kern w:val="24"/>
                          <w:szCs w:val="32"/>
                        </w:rPr>
                        <w:t>)</w:t>
                      </w:r>
                    </w:p>
                  </w:txbxContent>
                </v:textbox>
                <w10:wrap type="topAndBottom" anchorx="margin"/>
              </v:shape>
            </w:pict>
          </mc:Fallback>
        </mc:AlternateContent>
      </w:r>
      <w:r w:rsidR="00584CA4">
        <w:rPr>
          <w:noProof/>
          <w:lang w:eastAsia="en-GB"/>
        </w:rPr>
        <w:drawing>
          <wp:anchor distT="0" distB="0" distL="114300" distR="114300" simplePos="0" relativeHeight="251658239" behindDoc="0" locked="0" layoutInCell="1" allowOverlap="1">
            <wp:simplePos x="0" y="0"/>
            <wp:positionH relativeFrom="margin">
              <wp:posOffset>-38735</wp:posOffset>
            </wp:positionH>
            <wp:positionV relativeFrom="paragraph">
              <wp:posOffset>3943350</wp:posOffset>
            </wp:positionV>
            <wp:extent cx="5615940" cy="4004310"/>
            <wp:effectExtent l="0" t="0" r="3810" b="0"/>
            <wp:wrapTopAndBottom/>
            <wp:docPr id="11" name="Picture 11" descr="C:\Users\Veronica\AppData\Local\Microsoft\Windows\INetCacheContent.Word\pUAST-attB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onica\AppData\Local\Microsoft\Windows\INetCacheContent.Word\pUAST-attB Map.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71" t="16861" b="-1"/>
                    <a:stretch/>
                  </pic:blipFill>
                  <pic:spPr bwMode="auto">
                    <a:xfrm>
                      <a:off x="0" y="0"/>
                      <a:ext cx="5615940" cy="4004310"/>
                    </a:xfrm>
                    <a:prstGeom prst="rect">
                      <a:avLst/>
                    </a:prstGeom>
                    <a:noFill/>
                    <a:ln>
                      <a:noFill/>
                    </a:ln>
                    <a:extLst>
                      <a:ext uri="{53640926-AAD7-44D8-BBD7-CCE9431645EC}">
                        <a14:shadowObscured xmlns:a14="http://schemas.microsoft.com/office/drawing/2010/main"/>
                      </a:ext>
                    </a:extLst>
                  </pic:spPr>
                </pic:pic>
              </a:graphicData>
            </a:graphic>
          </wp:anchor>
        </w:drawing>
      </w:r>
      <w:r w:rsidR="00584CA4">
        <w:rPr>
          <w:noProof/>
          <w:lang w:eastAsia="en-GB"/>
        </w:rPr>
        <w:drawing>
          <wp:anchor distT="0" distB="0" distL="114300" distR="114300" simplePos="0" relativeHeight="251657214" behindDoc="0" locked="0" layoutInCell="1" allowOverlap="1">
            <wp:simplePos x="0" y="0"/>
            <wp:positionH relativeFrom="margin">
              <wp:align>left</wp:align>
            </wp:positionH>
            <wp:positionV relativeFrom="paragraph">
              <wp:posOffset>283845</wp:posOffset>
            </wp:positionV>
            <wp:extent cx="6351905" cy="36468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743" r="14774"/>
                    <a:stretch/>
                  </pic:blipFill>
                  <pic:spPr bwMode="auto">
                    <a:xfrm>
                      <a:off x="0" y="0"/>
                      <a:ext cx="6351905" cy="3646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750A" w:rsidRDefault="008B750A" w:rsidP="008B750A">
      <w:r w:rsidRPr="008B750A">
        <w:rPr>
          <w:noProof/>
          <w:lang w:eastAsia="en-GB"/>
        </w:rPr>
        <mc:AlternateContent>
          <mc:Choice Requires="wps">
            <w:drawing>
              <wp:anchor distT="0" distB="0" distL="114300" distR="114300" simplePos="0" relativeHeight="251674624" behindDoc="0" locked="0" layoutInCell="1" allowOverlap="1" wp14:anchorId="5D799272" wp14:editId="1BF41760">
                <wp:simplePos x="0" y="0"/>
                <wp:positionH relativeFrom="column">
                  <wp:posOffset>123713</wp:posOffset>
                </wp:positionH>
                <wp:positionV relativeFrom="paragraph">
                  <wp:posOffset>133126</wp:posOffset>
                </wp:positionV>
                <wp:extent cx="432048" cy="338554"/>
                <wp:effectExtent l="0" t="0" r="0" b="0"/>
                <wp:wrapNone/>
                <wp:docPr id="20" name="TextBox 19"/>
                <wp:cNvGraphicFramePr/>
                <a:graphic xmlns:a="http://schemas.openxmlformats.org/drawingml/2006/main">
                  <a:graphicData uri="http://schemas.microsoft.com/office/word/2010/wordprocessingShape">
                    <wps:wsp>
                      <wps:cNvSpPr txBox="1"/>
                      <wps:spPr>
                        <a:xfrm>
                          <a:off x="0" y="0"/>
                          <a:ext cx="432048" cy="338554"/>
                        </a:xfrm>
                        <a:prstGeom prst="rect">
                          <a:avLst/>
                        </a:prstGeom>
                        <a:noFill/>
                      </wps:spPr>
                      <wps:txbx>
                        <w:txbxContent>
                          <w:p w:rsidR="008B750A" w:rsidRPr="008B750A" w:rsidRDefault="008B750A" w:rsidP="008B750A">
                            <w:pPr>
                              <w:pStyle w:val="NormalWeb"/>
                              <w:spacing w:before="0" w:beforeAutospacing="0" w:after="0" w:afterAutospacing="0"/>
                              <w:rPr>
                                <w:sz w:val="20"/>
                              </w:rPr>
                            </w:pPr>
                            <w:r w:rsidRPr="008B750A">
                              <w:rPr>
                                <w:rFonts w:asciiTheme="minorHAnsi" w:hAnsi="Calibri" w:cstheme="minorBidi"/>
                                <w:b/>
                                <w:bCs/>
                                <w:color w:val="000000" w:themeColor="text1"/>
                                <w:kern w:val="24"/>
                                <w:szCs w:val="32"/>
                              </w:rPr>
                              <w:t>A)</w:t>
                            </w:r>
                          </w:p>
                        </w:txbxContent>
                      </wps:txbx>
                      <wps:bodyPr wrap="square" rtlCol="0">
                        <a:spAutoFit/>
                      </wps:bodyPr>
                    </wps:wsp>
                  </a:graphicData>
                </a:graphic>
              </wp:anchor>
            </w:drawing>
          </mc:Choice>
          <mc:Fallback>
            <w:pict>
              <v:shape w14:anchorId="5D799272" id="_x0000_s1031" type="#_x0000_t202" style="position:absolute;margin-left:9.75pt;margin-top:10.5pt;width:34pt;height:26.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70lwEAABUDAAAOAAAAZHJzL2Uyb0RvYy54bWysUsuOEzEQvCPxD5bvZCYvtIwyWQGr5YIA&#10;aZcPcDx2xtLYbbqdzOTvaTuPXcENcfGju12uqu7N/eQHcTRIDkIr57NaChM0dC7sW/nz+fHdnRSU&#10;VOjUAMG08mRI3m/fvtmMsTEL6GHoDAoGCdSMsZV9SrGpKtK98YpmEE3gpAX0KvEV91WHamR0P1SL&#10;un5fjYBdRNCGiKMP56TcFnxrjU7frSWTxNBK5pbKimXd5bXablSzRxV7py801D+w8MoF/vQG9aCS&#10;Egd0f0F5pxEIbJpp8BVY67QpGljNvP5DzVOvoila2ByKN5vo/8Hqb8cfKFzXygXbE5TnHj2bKX2C&#10;Scw/ZHvGSA1XPUWuSxPHuc3XOHEwq54s+ryzHsF5RjrdzGUwoTm4Wi7qFU+D5tRyebderzJK9fI4&#10;IqUvBrzIh1Yi965Yqo5fKZ1LryX5rwCPbhhyPDM8M8mnNO2mImh9ZbmD7sTkR+5yK+nXQaGRAtPw&#10;GcpQZDCKHw+JAcs/GeX85gLO3hemlznJzX19L1Uv07z9DQAA//8DAFBLAwQUAAYACAAAACEAlTj7&#10;1NsAAAAHAQAADwAAAGRycy9kb3ducmV2LnhtbEyPy07DMBBF90j8gzVI7KiTQmkb4lQVD4lFN5Sw&#10;n8bTJCIeR7HbpH/PsILl0b26cybfTK5TZxpC69lAOktAEVfetlwbKD/f7lagQkS22HkmAxcKsCmu&#10;r3LMrB/5g877WCsZ4ZChgSbGPtM6VA05DDPfE0t29IPDKDjU2g44yrjr9DxJHrXDluVCgz09N1R9&#10;70/OQIx2m17KVxfev6bdy9gk1QJLY25vpu0TqEhT/CvDr76oQyFOB39iG1QnvF5I08A8lZckXy2F&#10;DwaWD/egi1z/9y9+AAAA//8DAFBLAQItABQABgAIAAAAIQC2gziS/gAAAOEBAAATAAAAAAAAAAAA&#10;AAAAAAAAAABbQ29udGVudF9UeXBlc10ueG1sUEsBAi0AFAAGAAgAAAAhADj9If/WAAAAlAEAAAsA&#10;AAAAAAAAAAAAAAAALwEAAF9yZWxzLy5yZWxzUEsBAi0AFAAGAAgAAAAhAIiVDvSXAQAAFQMAAA4A&#10;AAAAAAAAAAAAAAAALgIAAGRycy9lMm9Eb2MueG1sUEsBAi0AFAAGAAgAAAAhAJU4+9TbAAAABwEA&#10;AA8AAAAAAAAAAAAAAAAA8QMAAGRycy9kb3ducmV2LnhtbFBLBQYAAAAABAAEAPMAAAD5BAAAAAA=&#10;" filled="f" stroked="f">
                <v:textbox style="mso-fit-shape-to-text:t">
                  <w:txbxContent>
                    <w:p w:rsidR="008B750A" w:rsidRPr="008B750A" w:rsidRDefault="008B750A" w:rsidP="008B750A">
                      <w:pPr>
                        <w:pStyle w:val="NormalWeb"/>
                        <w:spacing w:before="0" w:beforeAutospacing="0" w:after="0" w:afterAutospacing="0"/>
                        <w:rPr>
                          <w:sz w:val="20"/>
                        </w:rPr>
                      </w:pPr>
                      <w:r w:rsidRPr="008B750A">
                        <w:rPr>
                          <w:rFonts w:asciiTheme="minorHAnsi" w:hAnsi="Calibri" w:cstheme="minorBidi"/>
                          <w:b/>
                          <w:bCs/>
                          <w:color w:val="000000" w:themeColor="text1"/>
                          <w:kern w:val="24"/>
                          <w:szCs w:val="32"/>
                        </w:rPr>
                        <w:t>A)</w:t>
                      </w:r>
                    </w:p>
                  </w:txbxContent>
                </v:textbox>
              </v:shape>
            </w:pict>
          </mc:Fallback>
        </mc:AlternateContent>
      </w:r>
    </w:p>
    <w:p w:rsidR="00165E2C" w:rsidRDefault="00165E2C" w:rsidP="00165E2C">
      <w:pPr>
        <w:jc w:val="both"/>
        <w:sectPr w:rsidR="00165E2C" w:rsidSect="002040E9">
          <w:type w:val="continuous"/>
          <w:pgSz w:w="11906" w:h="16838"/>
          <w:pgMar w:top="1440" w:right="1440" w:bottom="1440" w:left="1440" w:header="708" w:footer="708" w:gutter="0"/>
          <w:cols w:space="708"/>
          <w:docGrid w:linePitch="360"/>
        </w:sectPr>
      </w:pPr>
    </w:p>
    <w:p w:rsidR="00584CA4" w:rsidRDefault="00584CA4" w:rsidP="00165E2C">
      <w:pPr>
        <w:jc w:val="both"/>
      </w:pPr>
      <w:r>
        <w:lastRenderedPageBreak/>
        <w:t xml:space="preserve">Before ligation, the </w:t>
      </w:r>
      <w:proofErr w:type="spellStart"/>
      <w:r>
        <w:t>pUAST-attB</w:t>
      </w:r>
      <w:proofErr w:type="spellEnd"/>
      <w:r>
        <w:t xml:space="preserve"> plasmid (Figure 4B) was dephosphorylated using Antarctic Phosphatase (New England Biolabs). The ligation of the hTauWT-GFP and hTauV337M-GFP to the </w:t>
      </w:r>
      <w:proofErr w:type="spellStart"/>
      <w:r>
        <w:t>pUAST-attB</w:t>
      </w:r>
      <w:proofErr w:type="spellEnd"/>
      <w:r>
        <w:t xml:space="preserve"> vector was performed with the T4 Ligase (New England Biolabs) as per protocol. DH5α bacterial cells were transformed using the </w:t>
      </w:r>
      <w:proofErr w:type="spellStart"/>
      <w:r>
        <w:t>pUAST-attB</w:t>
      </w:r>
      <w:proofErr w:type="spellEnd"/>
      <w:r>
        <w:t xml:space="preserve"> vector with the Tau protein. The resulting transformed cells were plated on Ampicillin plates using 400µl of cells and incubated overnight at 37˚C. When colonies were present, they were further cultured in 4ml Lb medium and incubated at 37˚C shaking incubator at 225rpm overnight. Following miniprep, digestion with the </w:t>
      </w:r>
      <w:proofErr w:type="spellStart"/>
      <w:r>
        <w:t>BamHI</w:t>
      </w:r>
      <w:proofErr w:type="spellEnd"/>
      <w:r>
        <w:t xml:space="preserve"> (</w:t>
      </w:r>
      <w:proofErr w:type="spellStart"/>
      <w:r>
        <w:t>Promega</w:t>
      </w:r>
      <w:proofErr w:type="spellEnd"/>
      <w:r>
        <w:t xml:space="preserve">) restriction enzyme and run on an agarose gel (as described above), the samples were verified if they contained the insert in a correct orientation. </w:t>
      </w:r>
    </w:p>
    <w:p w:rsidR="00584CA4" w:rsidRPr="0079280F" w:rsidRDefault="00584CA4" w:rsidP="00165E2C">
      <w:pPr>
        <w:jc w:val="both"/>
        <w:rPr>
          <w:b/>
        </w:rPr>
      </w:pPr>
      <w:r w:rsidRPr="0079280F">
        <w:rPr>
          <w:b/>
        </w:rPr>
        <w:t>Results</w:t>
      </w:r>
    </w:p>
    <w:p w:rsidR="00584CA4" w:rsidRDefault="00584CA4" w:rsidP="00165E2C">
      <w:pPr>
        <w:jc w:val="both"/>
        <w:rPr>
          <w:b/>
          <w:i/>
        </w:rPr>
      </w:pPr>
      <w:r w:rsidRPr="0079280F">
        <w:rPr>
          <w:b/>
          <w:i/>
        </w:rPr>
        <w:t xml:space="preserve">Tau V337M mutation </w:t>
      </w:r>
      <w:r>
        <w:rPr>
          <w:b/>
          <w:i/>
        </w:rPr>
        <w:t xml:space="preserve">induces a specific neuronal phenotype in </w:t>
      </w:r>
      <w:r w:rsidRPr="004B7690">
        <w:rPr>
          <w:b/>
          <w:i/>
        </w:rPr>
        <w:t>drosophila</w:t>
      </w:r>
      <w:r>
        <w:rPr>
          <w:b/>
          <w:i/>
        </w:rPr>
        <w:t>.</w:t>
      </w:r>
    </w:p>
    <w:p w:rsidR="00584CA4" w:rsidRDefault="00584CA4" w:rsidP="00165E2C">
      <w:pPr>
        <w:jc w:val="both"/>
      </w:pPr>
      <w:r>
        <w:rPr>
          <w:b/>
          <w:i/>
        </w:rPr>
        <w:t xml:space="preserve"> </w:t>
      </w:r>
      <w:r>
        <w:t xml:space="preserve">After performing the immunostaining on the 6 days </w:t>
      </w:r>
      <w:r w:rsidRPr="004B7690">
        <w:rPr>
          <w:i/>
        </w:rPr>
        <w:t>Drosophila</w:t>
      </w:r>
      <w:r>
        <w:t xml:space="preserve"> neuronal cultures, significant phenotypical changes were found between the controls and the V337M mutation neurons; throughout the experiment we have focused on individual neurons, as they allow a more precise quantification and analysis. </w:t>
      </w:r>
    </w:p>
    <w:p w:rsidR="00584CA4" w:rsidRDefault="00584CA4" w:rsidP="00165E2C">
      <w:pPr>
        <w:jc w:val="both"/>
      </w:pPr>
      <w:r>
        <w:t>We have firstly looked at the number of primary and secondary branches. The morphology of hTauV337M neurons is less branched and more “stiff” than the hTauWT genotype. Performing the statistical analysis (Figure 5A-B) demonstrated that there is a significant difference between the two phenotypes. Hence, the hTauV</w:t>
      </w:r>
      <w:r w:rsidR="00165E2C">
        <w:t>337</w:t>
      </w:r>
      <w:r>
        <w:t xml:space="preserve">M neurons tend to partially lose the ability of branching and their microtubule growth is </w:t>
      </w:r>
      <w:r w:rsidR="00165E2C">
        <w:t>present mainly</w:t>
      </w:r>
      <w:r>
        <w:t xml:space="preserve"> in the axons. </w:t>
      </w:r>
    </w:p>
    <w:p w:rsidR="00584CA4" w:rsidRDefault="00584CA4" w:rsidP="00165E2C">
      <w:pPr>
        <w:jc w:val="both"/>
      </w:pPr>
      <w:r>
        <w:t xml:space="preserve">This deficiency in growth was further accentuated by the growth cone morphology of the different genotypes. Usually, as we can </w:t>
      </w:r>
      <w:r>
        <w:t xml:space="preserve">see in the </w:t>
      </w:r>
      <w:r w:rsidR="00165E2C">
        <w:t>control</w:t>
      </w:r>
      <w:r>
        <w:t xml:space="preserve"> neurons (Figure 5C), growth cones </w:t>
      </w:r>
      <w:r w:rsidR="00165E2C">
        <w:t>morphology is</w:t>
      </w:r>
      <w:r>
        <w:t xml:space="preserve"> </w:t>
      </w:r>
      <w:r w:rsidR="00165E2C">
        <w:t>unbundled</w:t>
      </w:r>
      <w:r>
        <w:t xml:space="preserve">; sometimes presenting growing loops at the end of the growth cone. This phenotype allows an active growing and retracting of branches, </w:t>
      </w:r>
      <w:r w:rsidR="00165E2C">
        <w:t>permitting</w:t>
      </w:r>
      <w:r>
        <w:t xml:space="preserve"> a more dynamic microtubule growth. While in the hTauWT phenotype there are less loops and more growth cones seems to be bundled, in </w:t>
      </w:r>
      <w:proofErr w:type="spellStart"/>
      <w:r>
        <w:t>hTauVM</w:t>
      </w:r>
      <w:proofErr w:type="spellEnd"/>
      <w:r>
        <w:t xml:space="preserve"> phenotype there is a significantly higher rate of bundling and loss of loops. This is to be expected, as it indicates that the growth cone is less dynamic and </w:t>
      </w:r>
      <w:r w:rsidR="00165E2C">
        <w:t>may explain</w:t>
      </w:r>
      <w:r>
        <w:t xml:space="preserve"> why the number of branches is decreased. The statistical analysis performed on the number of loops and bundled/unbundled axon growth cones per neurones seen in the 3 genotypes are further illustrating </w:t>
      </w:r>
      <w:r w:rsidR="00165E2C">
        <w:t>our theory</w:t>
      </w:r>
      <w:r>
        <w:t xml:space="preserve"> </w:t>
      </w:r>
      <w:r w:rsidR="00165E2C">
        <w:t xml:space="preserve">model </w:t>
      </w:r>
      <w:r>
        <w:t xml:space="preserve">(Figure 6 A-C). </w:t>
      </w:r>
    </w:p>
    <w:p w:rsidR="00584CA4" w:rsidRDefault="00584CA4" w:rsidP="00165E2C">
      <w:pPr>
        <w:jc w:val="both"/>
      </w:pPr>
      <w:r>
        <w:t xml:space="preserve">Finally, we have performed analysis on the amount of disorganisation ratio per axon length. As expected, the </w:t>
      </w:r>
      <w:proofErr w:type="spellStart"/>
      <w:r>
        <w:t>hTauVM</w:t>
      </w:r>
      <w:proofErr w:type="spellEnd"/>
      <w:r>
        <w:t xml:space="preserve"> neurons showed significant less disorganisation; this results correlating with </w:t>
      </w:r>
      <w:r w:rsidR="00165E2C">
        <w:t xml:space="preserve">the </w:t>
      </w:r>
      <w:r>
        <w:t xml:space="preserve">model seen so far (Figure 6B). In all the </w:t>
      </w:r>
      <w:r w:rsidR="00165E2C">
        <w:t>features considered</w:t>
      </w:r>
      <w:r>
        <w:t xml:space="preserve"> there is a significant statistical difference between the control phenotype and the addition of hTauWT proteins, which leads to the conclusion that the addition of the human tau itself presents a certain degree of toxicity to the neurons. However, we also show a significant difference between the addition of human tau and mutated tau in all cases, indicating that the V337M mutation itself adds to this toxicity and increases neuronal damage. </w:t>
      </w:r>
    </w:p>
    <w:p w:rsidR="00165E2C" w:rsidRPr="004E4A49" w:rsidRDefault="00165E2C" w:rsidP="00165E2C">
      <w:pPr>
        <w:jc w:val="both"/>
      </w:pPr>
      <w:r>
        <w:t xml:space="preserve">Taken together this results present a very strong phenotype in the hTauV337M genotype that is easily reproducible.  As we have clearly shown that V337M mutation does affect microtubule growth, the question remains of where does this hTauV337M localize, the mechanisms behind the phenotype presented and if this model is valid in other animal models, especially vertebrates. </w:t>
      </w:r>
    </w:p>
    <w:p w:rsidR="00165E2C" w:rsidRDefault="00165E2C" w:rsidP="00165E2C">
      <w:pPr>
        <w:jc w:val="both"/>
      </w:pPr>
    </w:p>
    <w:p w:rsidR="00165E2C" w:rsidRDefault="00165E2C" w:rsidP="00584CA4">
      <w:pPr>
        <w:sectPr w:rsidR="00165E2C" w:rsidSect="00165E2C">
          <w:type w:val="continuous"/>
          <w:pgSz w:w="11906" w:h="16838"/>
          <w:pgMar w:top="1440" w:right="1440" w:bottom="1440" w:left="1440" w:header="708" w:footer="708" w:gutter="0"/>
          <w:cols w:num="2" w:space="708"/>
          <w:docGrid w:linePitch="360"/>
        </w:sectPr>
      </w:pPr>
    </w:p>
    <w:p w:rsidR="00584CA4" w:rsidRPr="009D172B" w:rsidRDefault="00584CA4" w:rsidP="00584CA4"/>
    <w:p w:rsidR="008B750A" w:rsidRDefault="00165E2C" w:rsidP="008B750A">
      <w:r>
        <w:rPr>
          <w:b/>
          <w:i/>
          <w:noProof/>
          <w:lang w:eastAsia="en-GB"/>
        </w:rPr>
        <w:lastRenderedPageBreak/>
        <w:drawing>
          <wp:anchor distT="0" distB="0" distL="114300" distR="114300" simplePos="0" relativeHeight="251685888" behindDoc="0" locked="0" layoutInCell="1" allowOverlap="1" wp14:anchorId="7AD7165B" wp14:editId="288195F3">
            <wp:simplePos x="0" y="0"/>
            <wp:positionH relativeFrom="page">
              <wp:posOffset>355002</wp:posOffset>
            </wp:positionH>
            <wp:positionV relativeFrom="paragraph">
              <wp:posOffset>12999</wp:posOffset>
            </wp:positionV>
            <wp:extent cx="6755130" cy="8847455"/>
            <wp:effectExtent l="0" t="0" r="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5130" cy="8847455"/>
                    </a:xfrm>
                    <a:prstGeom prst="rect">
                      <a:avLst/>
                    </a:prstGeom>
                    <a:noFill/>
                  </pic:spPr>
                </pic:pic>
              </a:graphicData>
            </a:graphic>
            <wp14:sizeRelH relativeFrom="margin">
              <wp14:pctWidth>0</wp14:pctWidth>
            </wp14:sizeRelH>
            <wp14:sizeRelV relativeFrom="margin">
              <wp14:pctHeight>0</wp14:pctHeight>
            </wp14:sizeRelV>
          </wp:anchor>
        </w:drawing>
      </w:r>
    </w:p>
    <w:p w:rsidR="008B750A" w:rsidRDefault="00165E2C" w:rsidP="008B750A">
      <w:r w:rsidRPr="00C95A86">
        <w:rPr>
          <w:b/>
          <w:i/>
          <w:noProof/>
          <w:lang w:eastAsia="en-GB"/>
        </w:rPr>
        <w:lastRenderedPageBreak/>
        <mc:AlternateContent>
          <mc:Choice Requires="wps">
            <w:drawing>
              <wp:anchor distT="45720" distB="45720" distL="114300" distR="114300" simplePos="0" relativeHeight="251687936" behindDoc="0" locked="0" layoutInCell="1" allowOverlap="1" wp14:anchorId="5453CF1D" wp14:editId="2E3D6A8C">
                <wp:simplePos x="0" y="0"/>
                <wp:positionH relativeFrom="margin">
                  <wp:align>center</wp:align>
                </wp:positionH>
                <wp:positionV relativeFrom="paragraph">
                  <wp:posOffset>0</wp:posOffset>
                </wp:positionV>
                <wp:extent cx="6513195" cy="1541145"/>
                <wp:effectExtent l="0" t="0" r="1905" b="190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1541145"/>
                        </a:xfrm>
                        <a:prstGeom prst="rect">
                          <a:avLst/>
                        </a:prstGeom>
                        <a:solidFill>
                          <a:srgbClr val="FFFFFF"/>
                        </a:solidFill>
                        <a:ln w="9525">
                          <a:noFill/>
                          <a:miter lim="800000"/>
                          <a:headEnd/>
                          <a:tailEnd/>
                        </a:ln>
                      </wps:spPr>
                      <wps:txbx>
                        <w:txbxContent>
                          <w:p w:rsidR="00165E2C" w:rsidRPr="00C95A86" w:rsidRDefault="00165E2C" w:rsidP="00165E2C">
                            <w:pPr>
                              <w:jc w:val="both"/>
                            </w:pPr>
                            <w:r w:rsidRPr="00C95A86">
                              <w:rPr>
                                <w:b/>
                                <w:bCs/>
                              </w:rPr>
                              <w:t>Figure 5| Phenotypical d</w:t>
                            </w:r>
                            <w:r>
                              <w:rPr>
                                <w:b/>
                                <w:bCs/>
                              </w:rPr>
                              <w:t>ifferences between control and V337M neuron</w:t>
                            </w:r>
                            <w:r w:rsidRPr="00C95A86">
                              <w:rPr>
                                <w:b/>
                                <w:bCs/>
                              </w:rPr>
                              <w:t xml:space="preserve">s. A) </w:t>
                            </w:r>
                            <w:r w:rsidRPr="00C95A86">
                              <w:t>Control neurons present a higher number of primary and secondary branches, with most axons’ growth cone retaining a</w:t>
                            </w:r>
                            <w:r>
                              <w:t>n</w:t>
                            </w:r>
                            <w:r w:rsidRPr="00C95A86">
                              <w:t xml:space="preserve"> unbundled phenotype (white arrows). Along the axon and branches we can also see microtubules disorganisations (red arrows) and loops formations (blue arrow). If we compare hTauWT and hTauV337M, there V337M mutation induces a bundled phenotype at the growth cone (white arrows) and presents no primary and secondary branches. </w:t>
                            </w:r>
                            <w:r w:rsidRPr="00C95A86">
                              <w:rPr>
                                <w:b/>
                                <w:bCs/>
                              </w:rPr>
                              <w:t>B)</w:t>
                            </w:r>
                            <w:r w:rsidRPr="00C95A86">
                              <w:t xml:space="preserve"> Statistical analysis of primary and secondary branches (Mann Whitney Test)</w:t>
                            </w:r>
                            <w:r>
                              <w:t xml:space="preserve"> </w:t>
                            </w:r>
                            <w:r w:rsidRPr="00C95A86">
                              <w:t xml:space="preserve">demonstrate that there is significant loss of branching ability between the control (hTauWT) and the mutated neurons. </w:t>
                            </w:r>
                            <w:r>
                              <w:t xml:space="preserve">The results shown are based on 2 independent repeat </w:t>
                            </w:r>
                            <w:proofErr w:type="gramStart"/>
                            <w:r>
                              <w:t>cultures.</w:t>
                            </w:r>
                            <w:r w:rsidRPr="00C95A86">
                              <w:t>*</w:t>
                            </w:r>
                            <w:proofErr w:type="gramEnd"/>
                            <w:r w:rsidRPr="00C95A86">
                              <w:t>* p&lt;0.001; *** p&lt;0.0001; SEM</w:t>
                            </w:r>
                            <w:r>
                              <w:t xml:space="preserve">; </w:t>
                            </w:r>
                            <w:r w:rsidRPr="00252965">
                              <w:t>n-number of neurons analysed</w:t>
                            </w:r>
                          </w:p>
                          <w:p w:rsidR="00165E2C" w:rsidRDefault="00165E2C" w:rsidP="00165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3CF1D" id="_x0000_s1032" type="#_x0000_t202" style="position:absolute;margin-left:0;margin-top:0;width:512.85pt;height:121.3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kPJgIAACUEAAAOAAAAZHJzL2Uyb0RvYy54bWysU9uO2yAQfa/Uf0C8N7bTON1YcVbbbFNV&#10;2l6k3X4AxjhGBYYCib39+h1wNpu2b1V5QAwzczhzZlhfj1qRo3BegqlpMcspEYZDK82+pt8fdm+u&#10;KPGBmZYpMKKmj8LT683rV+vBVmIOPahWOIIgxleDrWkfgq2yzPNeaOZnYIVBZwdOs4Cm22etYwOi&#10;a5XN83yZDeBa64AL7/H2dnLSTcLvOsHD167zIhBVU+QW0u7S3sQ926xZtXfM9pKfaLB/YKGZNPjo&#10;GeqWBUYOTv4FpSV34KELMw46g66TXKQasJoi/6Oa+55ZkWpBcbw9y+T/Hyz/cvzmiGxrOs+XlBim&#10;sUkPYgzkPYxkHvUZrK8w7N5iYBjxGvucavX2DvgPTwxse2b24sY5GHrBWuRXxMzsInXC8RGkGT5D&#10;i8+wQ4AENHZOR/FQDoLo2KfHc28iFY6Xy7J4W6xKSjj6inJRFIsyvcGq53TrfPgoQJN4qKnD5id4&#10;drzzIdJh1XNIfM2Dku1OKpUMt2+2ypEjw0HZpXVC/y1MGTLUdFXOy4RsIOanGdIy4CArqWt6lccV&#10;01kV5fhg2nQOTKrpjEyUOekTJZnECWMzplYsY27UroH2EQVzMM0t/jM89OB+UTLgzNbU/zwwJyhR&#10;nwyKvioWizjkyViU7+ZouEtPc+lhhiNUTQMl03Eb0seItA3cYHM6mWR7YXKijLOY1Dz9mzjsl3aK&#10;evndmycAAAD//wMAUEsDBBQABgAIAAAAIQAGn4Sf2wAAAAYBAAAPAAAAZHJzL2Rvd25yZXYueG1s&#10;TI/BTsMwEETvSPyDtUhcEHWI2gZCnAqQQFxb+gGbeJtExOso3jbp3+NygctKoxnNvC02s+vVicbQ&#10;eTbwsEhAEdfedtwY2H+93z+CCoJssfdMBs4UYFNeXxWYWz/xlk47aVQs4ZCjgVZkyLUOdUsOw8IP&#10;xNE7+NGhRDk22o44xXLX6zRJ1tphx3GhxYHeWqq/d0dn4PA53a2epupD9tl2uX7FLqv82Zjbm/nl&#10;GZTQLH9huOBHdCgjU+WPbIPqDcRH5PdevCRdZaAqA+kyzUCXhf6PX/4AAAD//wMAUEsBAi0AFAAG&#10;AAgAAAAhALaDOJL+AAAA4QEAABMAAAAAAAAAAAAAAAAAAAAAAFtDb250ZW50X1R5cGVzXS54bWxQ&#10;SwECLQAUAAYACAAAACEAOP0h/9YAAACUAQAACwAAAAAAAAAAAAAAAAAvAQAAX3JlbHMvLnJlbHNQ&#10;SwECLQAUAAYACAAAACEA8uSZDyYCAAAlBAAADgAAAAAAAAAAAAAAAAAuAgAAZHJzL2Uyb0RvYy54&#10;bWxQSwECLQAUAAYACAAAACEABp+En9sAAAAGAQAADwAAAAAAAAAAAAAAAACABAAAZHJzL2Rvd25y&#10;ZXYueG1sUEsFBgAAAAAEAAQA8wAAAIgFAAAAAA==&#10;" stroked="f">
                <v:textbox>
                  <w:txbxContent>
                    <w:p w:rsidR="00165E2C" w:rsidRPr="00C95A86" w:rsidRDefault="00165E2C" w:rsidP="00165E2C">
                      <w:pPr>
                        <w:jc w:val="both"/>
                      </w:pPr>
                      <w:r w:rsidRPr="00C95A86">
                        <w:rPr>
                          <w:b/>
                          <w:bCs/>
                        </w:rPr>
                        <w:t>Figure 5| Phenotypical d</w:t>
                      </w:r>
                      <w:r>
                        <w:rPr>
                          <w:b/>
                          <w:bCs/>
                        </w:rPr>
                        <w:t>ifferences between control and V337M neuron</w:t>
                      </w:r>
                      <w:r w:rsidRPr="00C95A86">
                        <w:rPr>
                          <w:b/>
                          <w:bCs/>
                        </w:rPr>
                        <w:t xml:space="preserve">s. A) </w:t>
                      </w:r>
                      <w:r w:rsidRPr="00C95A86">
                        <w:t>Control neurons present a higher number of primary and secondary branches, with most axons’ growth cone retaining a</w:t>
                      </w:r>
                      <w:r>
                        <w:t>n</w:t>
                      </w:r>
                      <w:r w:rsidRPr="00C95A86">
                        <w:t xml:space="preserve"> unbundled phenotype (white arrows). Along the axon and branches we can also see microtubules disorganisations (red arrows) and loops formations (blue arrow). If we compare hTauWT and hTauV337M, there V337M mutation induces a bundled phenotype at the growth cone (white arrows) and presents no primary and secondary branches. </w:t>
                      </w:r>
                      <w:r w:rsidRPr="00C95A86">
                        <w:rPr>
                          <w:b/>
                          <w:bCs/>
                        </w:rPr>
                        <w:t>B)</w:t>
                      </w:r>
                      <w:r w:rsidRPr="00C95A86">
                        <w:t xml:space="preserve"> Statistical analysis of primary and secondary branches (Mann Whitney Test)</w:t>
                      </w:r>
                      <w:r>
                        <w:t xml:space="preserve"> </w:t>
                      </w:r>
                      <w:r w:rsidRPr="00C95A86">
                        <w:t xml:space="preserve">demonstrate that there is significant loss of branching ability between the control (hTauWT) and the mutated neurons. </w:t>
                      </w:r>
                      <w:r>
                        <w:t>The results shown are based on 2 independent repeat cultures.</w:t>
                      </w:r>
                      <w:r w:rsidRPr="00C95A86">
                        <w:t>** p&lt;0.001; *** p&lt;0.0001; SEM</w:t>
                      </w:r>
                      <w:r>
                        <w:t xml:space="preserve">; </w:t>
                      </w:r>
                      <w:r w:rsidRPr="00252965">
                        <w:t>n-number of neurons analysed</w:t>
                      </w:r>
                    </w:p>
                    <w:p w:rsidR="00165E2C" w:rsidRDefault="00165E2C" w:rsidP="00165E2C"/>
                  </w:txbxContent>
                </v:textbox>
                <w10:wrap type="square" anchorx="margin"/>
              </v:shape>
            </w:pict>
          </mc:Fallback>
        </mc:AlternateContent>
      </w:r>
    </w:p>
    <w:p w:rsidR="00CF542D" w:rsidRDefault="00CF542D" w:rsidP="00CF542D">
      <w:pPr>
        <w:jc w:val="both"/>
        <w:sectPr w:rsidR="00CF542D" w:rsidSect="002040E9">
          <w:type w:val="continuous"/>
          <w:pgSz w:w="11906" w:h="16838"/>
          <w:pgMar w:top="1440" w:right="1440" w:bottom="1440" w:left="1440" w:header="708" w:footer="708" w:gutter="0"/>
          <w:cols w:space="708"/>
          <w:docGrid w:linePitch="360"/>
        </w:sectPr>
      </w:pPr>
    </w:p>
    <w:p w:rsidR="008B750A" w:rsidRDefault="008B750A" w:rsidP="00CF542D">
      <w:pPr>
        <w:jc w:val="both"/>
      </w:pPr>
    </w:p>
    <w:p w:rsidR="00165E2C" w:rsidRDefault="00165E2C" w:rsidP="00CF542D">
      <w:pPr>
        <w:jc w:val="both"/>
        <w:rPr>
          <w:b/>
          <w:i/>
        </w:rPr>
      </w:pPr>
      <w:r>
        <w:rPr>
          <w:b/>
          <w:i/>
        </w:rPr>
        <w:t>hTauV337M chicken neurons present a similar phenotype.</w:t>
      </w:r>
    </w:p>
    <w:p w:rsidR="00165E2C" w:rsidRDefault="00165E2C" w:rsidP="00CF542D">
      <w:pPr>
        <w:jc w:val="both"/>
      </w:pPr>
      <w:r>
        <w:t xml:space="preserve">To further asses the reproductivity of the phenotypes seen in </w:t>
      </w:r>
      <w:r w:rsidRPr="004B7690">
        <w:rPr>
          <w:i/>
        </w:rPr>
        <w:t>drosophila</w:t>
      </w:r>
      <w:r>
        <w:t xml:space="preserve"> flies, we have performed similar experiments with chicken neurons. After the successful generation of the hTauV337M-GFP plasmid (Figure 4</w:t>
      </w:r>
      <w:r w:rsidR="00CF542D">
        <w:t>A</w:t>
      </w:r>
      <w:r>
        <w:t>), the plasmid was transfected into bacteria. Positive bacterial clones were sequenced and the presence of the GTG to ATG was verified (</w:t>
      </w:r>
      <w:r w:rsidR="00CF542D">
        <w:t xml:space="preserve">Figure </w:t>
      </w:r>
      <w:r>
        <w:t>7A). The successful mutated plasmids were used for the transfection of the chicken neurons. After</w:t>
      </w:r>
      <w:r w:rsidR="00CF542D">
        <w:t xml:space="preserve"> 7 days’ post transfection, the</w:t>
      </w:r>
      <w:r>
        <w:t xml:space="preserve"> phenotypic differences between the controls and the V337M neurons</w:t>
      </w:r>
      <w:r w:rsidR="00CF542D">
        <w:t xml:space="preserve"> are weak</w:t>
      </w:r>
      <w:r>
        <w:t xml:space="preserve"> (7B). Although the V337M neurons presented longer axons and less branches, these characteristics were less significant than the ones present in </w:t>
      </w:r>
      <w:r w:rsidRPr="004B7690">
        <w:rPr>
          <w:i/>
        </w:rPr>
        <w:t>drosophila</w:t>
      </w:r>
      <w:r>
        <w:t xml:space="preserve"> neurons. </w:t>
      </w:r>
    </w:p>
    <w:p w:rsidR="00165E2C" w:rsidRPr="00DE51D8" w:rsidRDefault="00165E2C" w:rsidP="00CF542D">
      <w:pPr>
        <w:jc w:val="both"/>
      </w:pPr>
      <w:r>
        <w:t xml:space="preserve">Analysation of GFP pattern denotes that both hTauWT and hTauV337M are indeed present throughout the cell body, axon and dendrites. As </w:t>
      </w:r>
      <w:proofErr w:type="gramStart"/>
      <w:r>
        <w:t>all of these</w:t>
      </w:r>
      <w:proofErr w:type="gramEnd"/>
      <w:r>
        <w:t xml:space="preserve"> places have microtubule </w:t>
      </w:r>
      <w:r w:rsidR="00CF542D">
        <w:t xml:space="preserve">formation </w:t>
      </w:r>
      <w:r>
        <w:t xml:space="preserve">activity, we can safely assume that the induced human tau protein does go along </w:t>
      </w:r>
      <w:r>
        <w:t xml:space="preserve">the axon and is actively participating in regulating microtubules formation. </w:t>
      </w:r>
    </w:p>
    <w:p w:rsidR="00165E2C" w:rsidRDefault="00165E2C" w:rsidP="00CF542D">
      <w:pPr>
        <w:jc w:val="both"/>
        <w:rPr>
          <w:b/>
          <w:i/>
        </w:rPr>
      </w:pPr>
      <w:r>
        <w:rPr>
          <w:b/>
          <w:i/>
        </w:rPr>
        <w:t xml:space="preserve">Generating the </w:t>
      </w:r>
      <w:proofErr w:type="spellStart"/>
      <w:r>
        <w:rPr>
          <w:b/>
          <w:i/>
        </w:rPr>
        <w:t>pUAST-attB</w:t>
      </w:r>
      <w:proofErr w:type="spellEnd"/>
      <w:r>
        <w:rPr>
          <w:b/>
          <w:i/>
        </w:rPr>
        <w:t xml:space="preserve"> plasmid with </w:t>
      </w:r>
      <w:proofErr w:type="spellStart"/>
      <w:r>
        <w:rPr>
          <w:b/>
          <w:i/>
        </w:rPr>
        <w:t>hTau</w:t>
      </w:r>
      <w:r w:rsidR="00CF542D">
        <w:rPr>
          <w:b/>
          <w:i/>
        </w:rPr>
        <w:t>WT</w:t>
      </w:r>
      <w:proofErr w:type="spellEnd"/>
      <w:r w:rsidR="00CF542D">
        <w:rPr>
          <w:b/>
          <w:i/>
        </w:rPr>
        <w:t>/V337M</w:t>
      </w:r>
      <w:r>
        <w:rPr>
          <w:b/>
          <w:i/>
        </w:rPr>
        <w:t xml:space="preserve"> sequences.</w:t>
      </w:r>
    </w:p>
    <w:p w:rsidR="008B750A" w:rsidRDefault="00165E2C" w:rsidP="00CF542D">
      <w:pPr>
        <w:jc w:val="both"/>
      </w:pPr>
      <w:r>
        <w:rPr>
          <w:noProof/>
          <w:lang w:eastAsia="en-GB"/>
        </w:rPr>
        <w:t>To ensure that the localization of the human tau proteins is the same in chicken neurons as in</w:t>
      </w:r>
      <w:r w:rsidR="00CF542D">
        <w:rPr>
          <w:noProof/>
          <w:lang w:eastAsia="en-GB"/>
        </w:rPr>
        <w:t xml:space="preserve"> the</w:t>
      </w:r>
      <w:r>
        <w:rPr>
          <w:noProof/>
          <w:lang w:eastAsia="en-GB"/>
        </w:rPr>
        <w:t xml:space="preserve"> </w:t>
      </w:r>
      <w:r w:rsidRPr="004B7690">
        <w:rPr>
          <w:i/>
          <w:noProof/>
          <w:lang w:eastAsia="en-GB"/>
        </w:rPr>
        <w:t>drosophila</w:t>
      </w:r>
      <w:r w:rsidR="00CF542D">
        <w:rPr>
          <w:i/>
          <w:noProof/>
          <w:lang w:eastAsia="en-GB"/>
        </w:rPr>
        <w:t xml:space="preserve"> </w:t>
      </w:r>
      <w:r w:rsidR="00CF542D">
        <w:rPr>
          <w:noProof/>
          <w:lang w:eastAsia="en-GB"/>
        </w:rPr>
        <w:t>ones</w:t>
      </w:r>
      <w:r>
        <w:rPr>
          <w:noProof/>
          <w:lang w:eastAsia="en-GB"/>
        </w:rPr>
        <w:t xml:space="preserve">, we planed on testing </w:t>
      </w:r>
      <w:r w:rsidR="00CF542D">
        <w:rPr>
          <w:noProof/>
          <w:lang w:eastAsia="en-GB"/>
        </w:rPr>
        <w:t>the hTauV337M-GFP</w:t>
      </w:r>
      <w:r>
        <w:rPr>
          <w:noProof/>
          <w:lang w:eastAsia="en-GB"/>
        </w:rPr>
        <w:t xml:space="preserve"> on </w:t>
      </w:r>
      <w:r w:rsidRPr="004B7690">
        <w:rPr>
          <w:i/>
          <w:noProof/>
          <w:lang w:eastAsia="en-GB"/>
        </w:rPr>
        <w:t>drosophila</w:t>
      </w:r>
      <w:r>
        <w:rPr>
          <w:noProof/>
          <w:lang w:eastAsia="en-GB"/>
        </w:rPr>
        <w:t xml:space="preserve"> neural cultures. In order to achive this, we required to digest the hTauWt-GFP and hTauV337M-GFP gene sequences from the hTau4R plasmid and ligate them into the pUAST-attB plasmid, which contai</w:t>
      </w:r>
      <w:r w:rsidR="00CF542D">
        <w:rPr>
          <w:noProof/>
          <w:lang w:eastAsia="en-GB"/>
        </w:rPr>
        <w:t>ns the promoter specific for</w:t>
      </w:r>
      <w:r>
        <w:rPr>
          <w:noProof/>
          <w:lang w:eastAsia="en-GB"/>
        </w:rPr>
        <w:t xml:space="preserve"> </w:t>
      </w:r>
      <w:r w:rsidRPr="004B7690">
        <w:rPr>
          <w:i/>
          <w:noProof/>
          <w:lang w:eastAsia="en-GB"/>
        </w:rPr>
        <w:t>drosophila</w:t>
      </w:r>
      <w:r w:rsidR="00CF542D">
        <w:rPr>
          <w:i/>
          <w:noProof/>
          <w:lang w:eastAsia="en-GB"/>
        </w:rPr>
        <w:t xml:space="preserve"> </w:t>
      </w:r>
      <w:r w:rsidR="00CF542D" w:rsidRPr="00CF542D">
        <w:rPr>
          <w:noProof/>
          <w:lang w:eastAsia="en-GB"/>
        </w:rPr>
        <w:t>model</w:t>
      </w:r>
      <w:r>
        <w:rPr>
          <w:noProof/>
          <w:lang w:eastAsia="en-GB"/>
        </w:rPr>
        <w:t>. The rate of succesful bacterial transformations with the vectors was very low. To verify if the positive colonies have the insert in the corect orientation, we have cut the DNA with the BamHI restriction enzyme and calculated based on the sequence where it cuts what bands we would expect. For the insert to be in the right orientation, we would expect to see 4 bands- two around 1.5kb, one at 2kb and one at 8kb. As we can see in Figure 8, only one colony had the insert and it was in the reverse orientation. Further experiments are still necesarry for the corect insertion of the vector into the pUAST-attB plasmid.</w:t>
      </w:r>
    </w:p>
    <w:p w:rsidR="00CF542D" w:rsidRDefault="00CF542D" w:rsidP="002040E9">
      <w:pPr>
        <w:tabs>
          <w:tab w:val="left" w:pos="2922"/>
        </w:tabs>
        <w:sectPr w:rsidR="00CF542D" w:rsidSect="00CF542D">
          <w:type w:val="continuous"/>
          <w:pgSz w:w="11906" w:h="16838"/>
          <w:pgMar w:top="1440" w:right="1440" w:bottom="1440" w:left="1440" w:header="708" w:footer="708" w:gutter="0"/>
          <w:cols w:num="2" w:space="708"/>
          <w:docGrid w:linePitch="360"/>
        </w:sectPr>
      </w:pPr>
    </w:p>
    <w:p w:rsidR="00CF542D" w:rsidRDefault="00CF542D">
      <w:r>
        <w:br w:type="page"/>
      </w:r>
    </w:p>
    <w:p w:rsidR="00CF542D" w:rsidRDefault="00CF542D" w:rsidP="00CF542D">
      <w:pPr>
        <w:tabs>
          <w:tab w:val="left" w:pos="2922"/>
        </w:tabs>
        <w:jc w:val="both"/>
        <w:sectPr w:rsidR="00CF542D" w:rsidSect="002040E9">
          <w:type w:val="continuous"/>
          <w:pgSz w:w="11906" w:h="16838"/>
          <w:pgMar w:top="1440" w:right="1440" w:bottom="1440" w:left="1440" w:header="708" w:footer="708" w:gutter="0"/>
          <w:cols w:space="708"/>
          <w:docGrid w:linePitch="360"/>
        </w:sectPr>
      </w:pPr>
      <w:r w:rsidRPr="00252965">
        <w:rPr>
          <w:b/>
          <w:i/>
          <w:noProof/>
          <w:lang w:eastAsia="en-GB"/>
        </w:rPr>
        <w:lastRenderedPageBreak/>
        <mc:AlternateContent>
          <mc:Choice Requires="wps">
            <w:drawing>
              <wp:anchor distT="45720" distB="45720" distL="114300" distR="114300" simplePos="0" relativeHeight="251692032" behindDoc="0" locked="0" layoutInCell="1" allowOverlap="1" wp14:anchorId="49271BCB" wp14:editId="7C6208D1">
                <wp:simplePos x="0" y="0"/>
                <wp:positionH relativeFrom="margin">
                  <wp:align>right</wp:align>
                </wp:positionH>
                <wp:positionV relativeFrom="paragraph">
                  <wp:posOffset>5491480</wp:posOffset>
                </wp:positionV>
                <wp:extent cx="5706745" cy="1033145"/>
                <wp:effectExtent l="0" t="0" r="825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1033145"/>
                        </a:xfrm>
                        <a:prstGeom prst="rect">
                          <a:avLst/>
                        </a:prstGeom>
                        <a:solidFill>
                          <a:srgbClr val="FFFFFF"/>
                        </a:solidFill>
                        <a:ln w="9525">
                          <a:noFill/>
                          <a:miter lim="800000"/>
                          <a:headEnd/>
                          <a:tailEnd/>
                        </a:ln>
                      </wps:spPr>
                      <wps:txbx>
                        <w:txbxContent>
                          <w:p w:rsidR="00CF542D" w:rsidRPr="00252965" w:rsidRDefault="00CF542D" w:rsidP="00CF542D">
                            <w:pPr>
                              <w:jc w:val="both"/>
                            </w:pPr>
                            <w:r w:rsidRPr="00252965">
                              <w:rPr>
                                <w:b/>
                                <w:bCs/>
                              </w:rPr>
                              <w:t xml:space="preserve">Figure 6| Statistical analysis results demonstrate a significant decrease in number of loops, unbundle phenotypes and disorganisation ratio between the V337M mutation and controls. </w:t>
                            </w:r>
                            <w:r w:rsidRPr="00252965">
                              <w:t xml:space="preserve">For </w:t>
                            </w:r>
                            <w:r w:rsidRPr="00CF542D">
                              <w:rPr>
                                <w:b/>
                              </w:rPr>
                              <w:t>(A)</w:t>
                            </w:r>
                            <w:r w:rsidRPr="00252965">
                              <w:t xml:space="preserve"> and </w:t>
                            </w:r>
                            <w:r w:rsidRPr="00CF542D">
                              <w:rPr>
                                <w:b/>
                              </w:rPr>
                              <w:t>(B)</w:t>
                            </w:r>
                            <w:r w:rsidRPr="00252965">
                              <w:t xml:space="preserve"> Mann Whitney test was performed, while for </w:t>
                            </w:r>
                            <w:r w:rsidRPr="00CF542D">
                              <w:rPr>
                                <w:b/>
                              </w:rPr>
                              <w:t xml:space="preserve">(C) </w:t>
                            </w:r>
                            <w:r w:rsidRPr="00252965">
                              <w:t>Fisher’s exact test. The results shown are based on 2 independent repeat cultures.</w:t>
                            </w:r>
                            <w:r>
                              <w:t xml:space="preserve"> </w:t>
                            </w:r>
                            <w:r w:rsidRPr="00252965">
                              <w:t xml:space="preserve">** p&lt;0.001; *** p&lt;0.0001; SEM; n-number of neurons analysed </w:t>
                            </w:r>
                          </w:p>
                          <w:p w:rsidR="00CF542D" w:rsidRDefault="00CF542D" w:rsidP="00CF5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1BCB" id="_x0000_s1033" type="#_x0000_t202" style="position:absolute;left:0;text-align:left;margin-left:398.15pt;margin-top:432.4pt;width:449.35pt;height:81.3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kqJQIAACUEAAAOAAAAZHJzL2Uyb0RvYy54bWysU81u2zAMvg/YOwi6L3bcpGmMOEWXLsOA&#10;7gdo9wCyLMfCJFGTlNjZ05eS0zTbbsN0EEiR/ER+JFe3g1bkIJyXYCo6neSUCMOhkWZX0e9P23c3&#10;lPjATMMUGFHRo/D0dv32zaq3pSigA9UIRxDE+LK3Fe1CsGWWed4JzfwErDBobMFpFlB1u6xxrEd0&#10;rbIiz6+zHlxjHXDhPb7ej0a6TvhtK3j42rZeBKIqirmFdLt01/HO1itW7hyzneSnNNg/ZKGZNPjp&#10;GeqeBUb2Tv4FpSV34KENEw46g7aVXKQasJpp/kc1jx2zItWC5Hh7psn/P1j+5fDNEdlUtMiXlBim&#10;sUlPYgjkPQykiPz01pfo9mjRMQz4jH1OtXr7APyHJwY2HTM7cecc9J1gDeY3jZHZReiI4yNI3X+G&#10;Br9h+wAJaGidjuQhHQTRsU/Hc29iKhwf54v8ejGbU8LRNs2vrqaoxD9Y+RJunQ8fBWgShYo6bH6C&#10;Z4cHH0bXF5f4mwclm61UKiluV2+UIweGg7JN54T+m5sypK/ocl7ME7KBGI/QrNQy4CArqSt6k8cT&#10;w1kZ6fhgmiQHJtUoY9LKnPiJlIzkhKEeUisWMTZyV0NzRMIcjHOLe4ZCB+4XJT3ObEX9zz1zghL1&#10;ySDpy+lsFoc8KbP5okDFXVrqSwszHKEqGigZxU1IixHTNnCHzWllou01k1PKOIuJ+NPexGG/1JPX&#10;63avnwEAAP//AwBQSwMEFAAGAAgAAAAhAP2y+YPdAAAACQEAAA8AAABkcnMvZG93bnJldi54bWxM&#10;j9FOg0AQRd9N/IfNmPhi7GLTAkWWRptofG3tBwwwBSI7S9htoX/f8UkfJ/fmzjn5dra9utDoO8cG&#10;XhYRKOLK1R03Bo7fH88pKB+Qa+wdk4EredgW93c5ZrWbeE+XQ2iUjLDP0EAbwpBp7auWLPqFG4gl&#10;O7nRYpBzbHQ94iTjttfLKIq1xY7lQ4sD7Vqqfg5na+D0NT2tN1P5GY7JfhW/Y5eU7mrM48P89goq&#10;0Bz+yvCLL+hQCFPpzlx71RsQkWAgjVciIHG6SRNQpfSiZbIGXeT6v0FxAwAA//8DAFBLAQItABQA&#10;BgAIAAAAIQC2gziS/gAAAOEBAAATAAAAAAAAAAAAAAAAAAAAAABbQ29udGVudF9UeXBlc10ueG1s&#10;UEsBAi0AFAAGAAgAAAAhADj9If/WAAAAlAEAAAsAAAAAAAAAAAAAAAAALwEAAF9yZWxzLy5yZWxz&#10;UEsBAi0AFAAGAAgAAAAhAM40OSolAgAAJQQAAA4AAAAAAAAAAAAAAAAALgIAAGRycy9lMm9Eb2Mu&#10;eG1sUEsBAi0AFAAGAAgAAAAhAP2y+YPdAAAACQEAAA8AAAAAAAAAAAAAAAAAfwQAAGRycy9kb3du&#10;cmV2LnhtbFBLBQYAAAAABAAEAPMAAACJBQAAAAA=&#10;" stroked="f">
                <v:textbox>
                  <w:txbxContent>
                    <w:p w:rsidR="00CF542D" w:rsidRPr="00252965" w:rsidRDefault="00CF542D" w:rsidP="00CF542D">
                      <w:pPr>
                        <w:jc w:val="both"/>
                      </w:pPr>
                      <w:r w:rsidRPr="00252965">
                        <w:rPr>
                          <w:b/>
                          <w:bCs/>
                        </w:rPr>
                        <w:t xml:space="preserve">Figure 6| Statistical analysis results demonstrate a significant decrease in number of loops, unbundle phenotypes and disorganisation ratio between the V337M mutation and controls. </w:t>
                      </w:r>
                      <w:r w:rsidRPr="00252965">
                        <w:t xml:space="preserve">For </w:t>
                      </w:r>
                      <w:r w:rsidRPr="00CF542D">
                        <w:rPr>
                          <w:b/>
                        </w:rPr>
                        <w:t>(A)</w:t>
                      </w:r>
                      <w:r w:rsidRPr="00252965">
                        <w:t xml:space="preserve"> and </w:t>
                      </w:r>
                      <w:r w:rsidRPr="00CF542D">
                        <w:rPr>
                          <w:b/>
                        </w:rPr>
                        <w:t>(B)</w:t>
                      </w:r>
                      <w:r w:rsidRPr="00252965">
                        <w:t xml:space="preserve"> Mann Whitney test was performed, while for </w:t>
                      </w:r>
                      <w:r w:rsidRPr="00CF542D">
                        <w:rPr>
                          <w:b/>
                        </w:rPr>
                        <w:t xml:space="preserve">(C) </w:t>
                      </w:r>
                      <w:r w:rsidRPr="00252965">
                        <w:t>Fisher’s exact test. The results shown are based on 2 independent repeat cultures.</w:t>
                      </w:r>
                      <w:r>
                        <w:t xml:space="preserve"> </w:t>
                      </w:r>
                      <w:r w:rsidRPr="00252965">
                        <w:t xml:space="preserve">** p&lt;0.001; *** p&lt;0.0001; SEM; n-number of neurons analysed </w:t>
                      </w:r>
                    </w:p>
                    <w:p w:rsidR="00CF542D" w:rsidRDefault="00CF542D" w:rsidP="00CF542D"/>
                  </w:txbxContent>
                </v:textbox>
                <w10:wrap type="square" anchorx="margin"/>
              </v:shape>
            </w:pict>
          </mc:Fallback>
        </mc:AlternateContent>
      </w:r>
      <w:r>
        <w:rPr>
          <w:b/>
          <w:i/>
          <w:noProof/>
          <w:lang w:eastAsia="en-GB"/>
        </w:rPr>
        <w:drawing>
          <wp:anchor distT="0" distB="0" distL="114300" distR="114300" simplePos="0" relativeHeight="251689984" behindDoc="0" locked="0" layoutInCell="1" allowOverlap="1" wp14:anchorId="60940808" wp14:editId="2A0506A8">
            <wp:simplePos x="0" y="0"/>
            <wp:positionH relativeFrom="page">
              <wp:posOffset>677545</wp:posOffset>
            </wp:positionH>
            <wp:positionV relativeFrom="paragraph">
              <wp:posOffset>0</wp:posOffset>
            </wp:positionV>
            <wp:extent cx="6374130" cy="5410835"/>
            <wp:effectExtent l="0" t="0" r="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4130" cy="5410835"/>
                    </a:xfrm>
                    <a:prstGeom prst="rect">
                      <a:avLst/>
                    </a:prstGeom>
                    <a:noFill/>
                  </pic:spPr>
                </pic:pic>
              </a:graphicData>
            </a:graphic>
            <wp14:sizeRelH relativeFrom="page">
              <wp14:pctWidth>0</wp14:pctWidth>
            </wp14:sizeRelH>
            <wp14:sizeRelV relativeFrom="page">
              <wp14:pctHeight>0</wp14:pctHeight>
            </wp14:sizeRelV>
          </wp:anchor>
        </w:drawing>
      </w:r>
    </w:p>
    <w:p w:rsidR="008B750A" w:rsidRDefault="008B750A" w:rsidP="00CF542D">
      <w:pPr>
        <w:tabs>
          <w:tab w:val="left" w:pos="2922"/>
        </w:tabs>
        <w:jc w:val="both"/>
      </w:pPr>
    </w:p>
    <w:p w:rsidR="00CF542D" w:rsidRDefault="00CF542D" w:rsidP="00CF542D">
      <w:pPr>
        <w:jc w:val="both"/>
        <w:rPr>
          <w:b/>
        </w:rPr>
      </w:pPr>
      <w:r w:rsidRPr="00711D68">
        <w:rPr>
          <w:b/>
        </w:rPr>
        <w:t>Discussion</w:t>
      </w:r>
    </w:p>
    <w:p w:rsidR="00CF542D" w:rsidRDefault="00CF542D" w:rsidP="00CF542D">
      <w:pPr>
        <w:jc w:val="both"/>
      </w:pPr>
      <w:r>
        <w:t xml:space="preserve">In this report, we have successfully reproduced V377M mutation in a </w:t>
      </w:r>
      <w:r w:rsidRPr="004B7690">
        <w:rPr>
          <w:i/>
        </w:rPr>
        <w:t>drosophila</w:t>
      </w:r>
      <w:r>
        <w:rPr>
          <w:i/>
        </w:rPr>
        <w:t xml:space="preserve"> </w:t>
      </w:r>
      <w:r>
        <w:t xml:space="preserve">neuronal model. Taken together, our results show that the induction of the human tau alone induces a certain amount of toxicity; the </w:t>
      </w:r>
      <w:proofErr w:type="spellStart"/>
      <w:r>
        <w:t>hTau</w:t>
      </w:r>
      <w:proofErr w:type="spellEnd"/>
      <w:r>
        <w:t xml:space="preserve"> cultures have shown constantly less branches, disorganisation and unbundle phenotype than the control neurons. These results are consistent with the literature, as the addition of the extra tau brakes the balance of the endogenous expression tau levels. Overexpression of tau has been proven in different models to affect microtubule stability and increase cell toxicity </w:t>
      </w:r>
      <w:r>
        <w:fldChar w:fldCharType="begin" w:fldLock="1"/>
      </w:r>
      <w:r w:rsidR="003B67B0">
        <w:instrText>ADDIN CSL_CITATION { "citationItems" : [ { "id" : "ITEM-1", "itemData" : { "DOI" : "10.1038/srep22685", "ISSN" : "2045-2322", "PMID" : "26940749", "abstract" : "Dysfunction and accumulation of the microtubule-associated human Tau (hTau) protein into intraneuronal aggregates is observed in many neurodegenerative disorders including Alzheimer's disease (AD). Reversible lysine acetylation has recently emerged as a post-translational modification that may play an important role in the modulation of hTau pathology. Acetylated hTau species have been observed within hTau aggregates in human AD brains and multi-acetylation of hTau in vitro regulates its propensity to aggregate. However, whether lysine acetylation at position 280 (K280) modulates hTau-induced toxicity in vivo is unknown. We generated new Drosophila transgenic models of hTau pathology to evaluate the contribution of K280 acetylation to hTau toxicity, by analysing the respective toxicity of pseudo-acetylated (K280Q) and pseudo-de-acetylated (K280R) mutant forms of hTau. We observed that mis-expression of pseudo-acetylated K280Q-hTau in the adult fly nervous system potently exacerbated fly locomotion defects and photoreceptor neurodegeneration. In addition, modulation of K280 influenced total hTau levels and phosphorylation without changing hTau solubility. Altogether, our results indicate that pseudo-acetylation of the single K280 residue is sufficient to exacerbate hTau neurotoxicity in vivo, suggesting that acetylated K280-hTau species contribute to the pathological events leading to neurodegeneration in AD.", "author" : [ { "dropping-particle" : "", "family" : "Gorsky", "given" : "Marianna Karina", "non-dropping-particle" : "", "parse-names" : false, "suffix" : "" }, { "dropping-particle" : "", "family" : "Burnouf", "given" : "Sylvie", "non-dropping-particle" : "", "parse-names" : false, "suffix" : "" }, { "dropping-particle" : "", "family" : "Dols", "given" : "Jacqueline", "non-dropping-particle" : "", "parse-names" : false, "suffix" : "" }, { "dropping-particle" : "", "family" : "Mandelkow", "given" : "Eckhard", "non-dropping-particle" : "", "parse-names" : false, "suffix" : "" }, { "dropping-particle" : "", "family" : "Partridge", "given" : "Linda", "non-dropping-particle" : "", "parse-names" : false, "suffix" : "" } ], "container-title" : "Scientific Reports", "id" : "ITEM-1", "issued" : { "date-parts" : [ [ "2016" ] ] }, "page" : "22685", "title" : "Acetylation mimic of lysine 280 exacerbates human Tau neurotoxicity in vivo", "type" : "article-journal", "volume" : "6" }, "uris" : [ "http://www.mendeley.com/documents/?uuid=0ade4142-7483-4c6f-b81c-ec76cb0afda9" ] }, { "id" : "ITEM-2", "itemData" : { "DOI" : "10.1016/j.neuron.2016.03.005", "ISBN" : "1097-4199 (Electronic)\\r0896-6273 (Linking)", "ISSN" : "10974199", "PMID" : "27041503", "abstract" : "Tau toxicity has been implicated in the emergence of synaptic dysfunction in Alzheimer's disease (AD), but the mechanism by which tau alters synapse physiology and leads to cognitive decline is unclear. Here we report abnormal acetylation of K274 and K281 on tau, identified in AD brains, promotes memory loss and disrupts synaptic plasticity by reducing postsynaptic KIdney/BRAin (KIBRA) protein, a memory-associated protein. Transgenic mice expressing human tau with lysine-to-glutamine mutations to mimic K274 and K281 acetylation (tauKQ) exhibit AD-related memory deficits and impaired hippocampal long-term potentiation (LTP). TauKQ reduces synaptic KIBRA levels and disrupts activity-induced postsynaptic actin remodeling and AMPA receptor insertion. The LTP deficit was rescued by promoting actin polymerization or by KIBRA expression. In AD patients with dementia, we found enhanced tau acetylation is linked to loss of KIBRA. These findings suggest a novel mechanism by which pathogenic tau causes synaptic dysfunction and cognitive decline in AD pathogenesis.", "author" : [ { "dropping-particle" : "", "family" : "Tracy", "given" : "Tara E.", "non-dropping-particle" : "", "parse-names" : false, "suffix" : "" }, { "dropping-particle" : "", "family" : "Sohn", "given" : "Peter Dongmin", "non-dropping-particle" : "", "parse-names" : false, "suffix" : "" }, { "dropping-particle" : "", "family" : "Minami", "given" : "S. Sakura", "non-dropping-particle" : "", "parse-names" : false, "suffix" : "" }, { "dropping-particle" : "", "family" : "Wang", "given" : "Chao", "non-dropping-particle" : "", "parse-names" : false, "suffix" : "" }, { "dropping-particle" : "", "family" : "Min", "given" : "Sang Won", "non-dropping-particle" : "", "parse-names" : false, "suffix" : "" }, { "dropping-particle" : "", "family" : "Li", "given" : "Yaqiao", "non-dropping-particle" : "", "parse-names" : false, "suffix" : "" }, { "dropping-particle" : "", "family" : "Zhou", "given" : "Yungui", "non-dropping-particle" : "", "parse-names" : false, "suffix" : "" }, { "dropping-particle" : "", "family" : "Le", "given" : "David", "non-dropping-particle" : "", "parse-names" : false, "suffix" : "" }, { "dropping-particle" : "", "family" : "Lo", "given" : "Iris", "non-dropping-particle" : "", "parse-names" : false, "suffix" : "" }, { "dropping-particle" : "", "family" : "Ponnusamy", "given" : "Ravikumar", "non-dropping-particle" : "", "parse-names" : false, "suffix" : "" }, { "dropping-particle" : "", "family" : "Cong", "given" : "Xin", "non-dropping-particle" : "", "parse-names" : false, "suffix" : "" }, { "dropping-particle" : "", "family" : "Schilling", "given" : "Birgit", "non-dropping-particle" : "", "parse-names" : false, "suffix" : "" }, { "dropping-particle" : "", "family" : "Ellerby", "given" : "Lisa M.", "non-dropping-particle" : "", "parse-names" : false, "suffix" : "" }, { "dropping-particle" : "", "family" : "Huganir", "given" : "Richard L.", "non-dropping-particle" : "", "parse-names" : false, "suffix" : "" }, { "dropping-particle" : "", "family" : "Gan", "given" : "Li", "non-dropping-particle" : "", "parse-names" : false, "suffix" : "" } ], "container-title" : "Neuron", "id" : "ITEM-2", "issue" : "2", "issued" : { "date-parts" : [ [ "2016" ] ] }, "page" : "245-260", "title" : "Acetylated Tau Obstructs KIBRA-Mediated Signaling in Synaptic Plasticity and Promotes Tauopathy-Related Memory Loss", "type" : "article-journal", "volume" : "90" }, "uris" : [ "http://www.mendeley.com/documents/?uuid=33b0068e-0cf4-4a72-9ab5-7999fe999b33" ] } ], "mendeley" : { "formattedCitation" : "[21,22]", "plainTextFormattedCitation" : "[21,22]", "previouslyFormattedCitation" : "[21,22]" }, "properties" : { "noteIndex" : 0 }, "schema" : "https://github.com/citation-style-language/schema/raw/master/csl-citation.json" }</w:instrText>
      </w:r>
      <w:r>
        <w:fldChar w:fldCharType="separate"/>
      </w:r>
      <w:r w:rsidRPr="007855E6">
        <w:rPr>
          <w:noProof/>
        </w:rPr>
        <w:t>[21,22]</w:t>
      </w:r>
      <w:r>
        <w:fldChar w:fldCharType="end"/>
      </w:r>
      <w:r>
        <w:t xml:space="preserve">. We hypothesize that the extra human tau is either binding to microtubules and limiting their dynamics, or goes to the cell body and forms neurofibrillary tangles. Both theories may be proven correct as they are not mutually exclusive. </w:t>
      </w:r>
    </w:p>
    <w:p w:rsidR="00CF542D" w:rsidRDefault="00CF542D" w:rsidP="00CF542D">
      <w:pPr>
        <w:tabs>
          <w:tab w:val="left" w:pos="2922"/>
        </w:tabs>
        <w:sectPr w:rsidR="00CF542D" w:rsidSect="00CF542D">
          <w:type w:val="continuous"/>
          <w:pgSz w:w="11906" w:h="16838"/>
          <w:pgMar w:top="1440" w:right="1440" w:bottom="1440" w:left="1440" w:header="708" w:footer="708" w:gutter="0"/>
          <w:cols w:num="2" w:space="708"/>
          <w:docGrid w:linePitch="360"/>
        </w:sectPr>
      </w:pPr>
    </w:p>
    <w:p w:rsidR="00655C0E" w:rsidRDefault="00CF542D" w:rsidP="00655C0E">
      <w:pPr>
        <w:tabs>
          <w:tab w:val="left" w:pos="2922"/>
        </w:tabs>
        <w:sectPr w:rsidR="00655C0E" w:rsidSect="002040E9">
          <w:type w:val="continuous"/>
          <w:pgSz w:w="11906" w:h="16838"/>
          <w:pgMar w:top="1440" w:right="1440" w:bottom="1440" w:left="1440" w:header="708" w:footer="708" w:gutter="0"/>
          <w:cols w:space="708"/>
          <w:docGrid w:linePitch="360"/>
        </w:sectPr>
      </w:pPr>
      <w:r w:rsidRPr="006F0341">
        <w:rPr>
          <w:b/>
          <w:noProof/>
          <w:lang w:eastAsia="en-GB"/>
        </w:rPr>
        <w:lastRenderedPageBreak/>
        <mc:AlternateContent>
          <mc:Choice Requires="wps">
            <w:drawing>
              <wp:anchor distT="45720" distB="45720" distL="114300" distR="114300" simplePos="0" relativeHeight="251696128" behindDoc="0" locked="0" layoutInCell="1" allowOverlap="1" wp14:anchorId="678D111E" wp14:editId="29D68AC2">
                <wp:simplePos x="0" y="0"/>
                <wp:positionH relativeFrom="margin">
                  <wp:posOffset>-295275</wp:posOffset>
                </wp:positionH>
                <wp:positionV relativeFrom="paragraph">
                  <wp:posOffset>5222090</wp:posOffset>
                </wp:positionV>
                <wp:extent cx="6449060" cy="1021715"/>
                <wp:effectExtent l="0" t="0" r="8890" b="698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1021715"/>
                        </a:xfrm>
                        <a:prstGeom prst="rect">
                          <a:avLst/>
                        </a:prstGeom>
                        <a:solidFill>
                          <a:srgbClr val="FFFFFF"/>
                        </a:solidFill>
                        <a:ln w="9525">
                          <a:noFill/>
                          <a:miter lim="800000"/>
                          <a:headEnd/>
                          <a:tailEnd/>
                        </a:ln>
                      </wps:spPr>
                      <wps:txbx>
                        <w:txbxContent>
                          <w:p w:rsidR="00CF542D" w:rsidRPr="00B62289" w:rsidRDefault="00CF542D" w:rsidP="00655C0E">
                            <w:pPr>
                              <w:jc w:val="both"/>
                            </w:pPr>
                            <w:r w:rsidRPr="006F0341">
                              <w:rPr>
                                <w:b/>
                                <w:bCs/>
                              </w:rPr>
                              <w:t>Figure 7| Transfection of chick neurons with hTauV337M-GFP and hTauWT</w:t>
                            </w:r>
                            <w:r w:rsidR="00655C0E">
                              <w:rPr>
                                <w:b/>
                                <w:bCs/>
                              </w:rPr>
                              <w:t>-GFP</w:t>
                            </w:r>
                            <w:r w:rsidRPr="006F0341">
                              <w:rPr>
                                <w:b/>
                                <w:bCs/>
                              </w:rPr>
                              <w:t xml:space="preserve"> plasmids. A)</w:t>
                            </w:r>
                            <w:r w:rsidRPr="006F0341">
                              <w:t xml:space="preserve"> Sequencing results show the presence of mutation at base pair A (ATG codon) that transforms Valine into Methionine amino acid. </w:t>
                            </w:r>
                            <w:r w:rsidRPr="006F0341">
                              <w:rPr>
                                <w:b/>
                                <w:bCs/>
                              </w:rPr>
                              <w:t xml:space="preserve">B) </w:t>
                            </w:r>
                            <w:r w:rsidRPr="006F0341">
                              <w:t xml:space="preserve">Representation of a normal phenotype of control chick neurons (transfected with hTauWT). By comparison with V337M mutation neurons </w:t>
                            </w:r>
                            <w:r w:rsidRPr="006F0341">
                              <w:rPr>
                                <w:b/>
                                <w:bCs/>
                              </w:rPr>
                              <w:t>(C)</w:t>
                            </w:r>
                            <w:r w:rsidRPr="006F0341">
                              <w:t xml:space="preserve">, the control phenotype presents a more branched phenotype. Moreover, small disorganisations within the axons (white arrows) are present. </w:t>
                            </w:r>
                            <w:r>
                              <w:rPr>
                                <w:b/>
                              </w:rPr>
                              <w:t xml:space="preserve"> </w:t>
                            </w:r>
                          </w:p>
                          <w:p w:rsidR="00CF542D" w:rsidRDefault="00CF542D" w:rsidP="00CF5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D111E" id="_x0000_s1034" type="#_x0000_t202" style="position:absolute;margin-left:-23.25pt;margin-top:411.2pt;width:507.8pt;height:80.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oEJAIAACUEAAAOAAAAZHJzL2Uyb0RvYy54bWysU9tuGyEQfa/Uf0C813uR7dgrr6PUqatK&#10;aVop6QewLOtFBYYC9q779R2w47jtW1UeEMPMHM6cGVa3o1bkIJyXYGpaTHJKhOHQSrOr6bfn7bsF&#10;JT4w0zIFRtT0KDy9Xb99sxpsJUroQbXCEQQxvhpsTfsQbJVlnvdCMz8BKww6O3CaBTTdLmsdGxBd&#10;q6zM83k2gGutAy68x9v7k5OuE37XCR6+dJ0XgaiaIreQdpf2Ju7ZesWqnWO2l/xMg/0DC82kwUcv&#10;UPcsMLJ38i8oLbkDD12YcNAZdJ3kItWA1RT5H9U89cyKVAuK4+1FJv//YPnj4asjsq1pWRSUGKax&#10;Sc9iDOQ9jKSM+gzWVxj2ZDEwjHiNfU61evsA/LsnBjY9Mztx5xwMvWAt8itiZnaVesLxEaQZPkOL&#10;z7B9gAQ0dk5H8VAOgujYp+OlN5EKx8v5dLrM5+ji6CvysrgpZukNVr2kW+fDRwGaxENNHTY/wbPD&#10;gw+RDqteQuJrHpRst1KpZLhds1GOHBgOyjatM/pvYcqQoabLWTlLyAZifpohLQMOspK6pos8rpjO&#10;qijHB9Omc2BSnc7IRJmzPlGSkzhhbMbUikXMjdo10B5RMAenucV/hoce3E9KBpzZmvofe+YEJeqT&#10;QdGXxXQahzwZ09lNiYa79jTXHmY4QtU0UHI6bkL6GJG2gTtsTieTbK9MzpRxFpOa538Th/3aTlGv&#10;v3v9CwAA//8DAFBLAwQUAAYACAAAACEAkRcQ7OAAAAALAQAADwAAAGRycy9kb3ducmV2LnhtbEyP&#10;wW6DMAyG75P2DpEr7TK1oZRSYIRqm7Rp13Z9AAMuoJIEkbTQt5932m62/On39+f7WffiRqPrrFGw&#10;XgUgyFS27kyj4PT9sUxAOI+mxt4aUnAnB/vi8SHHrLaTOdDt6BvBIcZlqKD1fsikdFVLGt3KDmT4&#10;drajRs/r2Mh6xInDdS/DIIilxs7whxYHem+puhyvWsH5a3replP56U+7QxS/Ybcr7V2pp8X8+gLC&#10;0+z/YPjVZ3Uo2Km0V1M70StYRvGWUQVJGEYgmEjjdA2i5CHZbEAWufzfofgBAAD//wMAUEsBAi0A&#10;FAAGAAgAAAAhALaDOJL+AAAA4QEAABMAAAAAAAAAAAAAAAAAAAAAAFtDb250ZW50X1R5cGVzXS54&#10;bWxQSwECLQAUAAYACAAAACEAOP0h/9YAAACUAQAACwAAAAAAAAAAAAAAAAAvAQAAX3JlbHMvLnJl&#10;bHNQSwECLQAUAAYACAAAACEAGj1qBCQCAAAlBAAADgAAAAAAAAAAAAAAAAAuAgAAZHJzL2Uyb0Rv&#10;Yy54bWxQSwECLQAUAAYACAAAACEAkRcQ7OAAAAALAQAADwAAAAAAAAAAAAAAAAB+BAAAZHJzL2Rv&#10;d25yZXYueG1sUEsFBgAAAAAEAAQA8wAAAIsFAAAAAA==&#10;" stroked="f">
                <v:textbox>
                  <w:txbxContent>
                    <w:p w:rsidR="00CF542D" w:rsidRPr="00B62289" w:rsidRDefault="00CF542D" w:rsidP="00655C0E">
                      <w:pPr>
                        <w:jc w:val="both"/>
                      </w:pPr>
                      <w:r w:rsidRPr="006F0341">
                        <w:rPr>
                          <w:b/>
                          <w:bCs/>
                        </w:rPr>
                        <w:t>Figure 7| Transfection of chick neurons with hTauV337M-GFP and hTauWT</w:t>
                      </w:r>
                      <w:r w:rsidR="00655C0E">
                        <w:rPr>
                          <w:b/>
                          <w:bCs/>
                        </w:rPr>
                        <w:t>-GFP</w:t>
                      </w:r>
                      <w:r w:rsidRPr="006F0341">
                        <w:rPr>
                          <w:b/>
                          <w:bCs/>
                        </w:rPr>
                        <w:t xml:space="preserve"> plasmids. A)</w:t>
                      </w:r>
                      <w:r w:rsidRPr="006F0341">
                        <w:t xml:space="preserve"> Sequencing results show the presence of mutation at base pair A (ATG codon) that transforms Valine into Methionine amino acid. </w:t>
                      </w:r>
                      <w:r w:rsidRPr="006F0341">
                        <w:rPr>
                          <w:b/>
                          <w:bCs/>
                        </w:rPr>
                        <w:t xml:space="preserve">B) </w:t>
                      </w:r>
                      <w:r w:rsidRPr="006F0341">
                        <w:t xml:space="preserve">Representation of a normal phenotype of control chick neurons (transfected with hTauWT). By comparison with V337M mutation neurons </w:t>
                      </w:r>
                      <w:r w:rsidRPr="006F0341">
                        <w:rPr>
                          <w:b/>
                          <w:bCs/>
                        </w:rPr>
                        <w:t>(C)</w:t>
                      </w:r>
                      <w:r w:rsidRPr="006F0341">
                        <w:t xml:space="preserve">, the control phenotype presents a more branched phenotype. Moreover, small disorganisations within the axons (white arrows) are present. </w:t>
                      </w:r>
                      <w:r>
                        <w:rPr>
                          <w:b/>
                        </w:rPr>
                        <w:t xml:space="preserve"> </w:t>
                      </w:r>
                    </w:p>
                    <w:p w:rsidR="00CF542D" w:rsidRDefault="00CF542D" w:rsidP="00CF542D"/>
                  </w:txbxContent>
                </v:textbox>
                <w10:wrap type="square" anchorx="margin"/>
              </v:shape>
            </w:pict>
          </mc:Fallback>
        </mc:AlternateContent>
      </w:r>
      <w:r>
        <w:rPr>
          <w:b/>
          <w:i/>
          <w:noProof/>
          <w:lang w:eastAsia="en-GB"/>
        </w:rPr>
        <w:drawing>
          <wp:anchor distT="0" distB="0" distL="114300" distR="114300" simplePos="0" relativeHeight="251694080" behindDoc="0" locked="0" layoutInCell="1" allowOverlap="1" wp14:anchorId="74F7C281" wp14:editId="5FEDCC37">
            <wp:simplePos x="0" y="0"/>
            <wp:positionH relativeFrom="margin">
              <wp:align>center</wp:align>
            </wp:positionH>
            <wp:positionV relativeFrom="paragraph">
              <wp:posOffset>75</wp:posOffset>
            </wp:positionV>
            <wp:extent cx="6633210" cy="5331460"/>
            <wp:effectExtent l="0" t="0" r="0"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3210" cy="5331460"/>
                    </a:xfrm>
                    <a:prstGeom prst="rect">
                      <a:avLst/>
                    </a:prstGeom>
                    <a:noFill/>
                  </pic:spPr>
                </pic:pic>
              </a:graphicData>
            </a:graphic>
            <wp14:sizeRelH relativeFrom="page">
              <wp14:pctWidth>0</wp14:pctWidth>
            </wp14:sizeRelH>
            <wp14:sizeRelV relativeFrom="page">
              <wp14:pctHeight>0</wp14:pctHeight>
            </wp14:sizeRelV>
          </wp:anchor>
        </w:drawing>
      </w:r>
    </w:p>
    <w:p w:rsidR="00655C0E" w:rsidRDefault="00655C0E" w:rsidP="00655C0E">
      <w:pPr>
        <w:jc w:val="both"/>
      </w:pPr>
      <w:r>
        <w:t xml:space="preserve">After comparing the neurons expressing hTauWT versus hTauV337M, we can clearly distinguish a more elevated level of toxicity with the presence of the mutation. As we know that the V337M mutation affects the level of hyperphosphorylation of tau, we assume that this strong phenotype is partially due to the location of the tau protein following detachment from microtubes. This hypothesis was confirmed with the </w:t>
      </w:r>
      <w:r w:rsidR="00DF6825">
        <w:t>chicken</w:t>
      </w:r>
      <w:r>
        <w:t xml:space="preserve"> neurons model, as we have clearly shown that the hTauV337M-GFP proteins added were indeed </w:t>
      </w:r>
      <w:r>
        <w:t xml:space="preserve">localized along the axons, branches and dendrites. Further investigations into where do the hyperphosphorylated tau proteins localize could be performed using immunostaining techniques – staining for tau and tubulin would give us an estimation of the percent of tau binding to microtubules and the amount present in the soma. By comparing these data to the control neurons, we would be able to further confirm the localization of </w:t>
      </w:r>
      <w:proofErr w:type="spellStart"/>
      <w:r>
        <w:t>hTau</w:t>
      </w:r>
      <w:proofErr w:type="spellEnd"/>
      <w:r>
        <w:t xml:space="preserve"> proteins.</w:t>
      </w:r>
    </w:p>
    <w:p w:rsidR="00655C0E" w:rsidRDefault="00655C0E" w:rsidP="00655C0E">
      <w:pPr>
        <w:sectPr w:rsidR="00655C0E" w:rsidSect="00655C0E">
          <w:type w:val="continuous"/>
          <w:pgSz w:w="11906" w:h="16838"/>
          <w:pgMar w:top="1440" w:right="1440" w:bottom="1440" w:left="1440" w:header="708" w:footer="708" w:gutter="0"/>
          <w:cols w:num="2" w:space="708"/>
          <w:docGrid w:linePitch="360"/>
        </w:sectPr>
      </w:pPr>
    </w:p>
    <w:p w:rsidR="00655C0E" w:rsidRDefault="00655C0E" w:rsidP="00655C0E">
      <w:r w:rsidRPr="006F0341">
        <w:rPr>
          <w:b/>
          <w:noProof/>
          <w:lang w:eastAsia="en-GB"/>
        </w:rPr>
        <w:lastRenderedPageBreak/>
        <mc:AlternateContent>
          <mc:Choice Requires="wps">
            <w:drawing>
              <wp:anchor distT="45720" distB="45720" distL="114300" distR="114300" simplePos="0" relativeHeight="251700224" behindDoc="0" locked="0" layoutInCell="1" allowOverlap="1" wp14:anchorId="07ECBD96" wp14:editId="2031DFE3">
                <wp:simplePos x="0" y="0"/>
                <wp:positionH relativeFrom="margin">
                  <wp:posOffset>4017645</wp:posOffset>
                </wp:positionH>
                <wp:positionV relativeFrom="paragraph">
                  <wp:posOffset>623570</wp:posOffset>
                </wp:positionV>
                <wp:extent cx="1903730" cy="1801495"/>
                <wp:effectExtent l="0" t="0" r="20320"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801495"/>
                        </a:xfrm>
                        <a:prstGeom prst="rect">
                          <a:avLst/>
                        </a:prstGeom>
                        <a:solidFill>
                          <a:srgbClr val="FFFFFF"/>
                        </a:solidFill>
                        <a:ln w="9525">
                          <a:solidFill>
                            <a:srgbClr val="000000"/>
                          </a:solidFill>
                          <a:miter lim="800000"/>
                          <a:headEnd/>
                          <a:tailEnd/>
                        </a:ln>
                      </wps:spPr>
                      <wps:txbx>
                        <w:txbxContent>
                          <w:p w:rsidR="00655C0E" w:rsidRPr="00655C0E" w:rsidRDefault="00655C0E" w:rsidP="00655C0E">
                            <w:pPr>
                              <w:jc w:val="both"/>
                            </w:pPr>
                            <w:r w:rsidRPr="006F0341">
                              <w:rPr>
                                <w:b/>
                                <w:bCs/>
                              </w:rPr>
                              <w:t xml:space="preserve">Figure </w:t>
                            </w:r>
                            <w:r>
                              <w:rPr>
                                <w:b/>
                                <w:bCs/>
                              </w:rPr>
                              <w:t xml:space="preserve">8| Digestion of positive bacterial clones. </w:t>
                            </w:r>
                            <w:r>
                              <w:rPr>
                                <w:bCs/>
                              </w:rPr>
                              <w:t>16 different colonies were digested, with only 2 containing the plasmid with an insert and both present in the wrong orientation. L-ladder; NI- no insert; WO- wrong direction</w:t>
                            </w:r>
                          </w:p>
                          <w:p w:rsidR="00655C0E" w:rsidRDefault="00655C0E" w:rsidP="00655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CBD96" id="_x0000_s1035" type="#_x0000_t202" style="position:absolute;margin-left:316.35pt;margin-top:49.1pt;width:149.9pt;height:141.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GmJQIAAEwEAAAOAAAAZHJzL2Uyb0RvYy54bWysVNtu2zAMfR+wfxD0vthJk7Ux4hRdugwD&#10;ugvQ7gNoWY6FSaInKbG7rx8lp2l2exnmB4EUqUPykPTqejCaHaTzCm3Jp5OcM2kF1sruSv7lYfvq&#10;ijMfwNag0cqSP0rPr9cvX6z6rpAzbFHX0jECsb7ou5K3IXRFlnnRSgN+gp20ZGzQGQikul1WO+gJ&#10;3ehsluevsx5d3TkU0nu6vR2NfJ3wm0aK8KlpvAxMl5xyC+l06azima1XUOwcdK0SxzTgH7IwoCwF&#10;PUHdQgC2d+o3KKOEQ49NmAg0GTaNEjLVQNVM81+quW+hk6kWIsd3J5r8/4MVHw+fHVN1yalRFgy1&#10;6EEOgb3Bgc0iO33nC3K678gtDHRNXU6V+u4OxVfPLG5asDt54xz2rYSaspvGl9nZ0xHHR5Cq/4A1&#10;hYF9wAQ0NM5E6ogMRujUpcdTZ2IqIoZc5heXF2QSZJte5dP5cpFiQPH0vHM+vJNoWBRK7qj1CR4O&#10;dz7EdKB4conRPGpVb5XWSXG7aqMdOwCNyTZ9R/Sf3LRlfcmXi9liZOCvEHn6/gRhVKB518oQ4Scn&#10;KCJvb22dpjGA0qNMKWt7JDJyN7IYhmpIHVvGAJHkCutHYtbhON60jiS06L5z1tNol9x/24OTnOn3&#10;lrqznM7ncReSMl9czkhx55bq3AJWEFTJA2ejuAlpfyJvFm+oi41K/D5nckyZRjbRflyvuBPnevJ6&#10;/gmsfwAAAP//AwBQSwMEFAAGAAgAAAAhAGuhsP/hAAAACgEAAA8AAABkcnMvZG93bnJldi54bWxM&#10;j8FOwzAQRO9I/IO1SFwQdZpAmoQ4FUICwQ3aCq5uvE0i7HWw3TT8PeYEx9U8zbyt17PRbELnB0sC&#10;losEGFJr1UCdgN328boA5oMkJbUlFPCNHtbN+VktK2VP9IbTJnQslpCvpIA+hLHi3Lc9GukXdkSK&#10;2cE6I0M8XceVk6dYbjRPkyTnRg4UF3o54kOP7efmaAQUN8/Th3/JXt/b/KDLcLWanr6cEJcX8/0d&#10;sIBz+IPhVz+qQxOd9vZIyjMtIM/SVUQFlEUKLAJllt4C2wvIimUJvKn5/xeaHwAAAP//AwBQSwEC&#10;LQAUAAYACAAAACEAtoM4kv4AAADhAQAAEwAAAAAAAAAAAAAAAAAAAAAAW0NvbnRlbnRfVHlwZXNd&#10;LnhtbFBLAQItABQABgAIAAAAIQA4/SH/1gAAAJQBAAALAAAAAAAAAAAAAAAAAC8BAABfcmVscy8u&#10;cmVsc1BLAQItABQABgAIAAAAIQA9odGmJQIAAEwEAAAOAAAAAAAAAAAAAAAAAC4CAABkcnMvZTJv&#10;RG9jLnhtbFBLAQItABQABgAIAAAAIQBrobD/4QAAAAoBAAAPAAAAAAAAAAAAAAAAAH8EAABkcnMv&#10;ZG93bnJldi54bWxQSwUGAAAAAAQABADzAAAAjQUAAAAA&#10;">
                <v:textbox>
                  <w:txbxContent>
                    <w:p w:rsidR="00655C0E" w:rsidRPr="00655C0E" w:rsidRDefault="00655C0E" w:rsidP="00655C0E">
                      <w:pPr>
                        <w:jc w:val="both"/>
                      </w:pPr>
                      <w:r w:rsidRPr="006F0341">
                        <w:rPr>
                          <w:b/>
                          <w:bCs/>
                        </w:rPr>
                        <w:t xml:space="preserve">Figure </w:t>
                      </w:r>
                      <w:r>
                        <w:rPr>
                          <w:b/>
                          <w:bCs/>
                        </w:rPr>
                        <w:t xml:space="preserve">8| </w:t>
                      </w:r>
                      <w:r>
                        <w:rPr>
                          <w:b/>
                          <w:bCs/>
                        </w:rPr>
                        <w:t xml:space="preserve">Digestion of positive bacterial clones. </w:t>
                      </w:r>
                      <w:r>
                        <w:rPr>
                          <w:bCs/>
                        </w:rPr>
                        <w:t>16 different colonies were digested, with only 2 containing the plasmid with an insert and both present in the wrong orientation. L-ladder; NI- no insert; WO- wrong direction</w:t>
                      </w:r>
                    </w:p>
                    <w:p w:rsidR="00655C0E" w:rsidRDefault="00655C0E" w:rsidP="00655C0E"/>
                  </w:txbxContent>
                </v:textbox>
                <w10:wrap type="square" anchorx="margin"/>
              </v:shape>
            </w:pict>
          </mc:Fallback>
        </mc:AlternateContent>
      </w:r>
      <w:r w:rsidRPr="00655C0E">
        <w:rPr>
          <w:noProof/>
          <w:lang w:eastAsia="en-GB"/>
        </w:rPr>
        <mc:AlternateContent>
          <mc:Choice Requires="wps">
            <w:drawing>
              <wp:anchor distT="0" distB="0" distL="114300" distR="114300" simplePos="0" relativeHeight="251704320" behindDoc="0" locked="0" layoutInCell="1" allowOverlap="1" wp14:anchorId="69BD37FD" wp14:editId="1B19D408">
                <wp:simplePos x="0" y="0"/>
                <wp:positionH relativeFrom="column">
                  <wp:posOffset>618453</wp:posOffset>
                </wp:positionH>
                <wp:positionV relativeFrom="paragraph">
                  <wp:posOffset>241300</wp:posOffset>
                </wp:positionV>
                <wp:extent cx="527124" cy="338554"/>
                <wp:effectExtent l="0" t="0" r="0" b="0"/>
                <wp:wrapNone/>
                <wp:docPr id="13" name="TextBox 3"/>
                <wp:cNvGraphicFramePr/>
                <a:graphic xmlns:a="http://schemas.openxmlformats.org/drawingml/2006/main">
                  <a:graphicData uri="http://schemas.microsoft.com/office/word/2010/wordprocessingShape">
                    <wps:wsp>
                      <wps:cNvSpPr txBox="1"/>
                      <wps:spPr>
                        <a:xfrm>
                          <a:off x="0" y="0"/>
                          <a:ext cx="527124" cy="338554"/>
                        </a:xfrm>
                        <a:prstGeom prst="rect">
                          <a:avLst/>
                        </a:prstGeom>
                        <a:noFill/>
                      </wps:spPr>
                      <wps:txbx>
                        <w:txbxContent>
                          <w:p w:rsidR="00655C0E" w:rsidRPr="00655C0E" w:rsidRDefault="00655C0E" w:rsidP="00655C0E">
                            <w:pPr>
                              <w:pStyle w:val="NormalWeb"/>
                              <w:spacing w:before="0" w:beforeAutospacing="0" w:after="0" w:afterAutospacing="0"/>
                              <w:rPr>
                                <w:rFonts w:asciiTheme="minorHAnsi" w:hAnsiTheme="minorHAnsi" w:cstheme="minorHAnsi"/>
                                <w:sz w:val="18"/>
                              </w:rPr>
                            </w:pPr>
                            <w:r>
                              <w:rPr>
                                <w:rFonts w:asciiTheme="minorHAnsi" w:hAnsiTheme="minorHAnsi" w:cstheme="minorHAnsi"/>
                                <w:b/>
                                <w:bCs/>
                                <w:color w:val="000000" w:themeColor="text1"/>
                                <w:kern w:val="24"/>
                                <w:sz w:val="22"/>
                                <w:szCs w:val="32"/>
                              </w:rPr>
                              <w:t>NI</w:t>
                            </w:r>
                          </w:p>
                        </w:txbxContent>
                      </wps:txbx>
                      <wps:bodyPr wrap="square" rtlCol="0">
                        <a:spAutoFit/>
                      </wps:bodyPr>
                    </wps:wsp>
                  </a:graphicData>
                </a:graphic>
                <wp14:sizeRelH relativeFrom="margin">
                  <wp14:pctWidth>0</wp14:pctWidth>
                </wp14:sizeRelH>
              </wp:anchor>
            </w:drawing>
          </mc:Choice>
          <mc:Fallback>
            <w:pict>
              <v:shape w14:anchorId="69BD37FD" id="TextBox 3" o:spid="_x0000_s1036" type="#_x0000_t202" style="position:absolute;margin-left:48.7pt;margin-top:19pt;width:41.5pt;height:26.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oIlwEAABUDAAAOAAAAZHJzL2Uyb0RvYy54bWysUstu2zAQvBfoPxC81/IjbgPBcpAH0kvR&#10;FkjyATRFWgRELrNLW/Lfd0k7dtDcil4ocXY5nJnl6mb0vdgbJAehkbPJVAoTNLQubBv58vz45VoK&#10;Siq0qodgGnkwJG/Wnz+thlibOXTQtwYFkwSqh9jILqVYVxXpznhFE4gmcNECepV4i9uqRTUwu++r&#10;+XT6tRoA24igDRGjD8eiXBd+a41Ov6wlk0TfSNaWyopl3eS1Wq9UvUUVO6dPMtQ/qPDKBb70TPWg&#10;khI7dB+ovNMIBDZNNPgKrHXaFA/sZjb9y81Tp6IpXjgciueY6P/R6p/73yhcy7NbSBGU5xk9mzHd&#10;wSgWOZ0hUs1NT5Hb0sgwd77hxGA2PVr0+ct2BNc558M5W+YSmsHl/NtsfiWF5tJicb1cXmWW6nI4&#10;IqXvBrzIP41EHl1JVO1/UDq2vrXkuwI8ur7PeFZ4VJL/0rgZj37KcDO0gfbA6geeciPpdafQSIGp&#10;v4fyKDIbxdtdYsZy0eXMiZ2zL1JP7yQP9/2+dF1e8/oPAAAA//8DAFBLAwQUAAYACAAAACEAU0XD&#10;JdwAAAAIAQAADwAAAGRycy9kb3ducmV2LnhtbEyPS0/DMBCE70j8B2uRuFE7lEca4lQVD4kDF0q4&#10;b+NtHBHbUew26b9ne4LjzjeanSnXs+vFkcbYBa8hWygQ5JtgOt9qqL/ebnIQMaE32AdPGk4UYV1d&#10;XpRYmDD5TzpuUys4xMcCNdiUhkLK2FhyGBdhIM9sH0aHic+xlWbEicNdL2+VepAOO88fLA70bKn5&#10;2R6chpTMJjvVry6+f88fL5NVzT3WWl9fzZsnEInm9GeGc32uDhV32oWDN1H0GlaPd+zUsMx50pnn&#10;ioUdg2wJsirl/wHVLwAAAP//AwBQSwECLQAUAAYACAAAACEAtoM4kv4AAADhAQAAEwAAAAAAAAAA&#10;AAAAAAAAAAAAW0NvbnRlbnRfVHlwZXNdLnhtbFBLAQItABQABgAIAAAAIQA4/SH/1gAAAJQBAAAL&#10;AAAAAAAAAAAAAAAAAC8BAABfcmVscy8ucmVsc1BLAQItABQABgAIAAAAIQBjnSoIlwEAABUDAAAO&#10;AAAAAAAAAAAAAAAAAC4CAABkcnMvZTJvRG9jLnhtbFBLAQItABQABgAIAAAAIQBTRcMl3AAAAAgB&#10;AAAPAAAAAAAAAAAAAAAAAPEDAABkcnMvZG93bnJldi54bWxQSwUGAAAAAAQABADzAAAA+gQAAAAA&#10;" filled="f" stroked="f">
                <v:textbox style="mso-fit-shape-to-text:t">
                  <w:txbxContent>
                    <w:p w:rsidR="00655C0E" w:rsidRPr="00655C0E" w:rsidRDefault="00655C0E" w:rsidP="00655C0E">
                      <w:pPr>
                        <w:pStyle w:val="NormalWeb"/>
                        <w:spacing w:before="0" w:beforeAutospacing="0" w:after="0" w:afterAutospacing="0"/>
                        <w:rPr>
                          <w:rFonts w:asciiTheme="minorHAnsi" w:hAnsiTheme="minorHAnsi" w:cstheme="minorHAnsi"/>
                          <w:sz w:val="18"/>
                        </w:rPr>
                      </w:pPr>
                      <w:r>
                        <w:rPr>
                          <w:rFonts w:asciiTheme="minorHAnsi" w:hAnsiTheme="minorHAnsi" w:cstheme="minorHAnsi"/>
                          <w:b/>
                          <w:bCs/>
                          <w:color w:val="000000" w:themeColor="text1"/>
                          <w:kern w:val="24"/>
                          <w:sz w:val="22"/>
                          <w:szCs w:val="32"/>
                        </w:rPr>
                        <w:t>NI</w:t>
                      </w:r>
                    </w:p>
                  </w:txbxContent>
                </v:textbox>
              </v:shape>
            </w:pict>
          </mc:Fallback>
        </mc:AlternateContent>
      </w:r>
      <w:r w:rsidRPr="00655C0E">
        <w:rPr>
          <w:noProof/>
          <w:lang w:eastAsia="en-GB"/>
        </w:rPr>
        <mc:AlternateContent>
          <mc:Choice Requires="wps">
            <w:drawing>
              <wp:anchor distT="0" distB="0" distL="114300" distR="114300" simplePos="0" relativeHeight="251702272" behindDoc="0" locked="0" layoutInCell="1" allowOverlap="1" wp14:anchorId="6C58676D" wp14:editId="1684B2DE">
                <wp:simplePos x="0" y="0"/>
                <wp:positionH relativeFrom="column">
                  <wp:posOffset>3452719</wp:posOffset>
                </wp:positionH>
                <wp:positionV relativeFrom="paragraph">
                  <wp:posOffset>267335</wp:posOffset>
                </wp:positionV>
                <wp:extent cx="527124" cy="338554"/>
                <wp:effectExtent l="0" t="0" r="0" b="0"/>
                <wp:wrapNone/>
                <wp:docPr id="12" name="TextBox 3"/>
                <wp:cNvGraphicFramePr/>
                <a:graphic xmlns:a="http://schemas.openxmlformats.org/drawingml/2006/main">
                  <a:graphicData uri="http://schemas.microsoft.com/office/word/2010/wordprocessingShape">
                    <wps:wsp>
                      <wps:cNvSpPr txBox="1"/>
                      <wps:spPr>
                        <a:xfrm>
                          <a:off x="0" y="0"/>
                          <a:ext cx="527124" cy="338554"/>
                        </a:xfrm>
                        <a:prstGeom prst="rect">
                          <a:avLst/>
                        </a:prstGeom>
                        <a:noFill/>
                      </wps:spPr>
                      <wps:txbx>
                        <w:txbxContent>
                          <w:p w:rsidR="00655C0E" w:rsidRPr="00655C0E" w:rsidRDefault="00655C0E" w:rsidP="00655C0E">
                            <w:pPr>
                              <w:pStyle w:val="NormalWeb"/>
                              <w:spacing w:before="0" w:beforeAutospacing="0" w:after="0" w:afterAutospacing="0"/>
                              <w:rPr>
                                <w:rFonts w:asciiTheme="minorHAnsi" w:hAnsiTheme="minorHAnsi" w:cstheme="minorHAnsi"/>
                                <w:sz w:val="18"/>
                              </w:rPr>
                            </w:pPr>
                            <w:r w:rsidRPr="00655C0E">
                              <w:rPr>
                                <w:rFonts w:asciiTheme="minorHAnsi" w:hAnsiTheme="minorHAnsi" w:cstheme="minorHAnsi"/>
                                <w:b/>
                                <w:bCs/>
                                <w:color w:val="000000" w:themeColor="text1"/>
                                <w:kern w:val="24"/>
                                <w:sz w:val="22"/>
                                <w:szCs w:val="32"/>
                              </w:rPr>
                              <w:t>WO</w:t>
                            </w:r>
                          </w:p>
                        </w:txbxContent>
                      </wps:txbx>
                      <wps:bodyPr wrap="square" rtlCol="0">
                        <a:spAutoFit/>
                      </wps:bodyPr>
                    </wps:wsp>
                  </a:graphicData>
                </a:graphic>
                <wp14:sizeRelH relativeFrom="margin">
                  <wp14:pctWidth>0</wp14:pctWidth>
                </wp14:sizeRelH>
              </wp:anchor>
            </w:drawing>
          </mc:Choice>
          <mc:Fallback>
            <w:pict>
              <v:shape w14:anchorId="6C58676D" id="_x0000_s1037" type="#_x0000_t202" style="position:absolute;margin-left:271.85pt;margin-top:21.05pt;width:41.5pt;height:26.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MjlgEAABUDAAAOAAAAZHJzL2Uyb0RvYy54bWysUsGO0zAQvSPxD5bvNG26hVXUdAWslgsC&#10;pF0+wHXsxlLsMTNuk/49Y6fbXcENcRnbM+Pn9954ezf5QZwMkoPQytViKYUJGjoXDq38+fTw7lYK&#10;Sip0aoBgWnk2JO92b99sx9iYGnoYOoOCQQI1Y2xln1Jsqop0b7yiBUQTuGgBvUp8xEPVoRoZ3Q9V&#10;vVy+r0bALiJoQ8TZ+7kodwXfWqPTd2vJJDG0krmlErHEfY7VbquaA6rYO32hof6BhVcu8KNXqHuV&#10;lDii+wvKO41AYNNCg6/AWqdN0cBqVss/1Dz2Kpqihc2heLWJ/h+s/nb6gcJ1PLtaiqA8z+jJTOkT&#10;TGKd3RkjNdz0GLktTZzmzuc8cTKLniz6vLIcwXX2+Xz1lrGE5uSm/rCqb6TQXFqvbzebm4xSvVyO&#10;SOmLAS/yppXIoyuOqtNXSnPrc0t+K8CDG4aczwxnJnmXpv0067nS3EN3ZvYjT7mV9Ouo0EiBafgM&#10;5VNkNIofj4kRy0MZZr5zQWfvC9XLP8nDfX0uXS+/efcbAAD//wMAUEsDBBQABgAIAAAAIQCdk2cA&#10;3gAAAAkBAAAPAAAAZHJzL2Rvd25yZXYueG1sTI9NT4NAEIbvJv6HzZh4swsI2CJL0/iReOjFivct&#10;OwKRnSXsttB/73jS48w8eed5y+1iB3HGyfeOFMSrCARS40xPrYL64/VuDcIHTUYPjlDBBT1sq+ur&#10;UhfGzfSO50NoBYeQL7SCLoSxkNI3HVrtV25E4tuXm6wOPE6tNJOeOdwOMomiXFrdE3/o9IhPHTbf&#10;h5NVEILZxZf6xfq3z2X/PHdRk+laqdubZfcIIuAS/mD41Wd1qNjp6E5kvBgUZOn9A6MK0iQGwUCe&#10;5Lw4KthkKciqlP8bVD8AAAD//wMAUEsBAi0AFAAGAAgAAAAhALaDOJL+AAAA4QEAABMAAAAAAAAA&#10;AAAAAAAAAAAAAFtDb250ZW50X1R5cGVzXS54bWxQSwECLQAUAAYACAAAACEAOP0h/9YAAACUAQAA&#10;CwAAAAAAAAAAAAAAAAAvAQAAX3JlbHMvLnJlbHNQSwECLQAUAAYACAAAACEAOaoTI5YBAAAVAwAA&#10;DgAAAAAAAAAAAAAAAAAuAgAAZHJzL2Uyb0RvYy54bWxQSwECLQAUAAYACAAAACEAnZNnAN4AAAAJ&#10;AQAADwAAAAAAAAAAAAAAAADwAwAAZHJzL2Rvd25yZXYueG1sUEsFBgAAAAAEAAQA8wAAAPsEAAAA&#10;AA==&#10;" filled="f" stroked="f">
                <v:textbox style="mso-fit-shape-to-text:t">
                  <w:txbxContent>
                    <w:p w:rsidR="00655C0E" w:rsidRPr="00655C0E" w:rsidRDefault="00655C0E" w:rsidP="00655C0E">
                      <w:pPr>
                        <w:pStyle w:val="NormalWeb"/>
                        <w:spacing w:before="0" w:beforeAutospacing="0" w:after="0" w:afterAutospacing="0"/>
                        <w:rPr>
                          <w:rFonts w:asciiTheme="minorHAnsi" w:hAnsiTheme="minorHAnsi" w:cstheme="minorHAnsi"/>
                          <w:sz w:val="18"/>
                        </w:rPr>
                      </w:pPr>
                      <w:r w:rsidRPr="00655C0E">
                        <w:rPr>
                          <w:rFonts w:asciiTheme="minorHAnsi" w:hAnsiTheme="minorHAnsi" w:cstheme="minorHAnsi"/>
                          <w:b/>
                          <w:bCs/>
                          <w:color w:val="000000" w:themeColor="text1"/>
                          <w:kern w:val="24"/>
                          <w:sz w:val="22"/>
                          <w:szCs w:val="32"/>
                        </w:rPr>
                        <w:t>WO</w:t>
                      </w:r>
                    </w:p>
                  </w:txbxContent>
                </v:textbox>
              </v:shape>
            </w:pict>
          </mc:Fallback>
        </mc:AlternateContent>
      </w:r>
      <w:r>
        <w:rPr>
          <w:b/>
          <w:i/>
          <w:noProof/>
          <w:lang w:eastAsia="en-GB"/>
        </w:rPr>
        <w:drawing>
          <wp:anchor distT="0" distB="0" distL="114300" distR="114300" simplePos="0" relativeHeight="251698176" behindDoc="0" locked="0" layoutInCell="1" allowOverlap="1" wp14:anchorId="0A5F38B2" wp14:editId="020ECABA">
            <wp:simplePos x="0" y="0"/>
            <wp:positionH relativeFrom="column">
              <wp:posOffset>20955</wp:posOffset>
            </wp:positionH>
            <wp:positionV relativeFrom="paragraph">
              <wp:posOffset>241935</wp:posOffset>
            </wp:positionV>
            <wp:extent cx="3813175" cy="2499995"/>
            <wp:effectExtent l="0" t="0" r="0" b="0"/>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175" cy="2499995"/>
                    </a:xfrm>
                    <a:prstGeom prst="rect">
                      <a:avLst/>
                    </a:prstGeom>
                    <a:noFill/>
                  </pic:spPr>
                </pic:pic>
              </a:graphicData>
            </a:graphic>
            <wp14:sizeRelH relativeFrom="page">
              <wp14:pctWidth>0</wp14:pctWidth>
            </wp14:sizeRelH>
            <wp14:sizeRelV relativeFrom="page">
              <wp14:pctHeight>0</wp14:pctHeight>
            </wp14:sizeRelV>
          </wp:anchor>
        </w:drawing>
      </w:r>
    </w:p>
    <w:p w:rsidR="00655C0E" w:rsidRDefault="00655C0E" w:rsidP="00655C0E"/>
    <w:p w:rsidR="00655C0E" w:rsidRDefault="00655C0E" w:rsidP="00655C0E"/>
    <w:p w:rsidR="00655C0E" w:rsidRDefault="00655C0E" w:rsidP="00655C0E">
      <w:pPr>
        <w:jc w:val="both"/>
        <w:sectPr w:rsidR="00655C0E" w:rsidSect="002040E9">
          <w:type w:val="continuous"/>
          <w:pgSz w:w="11906" w:h="16838"/>
          <w:pgMar w:top="1440" w:right="1440" w:bottom="1440" w:left="1440" w:header="708" w:footer="708" w:gutter="0"/>
          <w:cols w:space="708"/>
          <w:docGrid w:linePitch="360"/>
        </w:sectPr>
      </w:pPr>
    </w:p>
    <w:p w:rsidR="00655C0E" w:rsidRDefault="00655C0E" w:rsidP="00655C0E">
      <w:pPr>
        <w:jc w:val="both"/>
      </w:pPr>
      <w:r>
        <w:t xml:space="preserve"> Furthermore, performing a co-localization experiment via proximity labelling techniques</w:t>
      </w:r>
      <w:r w:rsidRPr="00EB279A">
        <w:t xml:space="preserve"> would allow</w:t>
      </w:r>
      <w:r>
        <w:t xml:space="preserve"> us to identify</w:t>
      </w:r>
      <w:r w:rsidRPr="00EB279A">
        <w:t xml:space="preserve"> </w:t>
      </w:r>
      <w:r>
        <w:t>tau</w:t>
      </w:r>
      <w:r w:rsidRPr="00EB279A">
        <w:t xml:space="preserve"> interactions</w:t>
      </w:r>
      <w:r>
        <w:t xml:space="preserve"> with other proteins</w:t>
      </w:r>
      <w:r w:rsidRPr="00EB279A">
        <w:t xml:space="preserve"> in </w:t>
      </w:r>
      <w:r>
        <w:t>its</w:t>
      </w:r>
      <w:r w:rsidRPr="00EB279A">
        <w:t xml:space="preserve"> natural cellular environment.</w:t>
      </w:r>
      <w:r>
        <w:t xml:space="preserve"> It would be interesting to perform the similar experiments without the endogenous expression of </w:t>
      </w:r>
      <w:r w:rsidRPr="002A0431">
        <w:rPr>
          <w:i/>
        </w:rPr>
        <w:t>drosophila</w:t>
      </w:r>
      <w:r>
        <w:t xml:space="preserve"> and chicken tau and with the hTauWT/V337M-GFP added and compare the results with our </w:t>
      </w:r>
      <w:r w:rsidR="00DF6825">
        <w:t>current</w:t>
      </w:r>
      <w:r>
        <w:t xml:space="preserve"> experiment</w:t>
      </w:r>
      <w:r w:rsidR="00DF6825">
        <w:t>s</w:t>
      </w:r>
      <w:r>
        <w:t xml:space="preserve">. </w:t>
      </w:r>
    </w:p>
    <w:p w:rsidR="00655C0E" w:rsidRDefault="00655C0E" w:rsidP="00655C0E">
      <w:pPr>
        <w:tabs>
          <w:tab w:val="left" w:pos="2922"/>
        </w:tabs>
        <w:jc w:val="both"/>
      </w:pPr>
      <w:r>
        <w:t xml:space="preserve">Mice models using V337M mutations in FTD have been performed </w:t>
      </w:r>
      <w:r>
        <w:fldChar w:fldCharType="begin" w:fldLock="1"/>
      </w:r>
      <w:r w:rsidR="003B67B0">
        <w:instrText>ADDIN CSL_CITATION { "citationItems" : [ { "id" : "ITEM-1", "itemData" : { "DOI" : "22/1/133 [pii]", "ISBN" : "1529-2401 (Electronic)", "ISSN" : "1529-2401", "PMID" : "11756496", "abstract" : "Formation of neurofibrillary tangles (NFTs) is a common neuropathological feature found in several neurodegenerative diseases, including Alzheimer's disease. We have developed a transgenic (Tg) mouse expressing mutant human tau (V337M), derived from frontotemporal dementia parkinsonism-17. V337M Tg mice revealed tau aggregations in the hippocampus, which fulfills the histological criteria for NFTs in human neurodegenerative diseases. Concurrent with the accumulation of RNA and phosphorylated tau, neurons exhibited morphological characteristics of degenerating neurons, which include a loss of microtubules, accumulation of ribosomes, plasma and nuclear membrane ruffling, and swelling of the Golgi network. Thus, mutant tau induces neuronal degeneration associated with the accumulation of RNA and phosphorylated tau. The functional consequences of this neuronal degeneration was evidenced by the reduction of hippocampal neural activity and behavioral abnormality in Tg mice.", "author" : [ { "dropping-particle" : "", "family" : "Tanemura", "given" : "Kentaro", "non-dropping-particle" : "", "parse-names" : false, "suffix" : "" }, { "dropping-particle" : "", "family" : "Murayama", "given" : "Miyuki", "non-dropping-particle" : "", "parse-names" : false, "suffix" : "" }, { "dropping-particle" : "", "family" : "Akagi", "given" : "Takumi", "non-dropping-particle" : "", "parse-names" : false, "suffix" : "" }, { "dropping-particle" : "", "family" : "Hashikawa", "given" : "Tsutomu", "non-dropping-particle" : "", "parse-names" : false, "suffix" : "" }, { "dropping-particle" : "", "family" : "Tominaga", "given" : "Takashi", "non-dropping-particle" : "", "parse-names" : false, "suffix" : "" }, { "dropping-particle" : "", "family" : "Ichikawa", "given" : "Michinori", "non-dropping-particle" : "", "parse-names" : false, "suffix" : "" }, { "dropping-particle" : "", "family" : "Yamaguchi", "given" : "Haruyasu", "non-dropping-particle" : "", "parse-names" : false, "suffix" : "" }, { "dropping-particle" : "", "family" : "Takashima", "given" : "Akihiko", "non-dropping-particle" : "", "parse-names" : false, "suffix" : "" } ], "container-title" : "The Journal of neuroscience : the official journal of the Society for Neuroscience", "id" : "ITEM-1", "issue" : "1", "issued" : { "date-parts" : [ [ "2002" ] ] }, "page" : "133-141", "title" : "Neurodegeneration with tau accumulation in a transgenic mouse expressing V337M human tau.", "type" : "article-journal", "volume" : "22" }, "uris" : [ "http://www.mendeley.com/documents/?uuid=c052e3b1-58d4-46c7-bfb4-169b60c78028" ] }, { "id" : "ITEM-2", "itemData" : { "DOI" : "10.1006/nbdi.2001.0439", "ISBN" : "0969-9961 (Print)\\r0969-9961 (Linking)", "ISSN" : "0969-9961", "PMID" : "11741399", "abstract" : "Formation of neurofibrillary tangles (NFTs) is the most common feature in several neurodegenerative diseases, including Alzheimer's disease (AD). Here we report the formation of filamentous tau aggregations having a beta-sheet structure in transgenic mice expressing mutant human tau. These mice contain a tau gene with a mutation of the frontotemporal dementia parkinsonism (FTDP-17) type, in which valine is substituted with methionine residue 337. The aggregation of tau in these transgenic mice satisfies all histological criteria used to identify NFTs common to human neurodegenerative diseases. These mice, therefore, provide a preclinical model for the testing of therapeutic drugs for the treatment of neurodegenerative disorders that exhibit NFTs.", "author" : [ { "dropping-particle" : "", "family" : "Tanemura", "given" : "K", "non-dropping-particle" : "", "parse-names" : false, "suffix" : "" }, { "dropping-particle" : "", "family" : "Akagi", "given" : "T", "non-dropping-particle" : "", "parse-names" : false, "suffix" : "" }, { "dropping-particle" : "", "family" : "Murayama", "given" : "M", "non-dropping-particle" : "", "parse-names" : false, "suffix" : "" }, { "dropping-particle" : "", "family" : "Kikuchi", "given" : "N", "non-dropping-particle" : "", "parse-names" : false, "suffix" : "" }, { "dropping-particle" : "", "family" : "Murayama", "given" : "O", "non-dropping-particle" : "", "parse-names" : false, "suffix" : "" }, { "dropping-particle" : "", "family" : "Hashikawa", "given" : "T", "non-dropping-particle" : "", "parse-names" : false, "suffix" : "" }, { "dropping-particle" : "", "family" : "Yoshiike", "given" : "Y", "non-dropping-particle" : "", "parse-names" : false, "suffix" : "" }, { "dropping-particle" : "", "family" : "Park", "given" : "J M", "non-dropping-particle" : "", "parse-names" : false, "suffix" : "" }, { "dropping-particle" : "", "family" : "Matsuda", "given" : "K", "non-dropping-particle" : "", "parse-names" : false, "suffix" : "" }, { "dropping-particle" : "", "family" : "Nakao", "given" : "S", "non-dropping-particle" : "", "parse-names" : false, "suffix" : "" }, { "dropping-particle" : "", "family" : "Sun", "given" : "X", "non-dropping-particle" : "", "parse-names" : false, "suffix" : "" }, { "dropping-particle" : "", "family" : "Sato", "given" : "S", "non-dropping-particle" : "", "parse-names" : false, "suffix" : "" }, { "dropping-particle" : "", "family" : "Yamaguchi", "given" : "H", "non-dropping-particle" : "", "parse-names" : false, "suffix" : "" }, { "dropping-particle" : "", "family" : "Takashima", "given" : "a", "non-dropping-particle" : "", "parse-names" : false, "suffix" : "" } ], "container-title" : "Neurobiology of disease", "id" : "ITEM-2", "issue" : "6", "issued" : { "date-parts" : [ [ "2001" ] ] }, "page" : "1036-1045", "title" : "Formation of filamentous tau aggregations in transgenic mice expressing V337M human tau.", "type" : "article-journal", "volume" : "8" }, "uris" : [ "http://www.mendeley.com/documents/?uuid=6d65f99e-0670-4524-a4fb-e1958cf145e2" ] } ], "mendeley" : { "formattedCitation" : "[23,24]", "plainTextFormattedCitation" : "[23,24]", "previouslyFormattedCitation" : "[23,24]" }, "properties" : { "noteIndex" : 0 }, "schema" : "https://github.com/citation-style-language/schema/raw/master/csl-citation.json" }</w:instrText>
      </w:r>
      <w:r>
        <w:fldChar w:fldCharType="separate"/>
      </w:r>
      <w:r w:rsidRPr="007855E6">
        <w:rPr>
          <w:noProof/>
        </w:rPr>
        <w:t>[23,24]</w:t>
      </w:r>
      <w:r>
        <w:fldChar w:fldCharType="end"/>
      </w:r>
      <w:r>
        <w:t>, however none of the current research has been looking at the single neuronal phenotypical changes. Performing the experiments described above to a mouse neuronal cell culture would allow increase our confidence that the results shown to date are representative of other vertebrate models and may be translated to human pathology</w:t>
      </w:r>
    </w:p>
    <w:p w:rsidR="00655C0E" w:rsidRPr="005618F8" w:rsidRDefault="00655C0E" w:rsidP="00655C0E">
      <w:pPr>
        <w:jc w:val="both"/>
      </w:pPr>
      <w:r>
        <w:t xml:space="preserve">Although both our experiments exhibit quite a distinctive phenotype, there are certain limitations to consider. Firstly, in the </w:t>
      </w:r>
      <w:r w:rsidRPr="00D569D8">
        <w:rPr>
          <w:i/>
        </w:rPr>
        <w:t xml:space="preserve">drosophila </w:t>
      </w:r>
      <w:r>
        <w:t>cultures, the geno</w:t>
      </w:r>
      <w:r w:rsidR="00DF6825">
        <w:t>me integration of the UAS-</w:t>
      </w:r>
      <w:proofErr w:type="spellStart"/>
      <w:r w:rsidR="00DF6825">
        <w:t>hTauWT</w:t>
      </w:r>
      <w:bookmarkStart w:id="0" w:name="_GoBack"/>
      <w:bookmarkEnd w:id="0"/>
      <w:proofErr w:type="spellEnd"/>
      <w:r>
        <w:t xml:space="preserve">/V337M is random, which allows a different expression level between the two groups. This limitation is also present in the chicken experiments as each neuron that was transfected could have uptake different </w:t>
      </w:r>
      <w:r>
        <w:t xml:space="preserve">amounts of the plasmid, which also would generate changes in expression of the human tau. This issue could be minimalized by performing a qPCR and/or Western Blotting experiments to verify approximately if such differences in expression are significant. Additionally, performing several more experiments using different crosses and normalize the results would attenuate further any differences between the levels of tau expression. Another factor to consider is that experiments performed were analysed after 6-7 days, however the effects on neurodegeneration require longer for </w:t>
      </w:r>
      <w:r w:rsidR="00DF6825">
        <w:t>chicken</w:t>
      </w:r>
      <w:r>
        <w:t xml:space="preserve"> neurons than </w:t>
      </w:r>
      <w:r w:rsidRPr="005618F8">
        <w:rPr>
          <w:i/>
        </w:rPr>
        <w:t>drosophila</w:t>
      </w:r>
      <w:r>
        <w:t xml:space="preserve">. Consequently, repeating the chicken neuronal cultures for a longer </w:t>
      </w:r>
      <w:proofErr w:type="gramStart"/>
      <w:r>
        <w:t>period of time</w:t>
      </w:r>
      <w:proofErr w:type="gramEnd"/>
      <w:r>
        <w:t xml:space="preserve"> would allow a better quantification of the level of degeneration seen.  Finally, improvements could be made in the generation of the </w:t>
      </w:r>
      <w:proofErr w:type="spellStart"/>
      <w:r>
        <w:t>pUAST-attB</w:t>
      </w:r>
      <w:proofErr w:type="spellEnd"/>
      <w:r>
        <w:t xml:space="preserve"> plasmid containing the hTauWT/V337M sequence. To obtain a higher rate of successful integration of the insert into the plasmid, the ligation step could be left overnight. Changing the ration of the insert to vector in the ligation may increase the ratio of integration. Although we cannot impede the insert to ligate in both directions, by raising the ligation rate we also increase the probability of obtaining a positive clone in the right orientation.  </w:t>
      </w:r>
    </w:p>
    <w:p w:rsidR="003B67B0" w:rsidRDefault="003B67B0" w:rsidP="003B67B0">
      <w:pPr>
        <w:jc w:val="both"/>
        <w:sectPr w:rsidR="003B67B0" w:rsidSect="00655C0E">
          <w:type w:val="continuous"/>
          <w:pgSz w:w="11906" w:h="16838"/>
          <w:pgMar w:top="1440" w:right="1440" w:bottom="1440" w:left="1440" w:header="708" w:footer="708" w:gutter="0"/>
          <w:cols w:num="2" w:space="708"/>
          <w:docGrid w:linePitch="360"/>
        </w:sectPr>
      </w:pPr>
    </w:p>
    <w:p w:rsidR="00655C0E" w:rsidRDefault="00655C0E" w:rsidP="003B67B0">
      <w:pPr>
        <w:jc w:val="both"/>
        <w:rPr>
          <w:b/>
        </w:rPr>
      </w:pPr>
      <w:r>
        <w:lastRenderedPageBreak/>
        <w:t xml:space="preserve"> </w:t>
      </w:r>
      <w:r w:rsidRPr="007855E6">
        <w:rPr>
          <w:b/>
        </w:rPr>
        <w:t>Conclusion</w:t>
      </w:r>
    </w:p>
    <w:p w:rsidR="00655C0E" w:rsidRDefault="00655C0E" w:rsidP="003B67B0">
      <w:pPr>
        <w:jc w:val="both"/>
        <w:sectPr w:rsidR="00655C0E" w:rsidSect="003B67B0">
          <w:type w:val="continuous"/>
          <w:pgSz w:w="11906" w:h="16838"/>
          <w:pgMar w:top="1440" w:right="1440" w:bottom="1440" w:left="1440" w:header="708" w:footer="708" w:gutter="0"/>
          <w:cols w:num="2" w:space="708"/>
          <w:docGrid w:linePitch="360"/>
        </w:sectPr>
      </w:pPr>
    </w:p>
    <w:p w:rsidR="00655C0E" w:rsidRPr="00FC5575" w:rsidRDefault="00655C0E" w:rsidP="003B67B0">
      <w:pPr>
        <w:jc w:val="both"/>
      </w:pPr>
      <w:r>
        <w:t xml:space="preserve">In this report, we have tried to answer a serial of questions related to the function and localization of V337M tau proteins and the mechanisms behind how it promotes neurodegeneration. We have successfully demonstrated that the mutated tau protein does go along the axons and dendrites and is binding to microtubules, however several questions remain to be answered. Acquiring a better understanding of how this mutation induces cell toxicity and degeneration is the first step towards a future therapy design for familial cases of V337M FTD cases. </w:t>
      </w:r>
    </w:p>
    <w:p w:rsidR="00655C0E" w:rsidRDefault="00655C0E" w:rsidP="003B67B0">
      <w:pPr>
        <w:tabs>
          <w:tab w:val="left" w:pos="2922"/>
        </w:tabs>
        <w:jc w:val="both"/>
        <w:rPr>
          <w:b/>
        </w:rPr>
      </w:pPr>
      <w:r w:rsidRPr="00655C0E">
        <w:rPr>
          <w:b/>
        </w:rPr>
        <w:t xml:space="preserve">Acknowledgments </w:t>
      </w:r>
    </w:p>
    <w:p w:rsidR="00655C0E" w:rsidRDefault="00655C0E" w:rsidP="003B67B0">
      <w:pPr>
        <w:tabs>
          <w:tab w:val="left" w:pos="2922"/>
        </w:tabs>
        <w:jc w:val="both"/>
      </w:pPr>
      <w:r>
        <w:t xml:space="preserve">I would like to thank Dr Natalia Sanchez and Dr </w:t>
      </w:r>
      <w:r w:rsidR="00BC0E35">
        <w:t xml:space="preserve">Pilar Okenve for their help and support throughout this project. </w:t>
      </w:r>
    </w:p>
    <w:p w:rsidR="00BC0E35" w:rsidRDefault="00BC0E35" w:rsidP="003B67B0">
      <w:pPr>
        <w:tabs>
          <w:tab w:val="left" w:pos="2922"/>
        </w:tabs>
        <w:jc w:val="both"/>
        <w:rPr>
          <w:b/>
        </w:rPr>
      </w:pPr>
      <w:r w:rsidRPr="00BC0E35">
        <w:rPr>
          <w:b/>
        </w:rPr>
        <w:t>References</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Pr>
          <w:b/>
        </w:rPr>
        <w:fldChar w:fldCharType="begin" w:fldLock="1"/>
      </w:r>
      <w:r>
        <w:rPr>
          <w:b/>
        </w:rPr>
        <w:instrText xml:space="preserve">ADDIN Mendeley Bibliography CSL_BIBLIOGRAPHY </w:instrText>
      </w:r>
      <w:r>
        <w:rPr>
          <w:b/>
        </w:rPr>
        <w:fldChar w:fldCharType="separate"/>
      </w:r>
      <w:r w:rsidRPr="003B67B0">
        <w:rPr>
          <w:rFonts w:ascii="Calibri" w:hAnsi="Calibri" w:cs="Calibri"/>
          <w:noProof/>
          <w:szCs w:val="24"/>
        </w:rPr>
        <w:t xml:space="preserve">1 </w:t>
      </w:r>
      <w:r w:rsidRPr="003B67B0">
        <w:rPr>
          <w:rFonts w:ascii="Calibri" w:hAnsi="Calibri" w:cs="Calibri"/>
          <w:noProof/>
          <w:szCs w:val="24"/>
        </w:rPr>
        <w:tab/>
        <w:t xml:space="preserve">Boxer, A. L. and Miller, B. L. (2005) Clinical features of frontotemporal dementia. Alzheimer Dis. Assoc. Disord. </w:t>
      </w:r>
      <w:r w:rsidRPr="003B67B0">
        <w:rPr>
          <w:rFonts w:ascii="Calibri" w:hAnsi="Calibri" w:cs="Calibri"/>
          <w:b/>
          <w:bCs/>
          <w:noProof/>
          <w:szCs w:val="24"/>
        </w:rPr>
        <w:t>19 Suppl 1</w:t>
      </w:r>
      <w:r w:rsidRPr="003B67B0">
        <w:rPr>
          <w:rFonts w:ascii="Calibri" w:hAnsi="Calibri" w:cs="Calibri"/>
          <w:noProof/>
          <w:szCs w:val="24"/>
        </w:rPr>
        <w:t>, S3–S6.</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2 </w:t>
      </w:r>
      <w:r w:rsidRPr="003B67B0">
        <w:rPr>
          <w:rFonts w:ascii="Calibri" w:hAnsi="Calibri" w:cs="Calibri"/>
          <w:noProof/>
          <w:szCs w:val="24"/>
        </w:rPr>
        <w:tab/>
        <w:t xml:space="preserve">SNOWDEN, J. S. (2002) Frontotemporal dementia. Br. J. Psychiatry </w:t>
      </w:r>
      <w:r w:rsidRPr="003B67B0">
        <w:rPr>
          <w:rFonts w:ascii="Calibri" w:hAnsi="Calibri" w:cs="Calibri"/>
          <w:b/>
          <w:bCs/>
          <w:noProof/>
          <w:szCs w:val="24"/>
        </w:rPr>
        <w:t>180</w:t>
      </w:r>
      <w:r w:rsidRPr="003B67B0">
        <w:rPr>
          <w:rFonts w:ascii="Calibri" w:hAnsi="Calibri" w:cs="Calibri"/>
          <w:noProof/>
          <w:szCs w:val="24"/>
        </w:rPr>
        <w:t>, 140–143.</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3 </w:t>
      </w:r>
      <w:r w:rsidRPr="003B67B0">
        <w:rPr>
          <w:rFonts w:ascii="Calibri" w:hAnsi="Calibri" w:cs="Calibri"/>
          <w:noProof/>
          <w:szCs w:val="24"/>
        </w:rPr>
        <w:tab/>
        <w:t>Goedert, M. and Spillantini, M. G. (2011) Pathogenesis of the tauopathies. In Journal of Molecular Neuroscience, pp 425–431.</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4 </w:t>
      </w:r>
      <w:r w:rsidRPr="003B67B0">
        <w:rPr>
          <w:rFonts w:ascii="Calibri" w:hAnsi="Calibri" w:cs="Calibri"/>
          <w:noProof/>
          <w:szCs w:val="24"/>
        </w:rPr>
        <w:tab/>
        <w:t xml:space="preserve">Gauthier-Kemper, A., Weissmann, C., Golovyashkina, N., Sebö-Lemke, Z., Drewes, G., Gerke, V., Heinisch, J. J. and Brandt, R. (2011) The frontotemporal dementia mutation R406W blocks tau’s interaction with the membrane in an annexin A2-dependent manner. J. Cell Biol. </w:t>
      </w:r>
      <w:r w:rsidRPr="003B67B0">
        <w:rPr>
          <w:rFonts w:ascii="Calibri" w:hAnsi="Calibri" w:cs="Calibri"/>
          <w:b/>
          <w:bCs/>
          <w:noProof/>
          <w:szCs w:val="24"/>
        </w:rPr>
        <w:t>192</w:t>
      </w:r>
      <w:r w:rsidRPr="003B67B0">
        <w:rPr>
          <w:rFonts w:ascii="Calibri" w:hAnsi="Calibri" w:cs="Calibri"/>
          <w:noProof/>
          <w:szCs w:val="24"/>
        </w:rPr>
        <w:t>, 647–661.</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5 </w:t>
      </w:r>
      <w:r w:rsidRPr="003B67B0">
        <w:rPr>
          <w:rFonts w:ascii="Calibri" w:hAnsi="Calibri" w:cs="Calibri"/>
          <w:noProof/>
          <w:szCs w:val="24"/>
        </w:rPr>
        <w:tab/>
        <w:t>Noble, W., Hanger, D. P., Miller, C. C. J. and Lovestone, S. (2013) The importance of tau phosphorylation for neurodegenerative diseases. Front. Neurol.</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6 </w:t>
      </w:r>
      <w:r w:rsidRPr="003B67B0">
        <w:rPr>
          <w:rFonts w:ascii="Calibri" w:hAnsi="Calibri" w:cs="Calibri"/>
          <w:noProof/>
          <w:szCs w:val="24"/>
        </w:rPr>
        <w:tab/>
        <w:t xml:space="preserve">Dixit, R., Ross, J. L., Goldman, Y. E. and </w:t>
      </w:r>
      <w:r w:rsidRPr="003B67B0">
        <w:rPr>
          <w:rFonts w:ascii="Calibri" w:hAnsi="Calibri" w:cs="Calibri"/>
          <w:noProof/>
          <w:szCs w:val="24"/>
        </w:rPr>
        <w:t xml:space="preserve">Holzbaur, E. L. F. (2008) Differential Regulation of Dynein and Kinesin Motor Proteins by Tau. Science (80-. ). </w:t>
      </w:r>
      <w:r w:rsidRPr="003B67B0">
        <w:rPr>
          <w:rFonts w:ascii="Calibri" w:hAnsi="Calibri" w:cs="Calibri"/>
          <w:b/>
          <w:bCs/>
          <w:noProof/>
          <w:szCs w:val="24"/>
        </w:rPr>
        <w:t>319</w:t>
      </w:r>
      <w:r w:rsidRPr="003B67B0">
        <w:rPr>
          <w:rFonts w:ascii="Calibri" w:hAnsi="Calibri" w:cs="Calibri"/>
          <w:noProof/>
          <w:szCs w:val="24"/>
        </w:rPr>
        <w:t>, 1086–1089.</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7 </w:t>
      </w:r>
      <w:r w:rsidRPr="003B67B0">
        <w:rPr>
          <w:rFonts w:ascii="Calibri" w:hAnsi="Calibri" w:cs="Calibri"/>
          <w:noProof/>
          <w:szCs w:val="24"/>
        </w:rPr>
        <w:tab/>
        <w:t xml:space="preserve">Jaworski, J., Kapitein, L. C., Gouveia, S. M., Dortland, B. R., Wulf, P. S., Grigoriev, I., Camera, P., Spangler, S. A., Di Stefano, P., Demmers, J., et al. (2009) Dynamic Microtubules Regulate Dendritic Spine Morphology and Synaptic Plasticity. Neuron </w:t>
      </w:r>
      <w:r w:rsidRPr="003B67B0">
        <w:rPr>
          <w:rFonts w:ascii="Calibri" w:hAnsi="Calibri" w:cs="Calibri"/>
          <w:b/>
          <w:bCs/>
          <w:noProof/>
          <w:szCs w:val="24"/>
        </w:rPr>
        <w:t>61</w:t>
      </w:r>
      <w:r w:rsidRPr="003B67B0">
        <w:rPr>
          <w:rFonts w:ascii="Calibri" w:hAnsi="Calibri" w:cs="Calibri"/>
          <w:noProof/>
          <w:szCs w:val="24"/>
        </w:rPr>
        <w:t>, 85–100.</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8 </w:t>
      </w:r>
      <w:r w:rsidRPr="003B67B0">
        <w:rPr>
          <w:rFonts w:ascii="Calibri" w:hAnsi="Calibri" w:cs="Calibri"/>
          <w:noProof/>
          <w:szCs w:val="24"/>
        </w:rPr>
        <w:tab/>
        <w:t xml:space="preserve">Tackenberg, C. and Brandt, R. (2009) Divergent Pathways Mediate Spine Alterations and Cell Death Induced by Amyloid- , Wild-Type Tau, and R406W Tau. J. Neurosci. </w:t>
      </w:r>
      <w:r w:rsidRPr="003B67B0">
        <w:rPr>
          <w:rFonts w:ascii="Calibri" w:hAnsi="Calibri" w:cs="Calibri"/>
          <w:b/>
          <w:bCs/>
          <w:noProof/>
          <w:szCs w:val="24"/>
        </w:rPr>
        <w:t>29</w:t>
      </w:r>
      <w:r w:rsidRPr="003B67B0">
        <w:rPr>
          <w:rFonts w:ascii="Calibri" w:hAnsi="Calibri" w:cs="Calibri"/>
          <w:noProof/>
          <w:szCs w:val="24"/>
        </w:rPr>
        <w:t>, 14439–14450.</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9 </w:t>
      </w:r>
      <w:r w:rsidRPr="003B67B0">
        <w:rPr>
          <w:rFonts w:ascii="Calibri" w:hAnsi="Calibri" w:cs="Calibri"/>
          <w:noProof/>
          <w:szCs w:val="24"/>
        </w:rPr>
        <w:tab/>
        <w:t>Andreadis, A. (2012) Tau splicing and the intricacies of dementia. J. Cell. Physiol.</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10 </w:t>
      </w:r>
      <w:r w:rsidRPr="003B67B0">
        <w:rPr>
          <w:rFonts w:ascii="Calibri" w:hAnsi="Calibri" w:cs="Calibri"/>
          <w:noProof/>
          <w:szCs w:val="24"/>
        </w:rPr>
        <w:tab/>
        <w:t xml:space="preserve">Goedert, M. and Spillantini, M. G. (2006) A Century of Alzheimer’s Disease. Science (80-. ). </w:t>
      </w:r>
      <w:r w:rsidRPr="003B67B0">
        <w:rPr>
          <w:rFonts w:ascii="Calibri" w:hAnsi="Calibri" w:cs="Calibri"/>
          <w:b/>
          <w:bCs/>
          <w:noProof/>
          <w:szCs w:val="24"/>
        </w:rPr>
        <w:t>314</w:t>
      </w:r>
      <w:r w:rsidRPr="003B67B0">
        <w:rPr>
          <w:rFonts w:ascii="Calibri" w:hAnsi="Calibri" w:cs="Calibri"/>
          <w:noProof/>
          <w:szCs w:val="24"/>
        </w:rPr>
        <w:t>, 777–781.</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11 </w:t>
      </w:r>
      <w:r w:rsidRPr="003B67B0">
        <w:rPr>
          <w:rFonts w:ascii="Calibri" w:hAnsi="Calibri" w:cs="Calibri"/>
          <w:noProof/>
          <w:szCs w:val="24"/>
        </w:rPr>
        <w:tab/>
        <w:t xml:space="preserve">Drewes, G., Trinczek, B., Illenberger, S., Biernat, J., Schmitt-Ulms, G., Meyer, H. E., Mandelkow, E. M. and Mandelkow, E. (1995) Microtubule-associated protein/microtubule affinity-regulating kinase (p110mark): A novel protein kinase that regulates tau-microtubule interactions and dynamic instability by phosphorylation at the Alzheimer-specific site serine 262. J. Biol. Chem. </w:t>
      </w:r>
      <w:r w:rsidRPr="003B67B0">
        <w:rPr>
          <w:rFonts w:ascii="Calibri" w:hAnsi="Calibri" w:cs="Calibri"/>
          <w:b/>
          <w:bCs/>
          <w:noProof/>
          <w:szCs w:val="24"/>
        </w:rPr>
        <w:t>270</w:t>
      </w:r>
      <w:r w:rsidRPr="003B67B0">
        <w:rPr>
          <w:rFonts w:ascii="Calibri" w:hAnsi="Calibri" w:cs="Calibri"/>
          <w:noProof/>
          <w:szCs w:val="24"/>
        </w:rPr>
        <w:t>, 7679–7688.</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12 </w:t>
      </w:r>
      <w:r w:rsidRPr="003B67B0">
        <w:rPr>
          <w:rFonts w:ascii="Calibri" w:hAnsi="Calibri" w:cs="Calibri"/>
          <w:noProof/>
          <w:szCs w:val="24"/>
        </w:rPr>
        <w:tab/>
        <w:t>Hanger, D. P., Anderton, B. H. and Noble, W. (2009) Tau phosphorylation: the therapeutic challenge for neurodegenerative disease. Trends Mol. Med.</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13 </w:t>
      </w:r>
      <w:r w:rsidRPr="003B67B0">
        <w:rPr>
          <w:rFonts w:ascii="Calibri" w:hAnsi="Calibri" w:cs="Calibri"/>
          <w:noProof/>
          <w:szCs w:val="24"/>
        </w:rPr>
        <w:tab/>
        <w:t xml:space="preserve">Eidenmüller, J., Fath, T., Maas, T., Pool, M., Sontag, E. and Brandt, R. (2001) Phosphorylation-mimicking glutamate clusters in the proline-rich region are sufficient to simulate the functional deficiencies of hyperphosphorylated tau protein. Biochem. J. </w:t>
      </w:r>
      <w:r w:rsidRPr="003B67B0">
        <w:rPr>
          <w:rFonts w:ascii="Calibri" w:hAnsi="Calibri" w:cs="Calibri"/>
          <w:b/>
          <w:bCs/>
          <w:noProof/>
          <w:szCs w:val="24"/>
        </w:rPr>
        <w:t>357</w:t>
      </w:r>
      <w:r w:rsidRPr="003B67B0">
        <w:rPr>
          <w:rFonts w:ascii="Calibri" w:hAnsi="Calibri" w:cs="Calibri"/>
          <w:noProof/>
          <w:szCs w:val="24"/>
        </w:rPr>
        <w:t>, 759–67.</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lastRenderedPageBreak/>
        <w:t xml:space="preserve">14 </w:t>
      </w:r>
      <w:r w:rsidRPr="003B67B0">
        <w:rPr>
          <w:rFonts w:ascii="Calibri" w:hAnsi="Calibri" w:cs="Calibri"/>
          <w:noProof/>
          <w:szCs w:val="24"/>
        </w:rPr>
        <w:tab/>
        <w:t xml:space="preserve">Liu, F., Li, B., Tung, E. J., Grundke-Iqbal, I., Iqbal, K. and Gong, C. X. (2007) Site-specific effects of tau phosphorylation on its microtubule assembly activity and self-aggregation. Eur. J. Neurosci. </w:t>
      </w:r>
      <w:r w:rsidRPr="003B67B0">
        <w:rPr>
          <w:rFonts w:ascii="Calibri" w:hAnsi="Calibri" w:cs="Calibri"/>
          <w:b/>
          <w:bCs/>
          <w:noProof/>
          <w:szCs w:val="24"/>
        </w:rPr>
        <w:t>26</w:t>
      </w:r>
      <w:r w:rsidRPr="003B67B0">
        <w:rPr>
          <w:rFonts w:ascii="Calibri" w:hAnsi="Calibri" w:cs="Calibri"/>
          <w:noProof/>
          <w:szCs w:val="24"/>
        </w:rPr>
        <w:t>, 3429–3436.</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15 </w:t>
      </w:r>
      <w:r w:rsidRPr="003B67B0">
        <w:rPr>
          <w:rFonts w:ascii="Calibri" w:hAnsi="Calibri" w:cs="Calibri"/>
          <w:noProof/>
          <w:szCs w:val="24"/>
        </w:rPr>
        <w:tab/>
        <w:t xml:space="preserve">Alonso, A. D. C., Mederlyova, A., Novak, M., Grundke-Iqbal, I. and Iqbal, K. (2004) Promotion of hyperphosphorylation by frontotemporal dementia tau mutations. J. Biol. Chem. </w:t>
      </w:r>
      <w:r w:rsidRPr="003B67B0">
        <w:rPr>
          <w:rFonts w:ascii="Calibri" w:hAnsi="Calibri" w:cs="Calibri"/>
          <w:b/>
          <w:bCs/>
          <w:noProof/>
          <w:szCs w:val="24"/>
        </w:rPr>
        <w:t>279</w:t>
      </w:r>
      <w:r w:rsidRPr="003B67B0">
        <w:rPr>
          <w:rFonts w:ascii="Calibri" w:hAnsi="Calibri" w:cs="Calibri"/>
          <w:noProof/>
          <w:szCs w:val="24"/>
        </w:rPr>
        <w:t>, 34873–34881.</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16 </w:t>
      </w:r>
      <w:r w:rsidRPr="003B67B0">
        <w:rPr>
          <w:rFonts w:ascii="Calibri" w:hAnsi="Calibri" w:cs="Calibri"/>
          <w:noProof/>
          <w:szCs w:val="24"/>
        </w:rPr>
        <w:tab/>
        <w:t xml:space="preserve">Goedert, M., Spillantini, M. G., Jakes, R., Rutherford, D. and Crowther, R. A. (1989) Multiple isoforms of human microtubule-associated protein tau: sequences and localization in neurofibrillary tangles of Alzheimer’s disease. Neuron </w:t>
      </w:r>
      <w:r w:rsidRPr="003B67B0">
        <w:rPr>
          <w:rFonts w:ascii="Calibri" w:hAnsi="Calibri" w:cs="Calibri"/>
          <w:b/>
          <w:bCs/>
          <w:noProof/>
          <w:szCs w:val="24"/>
        </w:rPr>
        <w:t>3</w:t>
      </w:r>
      <w:r w:rsidRPr="003B67B0">
        <w:rPr>
          <w:rFonts w:ascii="Calibri" w:hAnsi="Calibri" w:cs="Calibri"/>
          <w:noProof/>
          <w:szCs w:val="24"/>
        </w:rPr>
        <w:t>, 519–526.</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17 </w:t>
      </w:r>
      <w:r w:rsidRPr="003B67B0">
        <w:rPr>
          <w:rFonts w:ascii="Calibri" w:hAnsi="Calibri" w:cs="Calibri"/>
          <w:noProof/>
          <w:szCs w:val="24"/>
        </w:rPr>
        <w:tab/>
        <w:t xml:space="preserve">Sumi, S. M., Bird, T. D., Nochlin, D. and Raskind, M. a. (1992) Familial presenile dementia with psychosis associated with cortical neurofibrillary tangles and degeneration of the amygdala. Neurology </w:t>
      </w:r>
      <w:r w:rsidRPr="003B67B0">
        <w:rPr>
          <w:rFonts w:ascii="Calibri" w:hAnsi="Calibri" w:cs="Calibri"/>
          <w:b/>
          <w:bCs/>
          <w:noProof/>
          <w:szCs w:val="24"/>
        </w:rPr>
        <w:t>42</w:t>
      </w:r>
      <w:r w:rsidRPr="003B67B0">
        <w:rPr>
          <w:rFonts w:ascii="Calibri" w:hAnsi="Calibri" w:cs="Calibri"/>
          <w:noProof/>
          <w:szCs w:val="24"/>
        </w:rPr>
        <w:t>, 120–127.</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18 </w:t>
      </w:r>
      <w:r w:rsidRPr="003B67B0">
        <w:rPr>
          <w:rFonts w:ascii="Calibri" w:hAnsi="Calibri" w:cs="Calibri"/>
          <w:noProof/>
          <w:szCs w:val="24"/>
        </w:rPr>
        <w:tab/>
        <w:t xml:space="preserve">Bird, T. D., Wijsman, E. M., Nochlin, D., Leehey, M., Sumi, S. M., Payami, H., Poorkaj, P., Nemens, E., Rafkind, M. and Schellenberg, G. D. (1997) Chromosome 17 and hereditary dementia: linkage studies in three non-Alzheimer families and kindreds with late-onset FAD. Neurology </w:t>
      </w:r>
      <w:r w:rsidRPr="003B67B0">
        <w:rPr>
          <w:rFonts w:ascii="Calibri" w:hAnsi="Calibri" w:cs="Calibri"/>
          <w:b/>
          <w:bCs/>
          <w:noProof/>
          <w:szCs w:val="24"/>
        </w:rPr>
        <w:t>48</w:t>
      </w:r>
      <w:r w:rsidRPr="003B67B0">
        <w:rPr>
          <w:rFonts w:ascii="Calibri" w:hAnsi="Calibri" w:cs="Calibri"/>
          <w:noProof/>
          <w:szCs w:val="24"/>
        </w:rPr>
        <w:t>, 949–954.</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19 </w:t>
      </w:r>
      <w:r w:rsidRPr="003B67B0">
        <w:rPr>
          <w:rFonts w:ascii="Calibri" w:hAnsi="Calibri" w:cs="Calibri"/>
          <w:noProof/>
          <w:szCs w:val="24"/>
        </w:rPr>
        <w:tab/>
        <w:t xml:space="preserve">Spina, S., Schonhaut, D. R., Boeve, B. F., Seeley, W. W., Ossenkoppele, R., O’Neil, J. P., Lazaris, A., Rosen, H. J., Boxer, A. L., Perry, D. C., et al. (2017) Frontotemporal dementia with the V337M </w:t>
      </w:r>
      <w:r w:rsidRPr="003B67B0">
        <w:rPr>
          <w:rFonts w:ascii="Calibri" w:hAnsi="Calibri" w:cs="Calibri"/>
          <w:i/>
          <w:iCs/>
          <w:noProof/>
          <w:szCs w:val="24"/>
        </w:rPr>
        <w:t>MAPT</w:t>
      </w:r>
      <w:r w:rsidRPr="003B67B0">
        <w:rPr>
          <w:rFonts w:ascii="Calibri" w:hAnsi="Calibri" w:cs="Calibri"/>
          <w:noProof/>
          <w:szCs w:val="24"/>
        </w:rPr>
        <w:t xml:space="preserve"> mutation. Neurology </w:t>
      </w:r>
      <w:r w:rsidRPr="003B67B0">
        <w:rPr>
          <w:rFonts w:ascii="Calibri" w:hAnsi="Calibri" w:cs="Calibri"/>
          <w:b/>
          <w:bCs/>
          <w:noProof/>
          <w:szCs w:val="24"/>
        </w:rPr>
        <w:t>88</w:t>
      </w:r>
      <w:r w:rsidRPr="003B67B0">
        <w:rPr>
          <w:rFonts w:ascii="Calibri" w:hAnsi="Calibri" w:cs="Calibri"/>
          <w:noProof/>
          <w:szCs w:val="24"/>
        </w:rPr>
        <w:t>, 758–766.</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20 </w:t>
      </w:r>
      <w:r w:rsidRPr="003B67B0">
        <w:rPr>
          <w:rFonts w:ascii="Calibri" w:hAnsi="Calibri" w:cs="Calibri"/>
          <w:noProof/>
          <w:szCs w:val="24"/>
        </w:rPr>
        <w:tab/>
        <w:t xml:space="preserve">Domoto-Reilly, K., Davis, M. Y., Keene, </w:t>
      </w:r>
      <w:r w:rsidRPr="003B67B0">
        <w:rPr>
          <w:rFonts w:ascii="Calibri" w:hAnsi="Calibri" w:cs="Calibri"/>
          <w:noProof/>
          <w:szCs w:val="24"/>
        </w:rPr>
        <w:t xml:space="preserve">C. D. and Bird, T. D. (2017) Unusually long duration and delayed penetrance in a family with FTD and mutation in MAPT (V337M). Am. J. Med. Genet. Part B Neuropsychiatr. Genet. </w:t>
      </w:r>
      <w:r w:rsidRPr="003B67B0">
        <w:rPr>
          <w:rFonts w:ascii="Calibri" w:hAnsi="Calibri" w:cs="Calibri"/>
          <w:b/>
          <w:bCs/>
          <w:noProof/>
          <w:szCs w:val="24"/>
        </w:rPr>
        <w:t>174</w:t>
      </w:r>
      <w:r w:rsidRPr="003B67B0">
        <w:rPr>
          <w:rFonts w:ascii="Calibri" w:hAnsi="Calibri" w:cs="Calibri"/>
          <w:noProof/>
          <w:szCs w:val="24"/>
        </w:rPr>
        <w:t>, 70–74.</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21 </w:t>
      </w:r>
      <w:r w:rsidRPr="003B67B0">
        <w:rPr>
          <w:rFonts w:ascii="Calibri" w:hAnsi="Calibri" w:cs="Calibri"/>
          <w:noProof/>
          <w:szCs w:val="24"/>
        </w:rPr>
        <w:tab/>
        <w:t xml:space="preserve">Gorsky, M. K., Burnouf, S., Dols, J., Mandelkow, E. and Partridge, L. (2016) Acetylation mimic of lysine 280 exacerbates human Tau neurotoxicity in vivo. Sci. Rep. </w:t>
      </w:r>
      <w:r w:rsidRPr="003B67B0">
        <w:rPr>
          <w:rFonts w:ascii="Calibri" w:hAnsi="Calibri" w:cs="Calibri"/>
          <w:b/>
          <w:bCs/>
          <w:noProof/>
          <w:szCs w:val="24"/>
        </w:rPr>
        <w:t>6</w:t>
      </w:r>
      <w:r w:rsidRPr="003B67B0">
        <w:rPr>
          <w:rFonts w:ascii="Calibri" w:hAnsi="Calibri" w:cs="Calibri"/>
          <w:noProof/>
          <w:szCs w:val="24"/>
        </w:rPr>
        <w:t>, 22685.</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22 </w:t>
      </w:r>
      <w:r w:rsidRPr="003B67B0">
        <w:rPr>
          <w:rFonts w:ascii="Calibri" w:hAnsi="Calibri" w:cs="Calibri"/>
          <w:noProof/>
          <w:szCs w:val="24"/>
        </w:rPr>
        <w:tab/>
        <w:t xml:space="preserve">Tracy, T. E., Sohn, P. D., Minami, S. S., Wang, C., Min, S. W., Li, Y., Zhou, Y., Le, D., Lo, I., Ponnusamy, R., et al. (2016) Acetylated Tau Obstructs KIBRA-Mediated Signaling in Synaptic Plasticity and Promotes Tauopathy-Related Memory Loss. Neuron </w:t>
      </w:r>
      <w:r w:rsidRPr="003B67B0">
        <w:rPr>
          <w:rFonts w:ascii="Calibri" w:hAnsi="Calibri" w:cs="Calibri"/>
          <w:b/>
          <w:bCs/>
          <w:noProof/>
          <w:szCs w:val="24"/>
        </w:rPr>
        <w:t>90</w:t>
      </w:r>
      <w:r w:rsidRPr="003B67B0">
        <w:rPr>
          <w:rFonts w:ascii="Calibri" w:hAnsi="Calibri" w:cs="Calibri"/>
          <w:noProof/>
          <w:szCs w:val="24"/>
        </w:rPr>
        <w:t>, 245–260.</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23 </w:t>
      </w:r>
      <w:r w:rsidRPr="003B67B0">
        <w:rPr>
          <w:rFonts w:ascii="Calibri" w:hAnsi="Calibri" w:cs="Calibri"/>
          <w:noProof/>
          <w:szCs w:val="24"/>
        </w:rPr>
        <w:tab/>
        <w:t xml:space="preserve">Tanemura, K., Murayama, M., Akagi, T., Hashikawa, T., Tominaga, T., Ichikawa, M., Yamaguchi, H. and Takashima, A. (2002) Neurodegeneration with tau accumulation in a transgenic mouse expressing V337M human tau. J. Neurosci. </w:t>
      </w:r>
      <w:r w:rsidRPr="003B67B0">
        <w:rPr>
          <w:rFonts w:ascii="Calibri" w:hAnsi="Calibri" w:cs="Calibri"/>
          <w:b/>
          <w:bCs/>
          <w:noProof/>
          <w:szCs w:val="24"/>
        </w:rPr>
        <w:t>22</w:t>
      </w:r>
      <w:r w:rsidRPr="003B67B0">
        <w:rPr>
          <w:rFonts w:ascii="Calibri" w:hAnsi="Calibri" w:cs="Calibri"/>
          <w:noProof/>
          <w:szCs w:val="24"/>
        </w:rPr>
        <w:t>, 133–141.</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24 </w:t>
      </w:r>
      <w:r w:rsidRPr="003B67B0">
        <w:rPr>
          <w:rFonts w:ascii="Calibri" w:hAnsi="Calibri" w:cs="Calibri"/>
          <w:noProof/>
          <w:szCs w:val="24"/>
        </w:rPr>
        <w:tab/>
        <w:t xml:space="preserve">Tanemura, K., Akagi, T., Murayama, M., Kikuchi, N., Murayama, O., Hashikawa, T., Yoshiike, Y., Park, J. M., Matsuda, K., Nakao, S., et al. (2001) Formation of filamentous tau aggregations in transgenic mice expressing V337M human tau. Neurobiol. Dis. </w:t>
      </w:r>
      <w:r w:rsidRPr="003B67B0">
        <w:rPr>
          <w:rFonts w:ascii="Calibri" w:hAnsi="Calibri" w:cs="Calibri"/>
          <w:b/>
          <w:bCs/>
          <w:noProof/>
          <w:szCs w:val="24"/>
        </w:rPr>
        <w:t>8</w:t>
      </w:r>
      <w:r w:rsidRPr="003B67B0">
        <w:rPr>
          <w:rFonts w:ascii="Calibri" w:hAnsi="Calibri" w:cs="Calibri"/>
          <w:noProof/>
          <w:szCs w:val="24"/>
        </w:rPr>
        <w:t>, 1036–1045.</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szCs w:val="24"/>
        </w:rPr>
      </w:pPr>
      <w:r w:rsidRPr="003B67B0">
        <w:rPr>
          <w:rFonts w:ascii="Calibri" w:hAnsi="Calibri" w:cs="Calibri"/>
          <w:noProof/>
          <w:szCs w:val="24"/>
        </w:rPr>
        <w:t xml:space="preserve">25 </w:t>
      </w:r>
      <w:r w:rsidRPr="003B67B0">
        <w:rPr>
          <w:rFonts w:ascii="Calibri" w:hAnsi="Calibri" w:cs="Calibri"/>
          <w:noProof/>
          <w:szCs w:val="24"/>
        </w:rPr>
        <w:tab/>
        <w:t xml:space="preserve">Brunden, K. R., Trojanowski, J. Q. and Lee, V. M.-Y. (2009) Advances in tau-focused drug discovery for Alzheimer’s disease and related tauopathies. Nat. Rev. Drug Discov. </w:t>
      </w:r>
      <w:r w:rsidRPr="003B67B0">
        <w:rPr>
          <w:rFonts w:ascii="Calibri" w:hAnsi="Calibri" w:cs="Calibri"/>
          <w:b/>
          <w:bCs/>
          <w:noProof/>
          <w:szCs w:val="24"/>
        </w:rPr>
        <w:t>8</w:t>
      </w:r>
      <w:r w:rsidRPr="003B67B0">
        <w:rPr>
          <w:rFonts w:ascii="Calibri" w:hAnsi="Calibri" w:cs="Calibri"/>
          <w:noProof/>
          <w:szCs w:val="24"/>
        </w:rPr>
        <w:t>, 783–793.</w:t>
      </w:r>
    </w:p>
    <w:p w:rsidR="003B67B0" w:rsidRPr="003B67B0" w:rsidRDefault="003B67B0" w:rsidP="003B67B0">
      <w:pPr>
        <w:widowControl w:val="0"/>
        <w:autoSpaceDE w:val="0"/>
        <w:autoSpaceDN w:val="0"/>
        <w:adjustRightInd w:val="0"/>
        <w:spacing w:line="240" w:lineRule="auto"/>
        <w:ind w:left="640" w:hanging="640"/>
        <w:jc w:val="both"/>
        <w:rPr>
          <w:rFonts w:ascii="Calibri" w:hAnsi="Calibri" w:cs="Calibri"/>
          <w:noProof/>
        </w:rPr>
      </w:pPr>
      <w:r w:rsidRPr="003B67B0">
        <w:rPr>
          <w:rFonts w:ascii="Calibri" w:hAnsi="Calibri" w:cs="Calibri"/>
          <w:noProof/>
          <w:szCs w:val="24"/>
        </w:rPr>
        <w:t xml:space="preserve">26 </w:t>
      </w:r>
      <w:r w:rsidRPr="003B67B0">
        <w:rPr>
          <w:rFonts w:ascii="Calibri" w:hAnsi="Calibri" w:cs="Calibri"/>
          <w:noProof/>
          <w:szCs w:val="24"/>
        </w:rPr>
        <w:tab/>
        <w:t xml:space="preserve">Arendt, T., Stieler, J. T. and Holzer, M. (2016) Tau and tauopathies </w:t>
      </w:r>
      <w:r w:rsidRPr="003B67B0">
        <w:rPr>
          <w:rFonts w:ascii="Calibri" w:hAnsi="Calibri" w:cs="Calibri"/>
          <w:b/>
          <w:bCs/>
          <w:noProof/>
          <w:szCs w:val="24"/>
        </w:rPr>
        <w:t>126</w:t>
      </w:r>
      <w:r w:rsidRPr="003B67B0">
        <w:rPr>
          <w:rFonts w:ascii="Calibri" w:hAnsi="Calibri" w:cs="Calibri"/>
          <w:noProof/>
          <w:szCs w:val="24"/>
        </w:rPr>
        <w:t>, 238–292.</w:t>
      </w:r>
    </w:p>
    <w:p w:rsidR="003B67B0" w:rsidRDefault="003B67B0" w:rsidP="003B67B0">
      <w:pPr>
        <w:tabs>
          <w:tab w:val="left" w:pos="2922"/>
        </w:tabs>
        <w:jc w:val="both"/>
        <w:rPr>
          <w:b/>
        </w:rPr>
        <w:sectPr w:rsidR="003B67B0" w:rsidSect="003B67B0">
          <w:type w:val="continuous"/>
          <w:pgSz w:w="11906" w:h="16838"/>
          <w:pgMar w:top="1440" w:right="1440" w:bottom="1440" w:left="1440" w:header="708" w:footer="708" w:gutter="0"/>
          <w:cols w:num="2" w:space="708"/>
          <w:docGrid w:linePitch="360"/>
        </w:sectPr>
      </w:pPr>
      <w:r>
        <w:rPr>
          <w:b/>
        </w:rPr>
        <w:fldChar w:fldCharType="end"/>
      </w:r>
    </w:p>
    <w:p w:rsidR="003B67B0" w:rsidRPr="00BC0E35" w:rsidRDefault="003B67B0" w:rsidP="003B67B0">
      <w:pPr>
        <w:tabs>
          <w:tab w:val="left" w:pos="2922"/>
        </w:tabs>
        <w:jc w:val="both"/>
        <w:rPr>
          <w:b/>
        </w:rPr>
      </w:pPr>
    </w:p>
    <w:sectPr w:rsidR="003B67B0" w:rsidRPr="00BC0E35" w:rsidSect="002040E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83B" w:rsidRDefault="0038483B">
      <w:pPr>
        <w:spacing w:after="0" w:line="240" w:lineRule="auto"/>
      </w:pPr>
      <w:r>
        <w:separator/>
      </w:r>
    </w:p>
  </w:endnote>
  <w:endnote w:type="continuationSeparator" w:id="0">
    <w:p w:rsidR="0038483B" w:rsidRDefault="00384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83B" w:rsidRDefault="0038483B">
      <w:pPr>
        <w:spacing w:after="0" w:line="240" w:lineRule="auto"/>
      </w:pPr>
      <w:r>
        <w:separator/>
      </w:r>
    </w:p>
  </w:footnote>
  <w:footnote w:type="continuationSeparator" w:id="0">
    <w:p w:rsidR="0038483B" w:rsidRDefault="00384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958726"/>
      <w:docPartObj>
        <w:docPartGallery w:val="Page Numbers (Top of Page)"/>
        <w:docPartUnique/>
      </w:docPartObj>
    </w:sdtPr>
    <w:sdtEndPr>
      <w:rPr>
        <w:noProof/>
      </w:rPr>
    </w:sdtEndPr>
    <w:sdtContent>
      <w:p w:rsidR="00E8721D" w:rsidRDefault="003B67B0">
        <w:pPr>
          <w:pStyle w:val="Header"/>
          <w:jc w:val="right"/>
        </w:pPr>
        <w:r>
          <w:fldChar w:fldCharType="begin"/>
        </w:r>
        <w:r>
          <w:instrText xml:space="preserve"> PAGE   \* MERGEFORMAT </w:instrText>
        </w:r>
        <w:r>
          <w:fldChar w:fldCharType="separate"/>
        </w:r>
        <w:r w:rsidR="00DF6825">
          <w:rPr>
            <w:noProof/>
          </w:rPr>
          <w:t>14</w:t>
        </w:r>
        <w:r>
          <w:rPr>
            <w:noProof/>
          </w:rPr>
          <w:fldChar w:fldCharType="end"/>
        </w:r>
      </w:p>
    </w:sdtContent>
  </w:sdt>
  <w:p w:rsidR="00E8721D" w:rsidRDefault="003848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49D"/>
    <w:rsid w:val="00027932"/>
    <w:rsid w:val="000B0AB3"/>
    <w:rsid w:val="00165E2C"/>
    <w:rsid w:val="002040E9"/>
    <w:rsid w:val="0038483B"/>
    <w:rsid w:val="003B67B0"/>
    <w:rsid w:val="00405AD4"/>
    <w:rsid w:val="00584CA4"/>
    <w:rsid w:val="00606A98"/>
    <w:rsid w:val="00655C0E"/>
    <w:rsid w:val="007C112A"/>
    <w:rsid w:val="008B750A"/>
    <w:rsid w:val="008C62C3"/>
    <w:rsid w:val="00951B22"/>
    <w:rsid w:val="0095559E"/>
    <w:rsid w:val="00BC0E35"/>
    <w:rsid w:val="00CF542D"/>
    <w:rsid w:val="00D83E11"/>
    <w:rsid w:val="00DB049D"/>
    <w:rsid w:val="00DF6825"/>
    <w:rsid w:val="00E25687"/>
    <w:rsid w:val="00EE65B2"/>
    <w:rsid w:val="00F70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B6114"/>
  <w15:chartTrackingRefBased/>
  <w15:docId w15:val="{7280E81D-1F26-4616-BB10-3CDA4DC5A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B0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049D"/>
    <w:pPr>
      <w:spacing w:after="0" w:line="240" w:lineRule="auto"/>
    </w:pPr>
    <w:rPr>
      <w:lang w:val="en-US"/>
    </w:rPr>
  </w:style>
  <w:style w:type="paragraph" w:styleId="Header">
    <w:name w:val="header"/>
    <w:basedOn w:val="Normal"/>
    <w:link w:val="HeaderChar"/>
    <w:uiPriority w:val="99"/>
    <w:unhideWhenUsed/>
    <w:rsid w:val="00DB04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49D"/>
  </w:style>
  <w:style w:type="paragraph" w:styleId="NormalWeb">
    <w:name w:val="Normal (Web)"/>
    <w:basedOn w:val="Normal"/>
    <w:uiPriority w:val="99"/>
    <w:unhideWhenUsed/>
    <w:rsid w:val="002040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040E9"/>
    <w:rPr>
      <w:color w:val="0000FF"/>
      <w:u w:val="single"/>
    </w:rPr>
  </w:style>
  <w:style w:type="paragraph" w:styleId="Caption">
    <w:name w:val="caption"/>
    <w:basedOn w:val="Normal"/>
    <w:next w:val="Normal"/>
    <w:uiPriority w:val="35"/>
    <w:unhideWhenUsed/>
    <w:qFormat/>
    <w:rsid w:val="008B750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3012B-4DFB-479E-8FA2-91727FFE5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16</Pages>
  <Words>14730</Words>
  <Characters>83961</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Foisor, Mihaela Veronica</dc:creator>
  <cp:keywords/>
  <dc:description/>
  <cp:lastModifiedBy>Foisor, Mihaela Veronica</cp:lastModifiedBy>
  <cp:revision>9</cp:revision>
  <dcterms:created xsi:type="dcterms:W3CDTF">2017-07-10T22:50:00Z</dcterms:created>
  <dcterms:modified xsi:type="dcterms:W3CDTF">2017-07-11T08:06:00Z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http://www.zotero.org/styles/biochemical-journal</vt:lpwstr>
  </property>
  <property fmtid="{D5CDD505-2E9C-101B-9397-08002B2CF9AE}" pid="9" name="Mendeley Recent Style Name 3_1">
    <vt:lpwstr>Biochemical Journal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24cbea3f-c11b-311d-a088-c963dc368f48</vt:lpwstr>
  </property>
  <property fmtid="{D5CDD505-2E9C-101B-9397-08002B2CF9AE}" pid="24" name="Mendeley Citation Style_1">
    <vt:lpwstr>http://www.zotero.org/styles/biochemical-journal</vt:lpwstr>
  </property>
</Properties>
</file>