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6F8A" w:rsidRPr="00206F8A" w:rsidRDefault="00206F8A">
      <w:pPr>
        <w:pStyle w:val="BodyA"/>
        <w:rPr>
          <w:rFonts w:ascii="Calibri" w:hAnsi="Calibri" w:cs="Calibri"/>
          <w:b/>
          <w:bCs/>
          <w:sz w:val="28"/>
          <w:szCs w:val="28"/>
        </w:rPr>
      </w:pPr>
      <w:r w:rsidRPr="00206F8A">
        <w:rPr>
          <w:rFonts w:ascii="Calibri" w:hAnsi="Calibri" w:cs="Calibri"/>
          <w:b/>
          <w:bCs/>
          <w:sz w:val="28"/>
          <w:szCs w:val="28"/>
        </w:rPr>
        <w:t>CLAHRC West Midlands</w:t>
      </w:r>
    </w:p>
    <w:p w:rsidR="00206F8A" w:rsidRPr="00206F8A" w:rsidRDefault="00206F8A">
      <w:pPr>
        <w:pStyle w:val="BodyA"/>
        <w:rPr>
          <w:rFonts w:ascii="Calibri" w:hAnsi="Calibri" w:cs="Calibri"/>
          <w:b/>
          <w:bCs/>
          <w:sz w:val="28"/>
          <w:szCs w:val="28"/>
        </w:rPr>
      </w:pPr>
    </w:p>
    <w:p w:rsidR="002536BC" w:rsidRPr="00206F8A" w:rsidRDefault="00722E79">
      <w:pPr>
        <w:pStyle w:val="BodyA"/>
        <w:rPr>
          <w:rFonts w:ascii="Calibri" w:eastAsia="Trebuchet MS" w:hAnsi="Calibri" w:cs="Calibri"/>
          <w:b/>
          <w:bCs/>
          <w:sz w:val="28"/>
          <w:szCs w:val="28"/>
        </w:rPr>
      </w:pPr>
      <w:r w:rsidRPr="00206F8A">
        <w:rPr>
          <w:rFonts w:ascii="Calibri" w:hAnsi="Calibri" w:cs="Calibri"/>
          <w:b/>
          <w:bCs/>
          <w:sz w:val="28"/>
          <w:szCs w:val="28"/>
        </w:rPr>
        <w:t>Eating Disorder Study</w:t>
      </w:r>
    </w:p>
    <w:p w:rsidR="002536BC" w:rsidRDefault="002536BC">
      <w:pPr>
        <w:pStyle w:val="BodyA"/>
        <w:rPr>
          <w:rFonts w:ascii="Trebuchet MS" w:eastAsia="Trebuchet MS" w:hAnsi="Trebuchet MS" w:cs="Trebuchet MS"/>
          <w:sz w:val="24"/>
          <w:szCs w:val="24"/>
        </w:rPr>
      </w:pPr>
    </w:p>
    <w:p w:rsidR="002536BC" w:rsidRDefault="00722E79">
      <w:pPr>
        <w:pStyle w:val="BodyA"/>
        <w:spacing w:after="200"/>
        <w:rPr>
          <w:rFonts w:ascii="Calibri" w:eastAsia="Calibri" w:hAnsi="Calibri" w:cs="Calibri"/>
          <w:sz w:val="24"/>
          <w:szCs w:val="24"/>
        </w:rPr>
      </w:pPr>
      <w:r>
        <w:rPr>
          <w:rFonts w:ascii="Calibri" w:eastAsia="Calibri" w:hAnsi="Calibri" w:cs="Calibri"/>
          <w:sz w:val="24"/>
          <w:szCs w:val="24"/>
        </w:rPr>
        <w:t xml:space="preserve">Eating disorders (ED) in young people are increasingly common with rates </w:t>
      </w:r>
      <w:r>
        <w:rPr>
          <w:rFonts w:ascii="Calibri" w:eastAsia="Calibri" w:hAnsi="Calibri" w:cs="Calibri"/>
          <w:sz w:val="24"/>
          <w:szCs w:val="24"/>
          <w:lang w:val="it-IT"/>
        </w:rPr>
        <w:t>continu</w:t>
      </w:r>
      <w:r>
        <w:rPr>
          <w:rFonts w:ascii="Calibri" w:eastAsia="Calibri" w:hAnsi="Calibri" w:cs="Calibri"/>
          <w:sz w:val="24"/>
          <w:szCs w:val="24"/>
        </w:rPr>
        <w:t>ing</w:t>
      </w:r>
      <w:r>
        <w:rPr>
          <w:rFonts w:ascii="Calibri" w:eastAsia="Calibri" w:hAnsi="Calibri" w:cs="Calibri"/>
          <w:sz w:val="24"/>
          <w:szCs w:val="24"/>
          <w:lang w:val="it-IT"/>
        </w:rPr>
        <w:t xml:space="preserve"> to rise</w:t>
      </w:r>
      <w:r>
        <w:rPr>
          <w:rFonts w:ascii="Calibri" w:eastAsia="Calibri" w:hAnsi="Calibri" w:cs="Calibri"/>
          <w:sz w:val="24"/>
          <w:szCs w:val="24"/>
        </w:rPr>
        <w:t xml:space="preserve">. All EDs cause immense physical and mental distress to those who suffer from them, often leaving young people unable to function independently and experiencing major physical and psychosocial disability. Our knowledge regarding the treatment and management of eating disorders is growing apace, however, research focusing on the identification of young people who may be </w:t>
      </w:r>
      <w:r>
        <w:rPr>
          <w:rFonts w:ascii="Calibri" w:eastAsia="Calibri" w:hAnsi="Calibri" w:cs="Calibri"/>
          <w:i/>
          <w:iCs/>
          <w:sz w:val="24"/>
          <w:szCs w:val="24"/>
        </w:rPr>
        <w:t>at risk</w:t>
      </w:r>
      <w:r>
        <w:rPr>
          <w:rFonts w:ascii="Calibri" w:eastAsia="Calibri" w:hAnsi="Calibri" w:cs="Calibri"/>
          <w:sz w:val="24"/>
          <w:szCs w:val="24"/>
        </w:rPr>
        <w:t xml:space="preserve"> of developing an ED is sparse. Early identification has been suggested to have a substantial impact on outcome, particularly in terms of treatment response.  Nevertheless, 50% of children under the age of 13, diagnosed with childhood onset ED, have to become hospitalised soon after presentation, their ED well-established by the time they have sought help and gained access to secondary care. </w:t>
      </w:r>
    </w:p>
    <w:p w:rsidR="002536BC" w:rsidRDefault="00722E79">
      <w:pPr>
        <w:pStyle w:val="BodyA"/>
        <w:spacing w:after="200"/>
        <w:rPr>
          <w:rFonts w:ascii="Calibri" w:eastAsia="Calibri" w:hAnsi="Calibri" w:cs="Calibri"/>
          <w:b/>
          <w:bCs/>
          <w:sz w:val="24"/>
          <w:szCs w:val="24"/>
        </w:rPr>
      </w:pPr>
      <w:r>
        <w:rPr>
          <w:rFonts w:ascii="Calibri" w:eastAsia="Calibri" w:hAnsi="Calibri" w:cs="Calibri"/>
          <w:sz w:val="24"/>
          <w:szCs w:val="24"/>
        </w:rPr>
        <w:t>The Youth Mental Health theme has recently implemented a study to explore, i)period prevalence of partial or fully developed eating disorders; ii) number of incident cases; and, iii) transition to eating disorders, in adolescents, aged 13-14 years, from 6 schools in Birmingham.</w:t>
      </w:r>
      <w:r>
        <w:rPr>
          <w:rFonts w:ascii="Calibri" w:eastAsia="Calibri" w:hAnsi="Calibri" w:cs="Calibri"/>
          <w:b/>
          <w:bCs/>
          <w:sz w:val="24"/>
          <w:szCs w:val="24"/>
        </w:rPr>
        <w:t xml:space="preserve"> </w:t>
      </w:r>
    </w:p>
    <w:p w:rsidR="002536BC" w:rsidRPr="00722E79" w:rsidRDefault="00722E79">
      <w:pPr>
        <w:pStyle w:val="BodyA"/>
        <w:spacing w:after="200"/>
        <w:rPr>
          <w:rFonts w:ascii="Calibri" w:eastAsia="Trebuchet MS" w:hAnsi="Calibri" w:cs="Calibri"/>
        </w:rPr>
      </w:pPr>
      <w:r w:rsidRPr="00722E79">
        <w:rPr>
          <w:rFonts w:ascii="Calibri" w:eastAsia="Calibri" w:hAnsi="Calibri" w:cs="Calibri"/>
          <w:sz w:val="24"/>
          <w:szCs w:val="24"/>
        </w:rPr>
        <w:t xml:space="preserve">Students </w:t>
      </w:r>
      <w:r w:rsidRPr="00722E79">
        <w:rPr>
          <w:rFonts w:ascii="Calibri" w:hAnsi="Calibri" w:cs="Calibri"/>
          <w:sz w:val="24"/>
          <w:szCs w:val="24"/>
        </w:rPr>
        <w:t xml:space="preserve">completed an online survey at 6-monthly intervals during a 2-year period recording their </w:t>
      </w:r>
      <w:r w:rsidRPr="00722E79">
        <w:rPr>
          <w:rFonts w:ascii="Calibri" w:hAnsi="Calibri" w:cs="Calibri"/>
          <w:sz w:val="24"/>
          <w:szCs w:val="24"/>
          <w:lang w:val="nl-NL"/>
        </w:rPr>
        <w:t>dieting</w:t>
      </w:r>
      <w:r w:rsidRPr="00722E79">
        <w:rPr>
          <w:rFonts w:ascii="Calibri" w:hAnsi="Calibri" w:cs="Calibri"/>
          <w:sz w:val="24"/>
          <w:szCs w:val="24"/>
        </w:rPr>
        <w:t xml:space="preserve"> behaviour, levels of self-esteem, body esteem, adherence to food rules, difficulties with emotional regulation, depression and anxiety. </w:t>
      </w:r>
    </w:p>
    <w:p w:rsidR="002536BC" w:rsidRDefault="00722E79">
      <w:pPr>
        <w:pStyle w:val="BodyA"/>
        <w:spacing w:after="200"/>
        <w:rPr>
          <w:rFonts w:ascii="Calibri" w:eastAsia="Calibri" w:hAnsi="Calibri" w:cs="Calibri"/>
          <w:sz w:val="24"/>
          <w:szCs w:val="24"/>
        </w:rPr>
      </w:pPr>
      <w:r>
        <w:rPr>
          <w:rFonts w:ascii="Calibri" w:eastAsia="Calibri" w:hAnsi="Calibri" w:cs="Calibri"/>
        </w:rPr>
        <w:t xml:space="preserve">Whilst the majority of young people reported no disordered eating behaviour, those who did were predominantly female. A further </w:t>
      </w:r>
      <w:r>
        <w:rPr>
          <w:rFonts w:ascii="Calibri" w:eastAsia="Calibri" w:hAnsi="Calibri" w:cs="Calibri"/>
          <w:sz w:val="24"/>
          <w:szCs w:val="24"/>
        </w:rPr>
        <w:t xml:space="preserve">8% of students, however, went on to </w:t>
      </w:r>
      <w:r>
        <w:rPr>
          <w:rFonts w:ascii="Calibri" w:eastAsia="Calibri" w:hAnsi="Calibri" w:cs="Calibri"/>
          <w:i/>
          <w:iCs/>
          <w:sz w:val="24"/>
          <w:szCs w:val="24"/>
        </w:rPr>
        <w:t>develop</w:t>
      </w:r>
      <w:r>
        <w:rPr>
          <w:rFonts w:ascii="Calibri" w:eastAsia="Calibri" w:hAnsi="Calibri" w:cs="Calibri"/>
          <w:sz w:val="24"/>
          <w:szCs w:val="24"/>
        </w:rPr>
        <w:t xml:space="preserve"> disordered eating behaviour during the study, again, these were mainly female.</w:t>
      </w:r>
    </w:p>
    <w:p w:rsidR="00577ABA" w:rsidRDefault="00722E79">
      <w:pPr>
        <w:pStyle w:val="BodyA"/>
        <w:spacing w:after="200"/>
        <w:rPr>
          <w:rFonts w:ascii="Calibri" w:eastAsia="Calibri" w:hAnsi="Calibri" w:cs="Calibri"/>
          <w:sz w:val="24"/>
          <w:szCs w:val="24"/>
        </w:rPr>
      </w:pPr>
      <w:r>
        <w:rPr>
          <w:rFonts w:ascii="Calibri" w:eastAsia="Calibri" w:hAnsi="Calibri" w:cs="Calibri"/>
          <w:sz w:val="24"/>
          <w:szCs w:val="24"/>
        </w:rPr>
        <w:t xml:space="preserve">Whilst extreme dieting was found to be a significant predictor in this group they were also more likely to develop disordered eating behaviour if they reported ongoing </w:t>
      </w:r>
      <w:r>
        <w:rPr>
          <w:rFonts w:ascii="Calibri" w:eastAsia="Calibri" w:hAnsi="Calibri" w:cs="Calibri"/>
          <w:sz w:val="24"/>
          <w:szCs w:val="24"/>
          <w:lang w:val="fr-FR"/>
        </w:rPr>
        <w:t xml:space="preserve">difficulties </w:t>
      </w:r>
      <w:r>
        <w:rPr>
          <w:rFonts w:ascii="Calibri" w:eastAsia="Calibri" w:hAnsi="Calibri" w:cs="Calibri"/>
          <w:sz w:val="24"/>
          <w:szCs w:val="24"/>
        </w:rPr>
        <w:t>with emotional regulation. Such findings support existing research that highlights the significance of non-weight factors in the development of eating disorders which may be more indicative of the function that disordered eating behaviour may serve for individuals, such as regulation of emotions. Our findings support the need for screening tools in community settings in order to help improve early identification of young people at risk. We aim to use these findings to design and develop screening interventions, for use in schools and community settings, to help prevent transition to eating disorders in young people.</w:t>
      </w:r>
    </w:p>
    <w:p w:rsidR="00577ABA" w:rsidRDefault="00577ABA">
      <w:pPr>
        <w:rPr>
          <w:rFonts w:ascii="Calibri" w:eastAsia="Calibri" w:hAnsi="Calibri" w:cs="Calibri"/>
          <w:color w:val="000000"/>
          <w:u w:color="000000"/>
          <w:lang w:eastAsia="en-GB"/>
        </w:rPr>
      </w:pPr>
      <w:r>
        <w:rPr>
          <w:rFonts w:ascii="Calibri" w:eastAsia="Calibri" w:hAnsi="Calibri" w:cs="Calibri"/>
        </w:rPr>
        <w:br w:type="page"/>
      </w:r>
    </w:p>
    <w:p w:rsidR="00577ABA" w:rsidRPr="000C48D3" w:rsidRDefault="00577ABA" w:rsidP="00577ABA">
      <w:pPr>
        <w:pStyle w:val="BodyA"/>
        <w:rPr>
          <w:rFonts w:ascii="Calibri" w:eastAsia="Trebuchet MS" w:hAnsi="Calibri" w:cs="Calibri"/>
          <w:b/>
          <w:bCs/>
          <w:sz w:val="24"/>
          <w:szCs w:val="24"/>
        </w:rPr>
      </w:pPr>
      <w:r w:rsidRPr="000C48D3">
        <w:rPr>
          <w:rFonts w:ascii="Calibri" w:hAnsi="Calibri" w:cs="Calibri"/>
          <w:b/>
          <w:bCs/>
          <w:sz w:val="28"/>
          <w:szCs w:val="28"/>
        </w:rPr>
        <w:lastRenderedPageBreak/>
        <w:t>Working with schools</w:t>
      </w:r>
    </w:p>
    <w:p w:rsidR="00577ABA" w:rsidRDefault="00577ABA" w:rsidP="00577ABA">
      <w:pPr>
        <w:pStyle w:val="BodyA"/>
        <w:rPr>
          <w:rFonts w:ascii="Trebuchet MS" w:eastAsia="Trebuchet MS" w:hAnsi="Trebuchet MS" w:cs="Trebuchet MS"/>
        </w:rPr>
      </w:pPr>
    </w:p>
    <w:p w:rsidR="00577ABA" w:rsidRPr="00722E79" w:rsidRDefault="00577ABA" w:rsidP="00577ABA">
      <w:pPr>
        <w:pStyle w:val="Default"/>
        <w:rPr>
          <w:rFonts w:ascii="Calibri" w:eastAsia="Trebuchet MS" w:hAnsi="Calibri" w:cs="Calibri"/>
          <w:color w:val="333333"/>
          <w:sz w:val="24"/>
          <w:szCs w:val="24"/>
          <w:u w:color="333333"/>
          <w:shd w:val="clear" w:color="auto" w:fill="FFFFFF"/>
        </w:rPr>
      </w:pPr>
      <w:r w:rsidRPr="00722E79">
        <w:rPr>
          <w:rFonts w:ascii="Calibri" w:hAnsi="Calibri" w:cs="Calibri"/>
          <w:color w:val="333333"/>
          <w:sz w:val="24"/>
          <w:szCs w:val="24"/>
          <w:u w:color="333333"/>
          <w:shd w:val="clear" w:color="auto" w:fill="FFFFFF"/>
        </w:rPr>
        <w:t>Teachers and school nursing staff have great potential to be the instigators and communicators of early detection strategies to first identify and then work with vulnerable young people who may not have reached the threshold for diagnosis, or who are deemed at high risk.</w:t>
      </w:r>
    </w:p>
    <w:p w:rsidR="00577ABA" w:rsidRPr="00722E79" w:rsidRDefault="00577ABA" w:rsidP="00577ABA">
      <w:pPr>
        <w:pStyle w:val="Default"/>
        <w:rPr>
          <w:rFonts w:ascii="Calibri" w:eastAsia="Trebuchet MS" w:hAnsi="Calibri" w:cs="Calibri"/>
          <w:color w:val="333333"/>
          <w:sz w:val="24"/>
          <w:szCs w:val="24"/>
          <w:u w:color="333333"/>
          <w:shd w:val="clear" w:color="auto" w:fill="FFFFFF"/>
        </w:rPr>
      </w:pPr>
    </w:p>
    <w:p w:rsidR="00577ABA" w:rsidRPr="00722E79" w:rsidRDefault="00577ABA" w:rsidP="00577ABA">
      <w:pPr>
        <w:pStyle w:val="Default"/>
        <w:rPr>
          <w:rFonts w:ascii="Calibri" w:eastAsia="Trebuchet MS" w:hAnsi="Calibri" w:cs="Calibri"/>
          <w:color w:val="333333"/>
          <w:sz w:val="24"/>
          <w:szCs w:val="24"/>
          <w:u w:color="333333"/>
          <w:shd w:val="clear" w:color="auto" w:fill="FFFFFF"/>
        </w:rPr>
      </w:pPr>
      <w:r w:rsidRPr="00722E79">
        <w:rPr>
          <w:rFonts w:ascii="Calibri" w:hAnsi="Calibri" w:cs="Calibri"/>
          <w:color w:val="333333"/>
          <w:sz w:val="24"/>
          <w:szCs w:val="24"/>
          <w:u w:color="333333"/>
          <w:shd w:val="clear" w:color="auto" w:fill="FFFFFF"/>
        </w:rPr>
        <w:t xml:space="preserve">Mental health awareness and education programmes, embedded within the school curriculum and delivered within schools can be extremely beneficial for young people, especially when using a ‘whole school’ approach. The role of educating young people about mental health, identifying and supporting those at risk, however, increasingly falls to teaching staff who may struggle to deliver consistent, youth-friendly mental health programmes, due to an increasingly packed curriculum with a primary focus on academic concerns, lack of expertise and little or inadequate training. </w:t>
      </w:r>
    </w:p>
    <w:p w:rsidR="00577ABA" w:rsidRPr="00722E79" w:rsidRDefault="00577ABA" w:rsidP="00577ABA">
      <w:pPr>
        <w:pStyle w:val="Default"/>
        <w:rPr>
          <w:rFonts w:ascii="Calibri" w:eastAsia="Trebuchet MS" w:hAnsi="Calibri" w:cs="Calibri"/>
          <w:color w:val="333333"/>
          <w:sz w:val="24"/>
          <w:szCs w:val="24"/>
          <w:u w:color="333333"/>
          <w:shd w:val="clear" w:color="auto" w:fill="FFFFFF"/>
        </w:rPr>
      </w:pPr>
      <w:r w:rsidRPr="00722E79">
        <w:rPr>
          <w:rFonts w:ascii="Calibri" w:hAnsi="Calibri" w:cs="Calibri"/>
          <w:color w:val="333333"/>
          <w:sz w:val="24"/>
          <w:szCs w:val="24"/>
          <w:u w:color="333333"/>
          <w:shd w:val="clear" w:color="auto" w:fill="FFFFFF"/>
        </w:rPr>
        <w:t xml:space="preserve">Youth mental health is often only alluded to during initial teacher training in relation to safeguarding policies and is not necessarily included as part of continuing professional development, despite the increasing expectations put upon teachers to provide support for young people presenting with mental health issues. </w:t>
      </w:r>
    </w:p>
    <w:p w:rsidR="00577ABA" w:rsidRPr="00722E79" w:rsidRDefault="00577ABA" w:rsidP="00577ABA">
      <w:pPr>
        <w:pStyle w:val="Default"/>
        <w:rPr>
          <w:rFonts w:ascii="Calibri" w:eastAsia="Trebuchet MS" w:hAnsi="Calibri" w:cs="Calibri"/>
          <w:color w:val="333333"/>
          <w:sz w:val="24"/>
          <w:szCs w:val="24"/>
          <w:u w:color="333333"/>
          <w:shd w:val="clear" w:color="auto" w:fill="FFFFFF"/>
        </w:rPr>
      </w:pPr>
    </w:p>
    <w:p w:rsidR="00577ABA" w:rsidRPr="00722E79" w:rsidRDefault="00577ABA" w:rsidP="00577ABA">
      <w:pPr>
        <w:pStyle w:val="Default"/>
        <w:rPr>
          <w:rFonts w:ascii="Calibri" w:eastAsia="Trebuchet MS" w:hAnsi="Calibri" w:cs="Calibri"/>
          <w:color w:val="333333"/>
          <w:sz w:val="24"/>
          <w:szCs w:val="24"/>
          <w:u w:color="333333"/>
          <w:shd w:val="clear" w:color="auto" w:fill="FFFFFF"/>
        </w:rPr>
      </w:pPr>
      <w:r w:rsidRPr="00722E79">
        <w:rPr>
          <w:rFonts w:ascii="Calibri" w:hAnsi="Calibri" w:cs="Calibri"/>
          <w:color w:val="333333"/>
          <w:sz w:val="24"/>
          <w:szCs w:val="24"/>
          <w:u w:color="333333"/>
          <w:shd w:val="clear" w:color="auto" w:fill="FFFFFF"/>
        </w:rPr>
        <w:t>The Youth Mental Health theme conducted an online survey with teachers in Birmingham about their role in supporting young people with their mental health. Many reported feeling ill-prepared to fulfil this role, experiencing problems with their own mental health which often prevented them from effectively supporting their students.</w:t>
      </w:r>
    </w:p>
    <w:p w:rsidR="00577ABA" w:rsidRPr="00722E79" w:rsidRDefault="00577ABA" w:rsidP="00577ABA">
      <w:pPr>
        <w:pStyle w:val="Default"/>
        <w:rPr>
          <w:rFonts w:ascii="Calibri" w:eastAsia="Trebuchet MS" w:hAnsi="Calibri" w:cs="Calibri"/>
          <w:color w:val="333333"/>
          <w:sz w:val="24"/>
          <w:szCs w:val="24"/>
          <w:u w:color="333333"/>
          <w:shd w:val="clear" w:color="auto" w:fill="FFFFFF"/>
        </w:rPr>
      </w:pPr>
    </w:p>
    <w:p w:rsidR="00577ABA" w:rsidRPr="00722E79" w:rsidRDefault="00577ABA" w:rsidP="00577ABA">
      <w:pPr>
        <w:pStyle w:val="Default"/>
        <w:rPr>
          <w:rFonts w:ascii="Calibri" w:hAnsi="Calibri" w:cs="Calibri"/>
        </w:rPr>
      </w:pPr>
      <w:r w:rsidRPr="00722E79">
        <w:rPr>
          <w:rFonts w:ascii="Calibri" w:hAnsi="Calibri" w:cs="Calibri"/>
          <w:color w:val="333333"/>
          <w:sz w:val="24"/>
          <w:szCs w:val="24"/>
          <w:u w:color="333333"/>
          <w:shd w:val="clear" w:color="auto" w:fill="FFFFFF"/>
        </w:rPr>
        <w:t>These findings prompted the development of our ‘SchoolSpace’ network, a growing network of schools in the West Midlands, committed to working in collaboration with us in our early detection and intervention research. This collaboration aims to improve mental health education in schools, engage with young people, support teachers in their role as mental health advisors and implement routine measurement of young people’s emotional wellbeing. The network is also an opportunity for schools to participate in our youth mental health research and play an integral part in the future design and development of evidence-based interventions, suitable for use within the school environment.</w:t>
      </w:r>
    </w:p>
    <w:p w:rsidR="002536BC" w:rsidRDefault="002536BC">
      <w:pPr>
        <w:pStyle w:val="BodyA"/>
        <w:spacing w:after="200"/>
        <w:rPr>
          <w:rFonts w:ascii="Calibri" w:eastAsia="Calibri" w:hAnsi="Calibri" w:cs="Calibri"/>
          <w:sz w:val="24"/>
          <w:szCs w:val="24"/>
        </w:rPr>
      </w:pPr>
      <w:bookmarkStart w:id="0" w:name="_GoBack"/>
      <w:bookmarkEnd w:id="0"/>
    </w:p>
    <w:sectPr w:rsidR="002536BC">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765E" w:rsidRDefault="00722E79">
      <w:r>
        <w:separator/>
      </w:r>
    </w:p>
  </w:endnote>
  <w:endnote w:type="continuationSeparator" w:id="0">
    <w:p w:rsidR="005D765E" w:rsidRDefault="00722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765E" w:rsidRDefault="00722E79">
      <w:r>
        <w:separator/>
      </w:r>
    </w:p>
  </w:footnote>
  <w:footnote w:type="continuationSeparator" w:id="0">
    <w:p w:rsidR="005D765E" w:rsidRDefault="00722E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6BC"/>
    <w:rsid w:val="00206F8A"/>
    <w:rsid w:val="002536BC"/>
    <w:rsid w:val="00577ABA"/>
    <w:rsid w:val="005D765E"/>
    <w:rsid w:val="00722E79"/>
    <w:rsid w:val="009A27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5165CA-638B-486D-93C3-4B15E2E92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A">
    <w:name w:val="Body A"/>
    <w:rPr>
      <w:rFonts w:ascii="Helvetica Neue" w:hAnsi="Helvetica Neue" w:cs="Arial Unicode MS"/>
      <w:color w:val="000000"/>
      <w:sz w:val="22"/>
      <w:szCs w:val="22"/>
      <w:u w:color="000000"/>
      <w:lang w:val="en-US"/>
    </w:rPr>
  </w:style>
  <w:style w:type="paragraph" w:customStyle="1" w:styleId="Default">
    <w:name w:val="Default"/>
    <w:rPr>
      <w:rFonts w:ascii="Helvetica Neue" w:hAnsi="Helvetica Neue" w:cs="Arial Unicode MS"/>
      <w:color w:val="000000"/>
      <w:sz w:val="22"/>
      <w:szCs w:val="22"/>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101600" tIns="101600" rIns="101600" bIns="1016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CF76A61A</Template>
  <TotalTime>0</TotalTime>
  <Pages>2</Pages>
  <Words>702</Words>
  <Characters>4005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4698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Brennan, Anne-Marie</dc:creator>
  <cp:lastModifiedBy>Sewell, Katie</cp:lastModifiedBy>
  <cp:revision>2</cp:revision>
  <dcterms:created xsi:type="dcterms:W3CDTF">2018-10-15T11:41:00Z</dcterms:created>
  <dcterms:modified xsi:type="dcterms:W3CDTF">2018-10-15T11:41:00Z</dcterms:modified>
</cp:coreProperties>
</file>