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15D6A8F" w14:textId="23344D75" w:rsidR="00371A2D" w:rsidRDefault="003220EE">
      <w:r>
        <w:rPr>
          <w:noProof/>
          <w:lang w:eastAsia="en-GB"/>
        </w:rPr>
        <w:drawing>
          <wp:anchor distT="0" distB="0" distL="114300" distR="114300" simplePos="0" relativeHeight="251658240" behindDoc="0" locked="0" layoutInCell="1" allowOverlap="1" wp14:anchorId="7CE5094E" wp14:editId="6314775E">
            <wp:simplePos x="0" y="0"/>
            <wp:positionH relativeFrom="margin">
              <wp:align>left</wp:align>
            </wp:positionH>
            <wp:positionV relativeFrom="paragraph">
              <wp:posOffset>0</wp:posOffset>
            </wp:positionV>
            <wp:extent cx="2409825" cy="1225550"/>
            <wp:effectExtent l="0" t="0" r="9525"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extLst>
                        <a:ext uri="{28A0092B-C50C-407E-A947-70E740481C1C}">
                          <a14:useLocalDpi xmlns:a14="http://schemas.microsoft.com/office/drawing/2010/main" val="0"/>
                        </a:ext>
                      </a:extLst>
                    </a:blip>
                    <a:stretch>
                      <a:fillRect/>
                    </a:stretch>
                  </pic:blipFill>
                  <pic:spPr>
                    <a:xfrm>
                      <a:off x="0" y="0"/>
                      <a:ext cx="2409825" cy="1225550"/>
                    </a:xfrm>
                    <a:prstGeom prst="rect">
                      <a:avLst/>
                    </a:prstGeom>
                  </pic:spPr>
                </pic:pic>
              </a:graphicData>
            </a:graphic>
            <wp14:sizeRelV relativeFrom="margin">
              <wp14:pctHeight>0</wp14:pctHeight>
            </wp14:sizeRelV>
          </wp:anchor>
        </w:drawing>
      </w:r>
      <w:r w:rsidR="004566D0">
        <w:rPr>
          <w:noProof/>
        </w:rPr>
        <mc:AlternateContent>
          <mc:Choice Requires="wps">
            <w:drawing>
              <wp:anchor distT="45720" distB="45720" distL="114300" distR="114300" simplePos="0" relativeHeight="251660288" behindDoc="0" locked="0" layoutInCell="1" allowOverlap="1" wp14:anchorId="2AA258D3" wp14:editId="7BAC98FC">
                <wp:simplePos x="0" y="0"/>
                <wp:positionH relativeFrom="column">
                  <wp:posOffset>2495550</wp:posOffset>
                </wp:positionH>
                <wp:positionV relativeFrom="paragraph">
                  <wp:posOffset>133350</wp:posOffset>
                </wp:positionV>
                <wp:extent cx="3670300" cy="1223645"/>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70300" cy="122364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A014040" w14:textId="77777777" w:rsidR="00D41F9D" w:rsidRDefault="00D41F9D" w:rsidP="004566D0">
                            <w:pPr>
                              <w:pStyle w:val="Default"/>
                              <w:rPr>
                                <w:sz w:val="28"/>
                                <w:szCs w:val="28"/>
                              </w:rPr>
                            </w:pPr>
                            <w:r>
                              <w:rPr>
                                <w:b/>
                                <w:bCs/>
                                <w:sz w:val="28"/>
                                <w:szCs w:val="28"/>
                              </w:rPr>
                              <w:t xml:space="preserve">ADAPT-Sepsis Trial </w:t>
                            </w:r>
                          </w:p>
                          <w:p w14:paraId="3D0A93B8" w14:textId="77777777" w:rsidR="00D41F9D" w:rsidRDefault="00D41F9D" w:rsidP="004566D0">
                            <w:pPr>
                              <w:pStyle w:val="Default"/>
                              <w:rPr>
                                <w:sz w:val="22"/>
                                <w:szCs w:val="22"/>
                              </w:rPr>
                            </w:pPr>
                            <w:proofErr w:type="spellStart"/>
                            <w:r>
                              <w:rPr>
                                <w:sz w:val="22"/>
                                <w:szCs w:val="22"/>
                              </w:rPr>
                              <w:t>BiomArker</w:t>
                            </w:r>
                            <w:proofErr w:type="spellEnd"/>
                            <w:r>
                              <w:rPr>
                                <w:sz w:val="22"/>
                                <w:szCs w:val="22"/>
                              </w:rPr>
                              <w:t xml:space="preserve">-guided Duration of Antibiotic treatment in hospitalised </w:t>
                            </w:r>
                            <w:proofErr w:type="spellStart"/>
                            <w:r>
                              <w:rPr>
                                <w:sz w:val="22"/>
                                <w:szCs w:val="22"/>
                              </w:rPr>
                              <w:t>PaTients</w:t>
                            </w:r>
                            <w:proofErr w:type="spellEnd"/>
                            <w:r>
                              <w:rPr>
                                <w:sz w:val="22"/>
                                <w:szCs w:val="22"/>
                              </w:rPr>
                              <w:t xml:space="preserve"> with Sepsis </w:t>
                            </w:r>
                          </w:p>
                          <w:p w14:paraId="59D1C3B9" w14:textId="77777777" w:rsidR="00D41F9D" w:rsidRDefault="00D41F9D" w:rsidP="004566D0">
                            <w:pPr>
                              <w:pStyle w:val="Default"/>
                              <w:rPr>
                                <w:b/>
                                <w:bCs/>
                                <w:sz w:val="28"/>
                                <w:szCs w:val="28"/>
                              </w:rPr>
                            </w:pPr>
                          </w:p>
                          <w:p w14:paraId="5F4E6DCA" w14:textId="2F926C65" w:rsidR="00D41F9D" w:rsidRDefault="00D41F9D" w:rsidP="004566D0">
                            <w:r>
                              <w:rPr>
                                <w:b/>
                                <w:bCs/>
                                <w:sz w:val="28"/>
                                <w:szCs w:val="28"/>
                                <w:u w:val="single"/>
                              </w:rPr>
                              <w:t xml:space="preserve">Study Restart </w:t>
                            </w:r>
                            <w:r w:rsidRPr="00852C9C">
                              <w:rPr>
                                <w:b/>
                                <w:bCs/>
                                <w:sz w:val="28"/>
                                <w:szCs w:val="28"/>
                                <w:u w:val="single"/>
                              </w:rPr>
                              <w:t xml:space="preserve">Frequently Asked Questions </w:t>
                            </w:r>
                          </w:p>
                          <w:p w14:paraId="73E9EDFB" w14:textId="2A3A4F4F" w:rsidR="00D41F9D" w:rsidRDefault="00D41F9D"/>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AA258D3" id="_x0000_t202" coordsize="21600,21600" o:spt="202" path="m,l,21600r21600,l21600,xe">
                <v:stroke joinstyle="miter"/>
                <v:path gradientshapeok="t" o:connecttype="rect"/>
              </v:shapetype>
              <v:shape id="Text Box 2" o:spid="_x0000_s1026" type="#_x0000_t202" style="position:absolute;margin-left:196.5pt;margin-top:10.5pt;width:289pt;height:96.35pt;z-index:2516602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" filled="f" stroked="f">
                <v:textbox>
                  <w:txbxContent>
                    <w:p w14:paraId="1A014040" w14:textId="77777777" w:rsidR="00D41F9D" w:rsidRDefault="00D41F9D" w:rsidP="004566D0">
                      <w:pPr>
                        <w:pStyle w:val="Default"/>
                        <w:rPr>
                          <w:sz w:val="28"/>
                          <w:szCs w:val="28"/>
                        </w:rPr>
                      </w:pPr>
                      <w:r>
                        <w:rPr>
                          <w:b/>
                          <w:bCs/>
                          <w:sz w:val="28"/>
                          <w:szCs w:val="28"/>
                        </w:rPr>
                        <w:t xml:space="preserve">ADAPT-Sepsis Trial </w:t>
                      </w:r>
                    </w:p>
                    <w:p w14:paraId="3D0A93B8" w14:textId="77777777" w:rsidR="00D41F9D" w:rsidRDefault="00D41F9D" w:rsidP="004566D0">
                      <w:pPr>
                        <w:pStyle w:val="Default"/>
                        <w:rPr>
                          <w:sz w:val="22"/>
                          <w:szCs w:val="22"/>
                        </w:rPr>
                      </w:pPr>
                      <w:proofErr w:type="spellStart"/>
                      <w:r>
                        <w:rPr>
                          <w:sz w:val="22"/>
                          <w:szCs w:val="22"/>
                        </w:rPr>
                        <w:t>BiomArker</w:t>
                      </w:r>
                      <w:proofErr w:type="spellEnd"/>
                      <w:r>
                        <w:rPr>
                          <w:sz w:val="22"/>
                          <w:szCs w:val="22"/>
                        </w:rPr>
                        <w:t xml:space="preserve">-guided Duration of Antibiotic treatment in hospitalised </w:t>
                      </w:r>
                      <w:proofErr w:type="spellStart"/>
                      <w:r>
                        <w:rPr>
                          <w:sz w:val="22"/>
                          <w:szCs w:val="22"/>
                        </w:rPr>
                        <w:t>PaTients</w:t>
                      </w:r>
                      <w:proofErr w:type="spellEnd"/>
                      <w:r>
                        <w:rPr>
                          <w:sz w:val="22"/>
                          <w:szCs w:val="22"/>
                        </w:rPr>
                        <w:t xml:space="preserve"> with Sepsis </w:t>
                      </w:r>
                    </w:p>
                    <w:p w14:paraId="59D1C3B9" w14:textId="77777777" w:rsidR="00D41F9D" w:rsidRDefault="00D41F9D" w:rsidP="004566D0">
                      <w:pPr>
                        <w:pStyle w:val="Default"/>
                        <w:rPr>
                          <w:b/>
                          <w:bCs/>
                          <w:sz w:val="28"/>
                          <w:szCs w:val="28"/>
                        </w:rPr>
                      </w:pPr>
                    </w:p>
                    <w:p w14:paraId="5F4E6DCA" w14:textId="2F926C65" w:rsidR="00D41F9D" w:rsidRDefault="00D41F9D" w:rsidP="004566D0">
                      <w:r>
                        <w:rPr>
                          <w:b/>
                          <w:bCs/>
                          <w:sz w:val="28"/>
                          <w:szCs w:val="28"/>
                          <w:u w:val="single"/>
                        </w:rPr>
                        <w:t xml:space="preserve">Study Restart </w:t>
                      </w:r>
                      <w:r w:rsidRPr="00852C9C">
                        <w:rPr>
                          <w:b/>
                          <w:bCs/>
                          <w:sz w:val="28"/>
                          <w:szCs w:val="28"/>
                          <w:u w:val="single"/>
                        </w:rPr>
                        <w:t xml:space="preserve">Frequently Asked Questions </w:t>
                      </w:r>
                    </w:p>
                    <w:p w14:paraId="73E9EDFB" w14:textId="2A3A4F4F" w:rsidR="00D41F9D" w:rsidRDefault="00D41F9D"/>
                  </w:txbxContent>
                </v:textbox>
                <w10:wrap type="square"/>
              </v:shape>
            </w:pict>
          </mc:Fallback>
        </mc:AlternateContent>
      </w:r>
    </w:p>
    <w:p w14:paraId="2A1CF18C" w14:textId="77777777" w:rsidR="004566D0" w:rsidRPr="00852C9C" w:rsidRDefault="004566D0" w:rsidP="004566D0">
      <w:pPr>
        <w:pStyle w:val="Default"/>
        <w:rPr>
          <w:sz w:val="28"/>
          <w:szCs w:val="23"/>
        </w:rPr>
      </w:pPr>
      <w:r w:rsidRPr="00852C9C">
        <w:rPr>
          <w:b/>
          <w:bCs/>
          <w:sz w:val="28"/>
          <w:szCs w:val="23"/>
        </w:rPr>
        <w:t xml:space="preserve">Why is this trial important? </w:t>
      </w:r>
    </w:p>
    <w:p w14:paraId="2BD5DF67" w14:textId="6C56AFE6" w:rsidR="007C3BD0" w:rsidRDefault="004566D0" w:rsidP="004566D0">
      <w:pPr>
        <w:pStyle w:val="Default"/>
        <w:rPr>
          <w:szCs w:val="23"/>
        </w:rPr>
      </w:pPr>
      <w:r>
        <w:rPr>
          <w:szCs w:val="23"/>
        </w:rPr>
        <w:t>The AD</w:t>
      </w:r>
      <w:r w:rsidRPr="00852C9C">
        <w:rPr>
          <w:szCs w:val="23"/>
        </w:rPr>
        <w:t>A</w:t>
      </w:r>
      <w:r>
        <w:rPr>
          <w:szCs w:val="23"/>
        </w:rPr>
        <w:t>P</w:t>
      </w:r>
      <w:r w:rsidRPr="00852C9C">
        <w:rPr>
          <w:szCs w:val="23"/>
        </w:rPr>
        <w:t xml:space="preserve">T-Sepsis Trial is the result of a National Institute of Health Research (NIHR) Health Technology Assessment (HTA) commissioned call for high quality evidence in the field of </w:t>
      </w:r>
      <w:r w:rsidR="002B0CDD">
        <w:rPr>
          <w:szCs w:val="23"/>
        </w:rPr>
        <w:t xml:space="preserve">biomarker-guided </w:t>
      </w:r>
      <w:r w:rsidRPr="00852C9C">
        <w:rPr>
          <w:szCs w:val="23"/>
        </w:rPr>
        <w:t xml:space="preserve">antibiotic </w:t>
      </w:r>
      <w:r w:rsidR="002B0CDD">
        <w:rPr>
          <w:szCs w:val="23"/>
        </w:rPr>
        <w:t xml:space="preserve">duration </w:t>
      </w:r>
      <w:r w:rsidRPr="00852C9C">
        <w:rPr>
          <w:szCs w:val="23"/>
        </w:rPr>
        <w:t>in sepsis to benefit patients. It responds to evidence gaps and recent research recommendations from NICE (Diagnostic Guidance (DG 18) for Sepsis 2015).</w:t>
      </w:r>
      <w:r>
        <w:rPr>
          <w:szCs w:val="23"/>
        </w:rPr>
        <w:t xml:space="preserve"> Importantly, NICE recommend that UK hospitals already using PCT for antibiotic guidance in sepsis should be encouraged to engage with trials seeking to understand its clinical and cost effectiveness in the NHS – which is what ADAP</w:t>
      </w:r>
      <w:r w:rsidR="007725B7">
        <w:rPr>
          <w:szCs w:val="23"/>
        </w:rPr>
        <w:t>T</w:t>
      </w:r>
      <w:r>
        <w:rPr>
          <w:szCs w:val="23"/>
        </w:rPr>
        <w:t>-Sepsis aims to do.</w:t>
      </w:r>
    </w:p>
    <w:p w14:paraId="5472834F" w14:textId="77777777" w:rsidR="007C3BD0" w:rsidRDefault="007C3BD0" w:rsidP="004566D0">
      <w:pPr>
        <w:pStyle w:val="Default"/>
        <w:rPr>
          <w:szCs w:val="23"/>
        </w:rPr>
      </w:pPr>
    </w:p>
    <w:p w14:paraId="336B6466" w14:textId="2CEC8E97" w:rsidR="004566D0" w:rsidRPr="00852C9C" w:rsidRDefault="00925BDE" w:rsidP="004566D0">
      <w:pPr>
        <w:pStyle w:val="Default"/>
        <w:rPr>
          <w:szCs w:val="23"/>
        </w:rPr>
      </w:pPr>
      <w:r>
        <w:rPr>
          <w:szCs w:val="23"/>
        </w:rPr>
        <w:t>During the COVID-19 pandemic, NICE ha</w:t>
      </w:r>
      <w:r w:rsidR="007C3BD0">
        <w:rPr>
          <w:szCs w:val="23"/>
        </w:rPr>
        <w:t>s</w:t>
      </w:r>
      <w:r>
        <w:rPr>
          <w:szCs w:val="23"/>
        </w:rPr>
        <w:t xml:space="preserve"> </w:t>
      </w:r>
      <w:r w:rsidR="007C3BD0">
        <w:rPr>
          <w:szCs w:val="23"/>
        </w:rPr>
        <w:t>produced</w:t>
      </w:r>
      <w:r>
        <w:rPr>
          <w:szCs w:val="23"/>
        </w:rPr>
        <w:t xml:space="preserve"> additional guidance for the use of antibiotics when treating hospitalised patients with highly suspected or confirmed COVID-19 (NICE NG173)</w:t>
      </w:r>
      <w:r w:rsidR="007C3BD0">
        <w:rPr>
          <w:szCs w:val="23"/>
        </w:rPr>
        <w:t>. This new NICE guidance</w:t>
      </w:r>
      <w:r>
        <w:rPr>
          <w:szCs w:val="23"/>
        </w:rPr>
        <w:t xml:space="preserve"> confirm</w:t>
      </w:r>
      <w:r w:rsidR="007C3BD0">
        <w:rPr>
          <w:szCs w:val="23"/>
        </w:rPr>
        <w:t>s</w:t>
      </w:r>
      <w:r>
        <w:rPr>
          <w:szCs w:val="23"/>
        </w:rPr>
        <w:t xml:space="preserve"> that the use of biomarkers </w:t>
      </w:r>
      <w:r w:rsidR="007C3BD0">
        <w:rPr>
          <w:szCs w:val="23"/>
        </w:rPr>
        <w:t xml:space="preserve">to guide antibiotic duration, </w:t>
      </w:r>
      <w:r>
        <w:rPr>
          <w:szCs w:val="23"/>
        </w:rPr>
        <w:t>such as PCT</w:t>
      </w:r>
      <w:r w:rsidR="007C3BD0">
        <w:rPr>
          <w:szCs w:val="23"/>
        </w:rPr>
        <w:t>,</w:t>
      </w:r>
      <w:r>
        <w:rPr>
          <w:szCs w:val="23"/>
        </w:rPr>
        <w:t xml:space="preserve"> should be in the context of a</w:t>
      </w:r>
      <w:r w:rsidR="007C3BD0">
        <w:rPr>
          <w:szCs w:val="23"/>
        </w:rPr>
        <w:t xml:space="preserve"> clinical research trial. The ADAPT-Sepsis trial continues to include critically ill adult patients with suspected sepsis resulting from any infectious cause, which can also include COVID-19. </w:t>
      </w:r>
    </w:p>
    <w:p w14:paraId="39F75D0B" w14:textId="77777777" w:rsidR="004566D0" w:rsidRDefault="004566D0" w:rsidP="004566D0">
      <w:pPr>
        <w:pStyle w:val="Default"/>
        <w:rPr>
          <w:b/>
          <w:bCs/>
          <w:sz w:val="28"/>
          <w:szCs w:val="23"/>
        </w:rPr>
      </w:pPr>
    </w:p>
    <w:p w14:paraId="61B94D7B" w14:textId="77777777" w:rsidR="004566D0" w:rsidRPr="00852C9C" w:rsidRDefault="004566D0" w:rsidP="004566D0">
      <w:pPr>
        <w:pStyle w:val="Default"/>
        <w:rPr>
          <w:sz w:val="28"/>
          <w:szCs w:val="23"/>
        </w:rPr>
      </w:pPr>
      <w:r w:rsidRPr="00852C9C">
        <w:rPr>
          <w:b/>
          <w:bCs/>
          <w:sz w:val="28"/>
          <w:szCs w:val="23"/>
        </w:rPr>
        <w:t xml:space="preserve">Who is </w:t>
      </w:r>
      <w:r>
        <w:rPr>
          <w:b/>
          <w:bCs/>
          <w:sz w:val="28"/>
          <w:szCs w:val="23"/>
        </w:rPr>
        <w:t>funding</w:t>
      </w:r>
      <w:r w:rsidRPr="00852C9C">
        <w:rPr>
          <w:b/>
          <w:bCs/>
          <w:sz w:val="28"/>
          <w:szCs w:val="23"/>
        </w:rPr>
        <w:t xml:space="preserve"> this </w:t>
      </w:r>
      <w:r>
        <w:rPr>
          <w:b/>
          <w:bCs/>
          <w:sz w:val="28"/>
          <w:szCs w:val="23"/>
        </w:rPr>
        <w:t>t</w:t>
      </w:r>
      <w:r w:rsidRPr="00852C9C">
        <w:rPr>
          <w:b/>
          <w:bCs/>
          <w:sz w:val="28"/>
          <w:szCs w:val="23"/>
        </w:rPr>
        <w:t>rial</w:t>
      </w:r>
      <w:r w:rsidRPr="00852C9C">
        <w:rPr>
          <w:sz w:val="28"/>
          <w:szCs w:val="23"/>
        </w:rPr>
        <w:t xml:space="preserve">? </w:t>
      </w:r>
    </w:p>
    <w:p w14:paraId="1CDE4366" w14:textId="77777777" w:rsidR="004566D0" w:rsidRDefault="004566D0" w:rsidP="004566D0">
      <w:pPr>
        <w:pStyle w:val="Default"/>
        <w:rPr>
          <w:szCs w:val="23"/>
        </w:rPr>
      </w:pPr>
      <w:r w:rsidRPr="00852C9C">
        <w:rPr>
          <w:szCs w:val="23"/>
        </w:rPr>
        <w:t xml:space="preserve">National Institute of Health Research (NIHR) Health Technology Assessment (HTA) Commission. </w:t>
      </w:r>
    </w:p>
    <w:p w14:paraId="382AAE6F" w14:textId="77777777" w:rsidR="004566D0" w:rsidRPr="00852C9C" w:rsidRDefault="004566D0" w:rsidP="004566D0">
      <w:pPr>
        <w:pStyle w:val="Default"/>
        <w:rPr>
          <w:szCs w:val="23"/>
        </w:rPr>
      </w:pPr>
    </w:p>
    <w:p w14:paraId="58729D42" w14:textId="77777777" w:rsidR="004566D0" w:rsidRPr="00852C9C" w:rsidRDefault="004566D0" w:rsidP="004566D0">
      <w:pPr>
        <w:pStyle w:val="Default"/>
        <w:rPr>
          <w:sz w:val="28"/>
          <w:szCs w:val="23"/>
        </w:rPr>
      </w:pPr>
      <w:r>
        <w:rPr>
          <w:b/>
          <w:bCs/>
          <w:sz w:val="28"/>
          <w:szCs w:val="23"/>
        </w:rPr>
        <w:t>How many s</w:t>
      </w:r>
      <w:r w:rsidRPr="00852C9C">
        <w:rPr>
          <w:b/>
          <w:bCs/>
          <w:sz w:val="28"/>
          <w:szCs w:val="23"/>
        </w:rPr>
        <w:t xml:space="preserve">ites will participate in ADAPT-Sepsis? </w:t>
      </w:r>
    </w:p>
    <w:p w14:paraId="1D71C915" w14:textId="77777777" w:rsidR="000C2CC2" w:rsidRDefault="004566D0" w:rsidP="004566D0">
      <w:pPr>
        <w:pStyle w:val="Default"/>
        <w:rPr>
          <w:szCs w:val="23"/>
        </w:rPr>
      </w:pPr>
      <w:r>
        <w:rPr>
          <w:szCs w:val="23"/>
        </w:rPr>
        <w:t xml:space="preserve">We are aiming for </w:t>
      </w:r>
      <w:r w:rsidR="00925BDE">
        <w:rPr>
          <w:szCs w:val="23"/>
        </w:rPr>
        <w:t xml:space="preserve">at least </w:t>
      </w:r>
      <w:r>
        <w:rPr>
          <w:szCs w:val="23"/>
        </w:rPr>
        <w:t>38 sites</w:t>
      </w:r>
      <w:r w:rsidRPr="00852C9C">
        <w:rPr>
          <w:szCs w:val="23"/>
        </w:rPr>
        <w:t xml:space="preserve"> </w:t>
      </w:r>
      <w:r>
        <w:rPr>
          <w:szCs w:val="23"/>
        </w:rPr>
        <w:t>across the UK.</w:t>
      </w:r>
    </w:p>
    <w:p w14:paraId="6525910B" w14:textId="77777777" w:rsidR="000C2CC2" w:rsidRDefault="000C2CC2" w:rsidP="004566D0">
      <w:pPr>
        <w:pStyle w:val="Default"/>
        <w:rPr>
          <w:szCs w:val="23"/>
        </w:rPr>
      </w:pPr>
    </w:p>
    <w:p w14:paraId="63607E69" w14:textId="77777777" w:rsidR="000C2CC2" w:rsidRPr="001564E4" w:rsidRDefault="000C2CC2" w:rsidP="004566D0">
      <w:pPr>
        <w:pStyle w:val="Default"/>
        <w:rPr>
          <w:b/>
          <w:bCs/>
          <w:sz w:val="28"/>
          <w:szCs w:val="28"/>
        </w:rPr>
      </w:pPr>
      <w:r w:rsidRPr="001564E4">
        <w:rPr>
          <w:b/>
          <w:bCs/>
          <w:sz w:val="28"/>
          <w:szCs w:val="28"/>
        </w:rPr>
        <w:t>Are you looking for new sites?</w:t>
      </w:r>
    </w:p>
    <w:p w14:paraId="4007CB03" w14:textId="4F633A9B" w:rsidR="004566D0" w:rsidRDefault="007C3BD0" w:rsidP="004566D0">
      <w:pPr>
        <w:pStyle w:val="Default"/>
        <w:rPr>
          <w:szCs w:val="23"/>
        </w:rPr>
      </w:pPr>
      <w:r>
        <w:rPr>
          <w:szCs w:val="23"/>
        </w:rPr>
        <w:t xml:space="preserve">We are looking for new sites </w:t>
      </w:r>
      <w:r w:rsidR="000C2CC2">
        <w:rPr>
          <w:szCs w:val="23"/>
        </w:rPr>
        <w:t>as we re-start the study across the UK.</w:t>
      </w:r>
    </w:p>
    <w:p w14:paraId="2DE3EC65" w14:textId="1FF2B9EE" w:rsidR="005E29A6" w:rsidRDefault="005E29A6" w:rsidP="004566D0">
      <w:pPr>
        <w:pStyle w:val="Default"/>
        <w:rPr>
          <w:sz w:val="18"/>
          <w:szCs w:val="16"/>
        </w:rPr>
      </w:pPr>
    </w:p>
    <w:p w14:paraId="3DD3AF43" w14:textId="1F51798D" w:rsidR="00B1074C" w:rsidRDefault="00B1074C" w:rsidP="004566D0">
      <w:pPr>
        <w:pStyle w:val="Default"/>
        <w:rPr>
          <w:b/>
          <w:bCs/>
          <w:sz w:val="28"/>
          <w:szCs w:val="23"/>
        </w:rPr>
      </w:pPr>
      <w:r w:rsidRPr="00B1074C">
        <w:rPr>
          <w:b/>
          <w:bCs/>
          <w:sz w:val="28"/>
          <w:szCs w:val="23"/>
        </w:rPr>
        <w:t xml:space="preserve">When will the ADAPT Sepsis trial </w:t>
      </w:r>
      <w:r w:rsidR="000C2CC2">
        <w:rPr>
          <w:b/>
          <w:bCs/>
          <w:sz w:val="28"/>
          <w:szCs w:val="23"/>
        </w:rPr>
        <w:t xml:space="preserve">re-start </w:t>
      </w:r>
      <w:r w:rsidRPr="00B1074C">
        <w:rPr>
          <w:b/>
          <w:bCs/>
          <w:sz w:val="28"/>
          <w:szCs w:val="23"/>
        </w:rPr>
        <w:t>recruitment?</w:t>
      </w:r>
    </w:p>
    <w:p w14:paraId="4A00C825" w14:textId="0484AFDF" w:rsidR="00B1074C" w:rsidRPr="00B1074C" w:rsidRDefault="000C2CC2" w:rsidP="004566D0">
      <w:pPr>
        <w:pStyle w:val="Default"/>
        <w:rPr>
          <w:szCs w:val="23"/>
        </w:rPr>
      </w:pPr>
      <w:r>
        <w:rPr>
          <w:szCs w:val="23"/>
        </w:rPr>
        <w:t xml:space="preserve">The trial has now re-started </w:t>
      </w:r>
      <w:r w:rsidR="003220EE">
        <w:rPr>
          <w:szCs w:val="23"/>
        </w:rPr>
        <w:t xml:space="preserve">04 Aug 2020. </w:t>
      </w:r>
      <w:r w:rsidR="00B1074C" w:rsidRPr="00B1074C">
        <w:rPr>
          <w:szCs w:val="23"/>
        </w:rPr>
        <w:t xml:space="preserve">The Warwick Clinical Trials unit </w:t>
      </w:r>
      <w:r w:rsidR="00B1074C">
        <w:rPr>
          <w:szCs w:val="23"/>
        </w:rPr>
        <w:t xml:space="preserve">are currently in contact with sites and working towards reopening </w:t>
      </w:r>
      <w:r>
        <w:rPr>
          <w:szCs w:val="23"/>
        </w:rPr>
        <w:t>those</w:t>
      </w:r>
      <w:r w:rsidR="00B1074C">
        <w:rPr>
          <w:szCs w:val="23"/>
        </w:rPr>
        <w:t xml:space="preserve"> who are ready</w:t>
      </w:r>
      <w:r w:rsidR="00990C6E">
        <w:rPr>
          <w:szCs w:val="23"/>
        </w:rPr>
        <w:t>.</w:t>
      </w:r>
    </w:p>
    <w:p w14:paraId="64F9FB51" w14:textId="652B5027" w:rsidR="00B5207E" w:rsidRDefault="00B5207E" w:rsidP="004566D0">
      <w:pPr>
        <w:pStyle w:val="Default"/>
        <w:rPr>
          <w:sz w:val="18"/>
          <w:szCs w:val="16"/>
        </w:rPr>
      </w:pPr>
    </w:p>
    <w:p w14:paraId="49AEE06D" w14:textId="388FC896" w:rsidR="00B5207E" w:rsidRDefault="00D41F9D" w:rsidP="004566D0">
      <w:pPr>
        <w:pStyle w:val="Default"/>
        <w:rPr>
          <w:b/>
          <w:bCs/>
          <w:sz w:val="28"/>
          <w:szCs w:val="23"/>
        </w:rPr>
      </w:pPr>
      <w:r w:rsidRPr="00D41F9D">
        <w:rPr>
          <w:b/>
          <w:bCs/>
          <w:sz w:val="28"/>
          <w:szCs w:val="23"/>
        </w:rPr>
        <w:t>Do</w:t>
      </w:r>
      <w:r>
        <w:rPr>
          <w:b/>
          <w:bCs/>
          <w:sz w:val="28"/>
          <w:szCs w:val="23"/>
        </w:rPr>
        <w:t>es the ADAPT Sepsis trial team</w:t>
      </w:r>
      <w:r w:rsidRPr="00D41F9D">
        <w:rPr>
          <w:b/>
          <w:bCs/>
          <w:sz w:val="28"/>
          <w:szCs w:val="23"/>
        </w:rPr>
        <w:t xml:space="preserve"> need to submit a</w:t>
      </w:r>
      <w:r>
        <w:rPr>
          <w:b/>
          <w:bCs/>
          <w:sz w:val="28"/>
          <w:szCs w:val="23"/>
        </w:rPr>
        <w:t>n amendment for the study to restart?</w:t>
      </w:r>
    </w:p>
    <w:p w14:paraId="17E772C4" w14:textId="77777777" w:rsidR="000C2CC2" w:rsidRDefault="000C2CC2" w:rsidP="004566D0">
      <w:pPr>
        <w:pStyle w:val="Default"/>
        <w:rPr>
          <w:szCs w:val="23"/>
        </w:rPr>
      </w:pPr>
    </w:p>
    <w:p w14:paraId="111D71E5" w14:textId="2592BB54" w:rsidR="004E759F" w:rsidRPr="00F33774" w:rsidRDefault="000C2CC2" w:rsidP="00F33774">
      <w:pPr>
        <w:pStyle w:val="Default"/>
        <w:rPr>
          <w:szCs w:val="23"/>
        </w:rPr>
      </w:pPr>
      <w:r>
        <w:rPr>
          <w:szCs w:val="23"/>
        </w:rPr>
        <w:t>No, guidance from HRA (Section 3.1.4) confirms that we can reopen the trial without any amendmen</w:t>
      </w:r>
      <w:r w:rsidR="00D47A56">
        <w:rPr>
          <w:szCs w:val="23"/>
        </w:rPr>
        <w:t>t</w:t>
      </w:r>
      <w:r w:rsidR="002B0CDD">
        <w:rPr>
          <w:szCs w:val="23"/>
        </w:rPr>
        <w:t>s</w:t>
      </w:r>
      <w:r w:rsidR="00D47A56">
        <w:rPr>
          <w:szCs w:val="23"/>
        </w:rPr>
        <w:t>.</w:t>
      </w:r>
    </w:p>
    <w:p w14:paraId="2024C60E" w14:textId="69A6AE7B" w:rsidR="000A48C8" w:rsidRPr="00852C9C" w:rsidRDefault="000A48C8" w:rsidP="000A48C8">
      <w:pPr>
        <w:pStyle w:val="Default"/>
        <w:pageBreakBefore/>
        <w:rPr>
          <w:rFonts w:cstheme="minorBidi"/>
          <w:color w:val="auto"/>
          <w:sz w:val="28"/>
          <w:szCs w:val="23"/>
        </w:rPr>
      </w:pPr>
      <w:r w:rsidRPr="00852C9C">
        <w:rPr>
          <w:rFonts w:cstheme="minorBidi"/>
          <w:b/>
          <w:bCs/>
          <w:color w:val="auto"/>
          <w:sz w:val="28"/>
          <w:szCs w:val="23"/>
        </w:rPr>
        <w:lastRenderedPageBreak/>
        <w:t xml:space="preserve">How long will the </w:t>
      </w:r>
      <w:r>
        <w:rPr>
          <w:rFonts w:cstheme="minorBidi"/>
          <w:b/>
          <w:bCs/>
          <w:color w:val="auto"/>
          <w:sz w:val="28"/>
          <w:szCs w:val="23"/>
        </w:rPr>
        <w:t>t</w:t>
      </w:r>
      <w:r w:rsidRPr="00852C9C">
        <w:rPr>
          <w:rFonts w:cstheme="minorBidi"/>
          <w:b/>
          <w:bCs/>
          <w:color w:val="auto"/>
          <w:sz w:val="28"/>
          <w:szCs w:val="23"/>
        </w:rPr>
        <w:t xml:space="preserve">rial be open for and what is the recruitment target? </w:t>
      </w:r>
    </w:p>
    <w:p w14:paraId="3DCED5D6" w14:textId="77777777" w:rsidR="000A48C8" w:rsidRDefault="000A48C8" w:rsidP="000A48C8">
      <w:pPr>
        <w:pStyle w:val="Default"/>
        <w:rPr>
          <w:color w:val="auto"/>
          <w:szCs w:val="23"/>
        </w:rPr>
      </w:pPr>
      <w:r w:rsidRPr="00852C9C">
        <w:rPr>
          <w:color w:val="auto"/>
          <w:szCs w:val="23"/>
        </w:rPr>
        <w:t xml:space="preserve">The </w:t>
      </w:r>
      <w:r>
        <w:rPr>
          <w:color w:val="auto"/>
          <w:szCs w:val="23"/>
        </w:rPr>
        <w:t xml:space="preserve">trial opened </w:t>
      </w:r>
      <w:r w:rsidRPr="00852C9C">
        <w:rPr>
          <w:color w:val="auto"/>
          <w:szCs w:val="23"/>
        </w:rPr>
        <w:t xml:space="preserve">in </w:t>
      </w:r>
      <w:r>
        <w:rPr>
          <w:color w:val="auto"/>
          <w:szCs w:val="23"/>
        </w:rPr>
        <w:t>January 2018</w:t>
      </w:r>
      <w:r w:rsidRPr="00852C9C">
        <w:rPr>
          <w:color w:val="auto"/>
          <w:szCs w:val="23"/>
        </w:rPr>
        <w:t xml:space="preserve"> and is planned to </w:t>
      </w:r>
      <w:r>
        <w:rPr>
          <w:color w:val="auto"/>
          <w:szCs w:val="23"/>
        </w:rPr>
        <w:t xml:space="preserve">continue until </w:t>
      </w:r>
      <w:r w:rsidRPr="00852C9C">
        <w:rPr>
          <w:color w:val="auto"/>
          <w:szCs w:val="23"/>
        </w:rPr>
        <w:t xml:space="preserve">the end of </w:t>
      </w:r>
      <w:r>
        <w:rPr>
          <w:color w:val="auto"/>
          <w:szCs w:val="23"/>
        </w:rPr>
        <w:t>January</w:t>
      </w:r>
      <w:r w:rsidRPr="00852C9C">
        <w:rPr>
          <w:color w:val="auto"/>
          <w:szCs w:val="23"/>
        </w:rPr>
        <w:t xml:space="preserve"> 202</w:t>
      </w:r>
      <w:r>
        <w:rPr>
          <w:color w:val="auto"/>
          <w:szCs w:val="23"/>
        </w:rPr>
        <w:t xml:space="preserve">1 </w:t>
      </w:r>
      <w:r w:rsidRPr="00852C9C">
        <w:rPr>
          <w:color w:val="auto"/>
          <w:szCs w:val="23"/>
        </w:rPr>
        <w:t xml:space="preserve">with the aim of recruiting 2760 patients. </w:t>
      </w:r>
      <w:r>
        <w:rPr>
          <w:color w:val="auto"/>
          <w:szCs w:val="23"/>
        </w:rPr>
        <w:t>There is a likelihood that this will be extended further due to delays caused by the COVID-19 pandemic.</w:t>
      </w:r>
    </w:p>
    <w:p w14:paraId="42EE48E9" w14:textId="77777777" w:rsidR="000A48C8" w:rsidRDefault="000A48C8" w:rsidP="000A48C8">
      <w:pPr>
        <w:pStyle w:val="Default"/>
        <w:rPr>
          <w:color w:val="auto"/>
          <w:szCs w:val="23"/>
        </w:rPr>
      </w:pPr>
    </w:p>
    <w:p w14:paraId="4A6FE823" w14:textId="77777777" w:rsidR="000A48C8" w:rsidRPr="00852C9C" w:rsidRDefault="000A48C8" w:rsidP="000A48C8">
      <w:pPr>
        <w:pStyle w:val="Default"/>
        <w:rPr>
          <w:color w:val="auto"/>
          <w:sz w:val="28"/>
          <w:szCs w:val="23"/>
        </w:rPr>
      </w:pPr>
      <w:r w:rsidRPr="00852C9C">
        <w:rPr>
          <w:b/>
          <w:bCs/>
          <w:color w:val="auto"/>
          <w:sz w:val="28"/>
          <w:szCs w:val="23"/>
        </w:rPr>
        <w:t xml:space="preserve">What would be the per site recruitment target? </w:t>
      </w:r>
    </w:p>
    <w:p w14:paraId="42296A38" w14:textId="77777777" w:rsidR="000A48C8" w:rsidRDefault="000A48C8" w:rsidP="000A48C8">
      <w:pPr>
        <w:pStyle w:val="Default"/>
        <w:rPr>
          <w:color w:val="auto"/>
          <w:szCs w:val="23"/>
        </w:rPr>
      </w:pPr>
      <w:r w:rsidRPr="00852C9C">
        <w:rPr>
          <w:color w:val="auto"/>
          <w:szCs w:val="23"/>
        </w:rPr>
        <w:t xml:space="preserve">To achieve our recruitment target, we need sites to recruit approximately 4 patients per month from the time they join the trial. </w:t>
      </w:r>
      <w:r>
        <w:rPr>
          <w:color w:val="auto"/>
          <w:szCs w:val="23"/>
        </w:rPr>
        <w:t>The target will remain the same with the recruitment period being extended to allow you to meet the target</w:t>
      </w:r>
    </w:p>
    <w:p w14:paraId="49DCC893" w14:textId="77777777" w:rsidR="000A48C8" w:rsidRDefault="000A48C8" w:rsidP="000A48C8">
      <w:pPr>
        <w:pStyle w:val="Default"/>
        <w:rPr>
          <w:color w:val="auto"/>
          <w:szCs w:val="23"/>
        </w:rPr>
      </w:pPr>
    </w:p>
    <w:p w14:paraId="36078E43" w14:textId="77777777" w:rsidR="000A48C8" w:rsidRPr="003D4428" w:rsidRDefault="000A48C8" w:rsidP="000A48C8">
      <w:pPr>
        <w:pStyle w:val="Default"/>
        <w:rPr>
          <w:b/>
          <w:bCs/>
          <w:color w:val="auto"/>
          <w:sz w:val="32"/>
          <w:szCs w:val="32"/>
          <w:u w:val="single"/>
        </w:rPr>
      </w:pPr>
      <w:r w:rsidRPr="003D4428">
        <w:rPr>
          <w:b/>
          <w:bCs/>
          <w:color w:val="auto"/>
          <w:sz w:val="32"/>
          <w:szCs w:val="32"/>
          <w:u w:val="single"/>
        </w:rPr>
        <w:t>Equipoise</w:t>
      </w:r>
    </w:p>
    <w:p w14:paraId="5AE97887" w14:textId="77777777" w:rsidR="000A48C8" w:rsidRDefault="000A48C8" w:rsidP="000A48C8">
      <w:pPr>
        <w:pStyle w:val="Default"/>
        <w:rPr>
          <w:b/>
          <w:bCs/>
          <w:color w:val="auto"/>
          <w:sz w:val="28"/>
          <w:szCs w:val="23"/>
        </w:rPr>
      </w:pPr>
    </w:p>
    <w:p w14:paraId="49C1CB3A" w14:textId="77777777" w:rsidR="000A48C8" w:rsidRPr="0035018B" w:rsidRDefault="000A48C8" w:rsidP="000A48C8">
      <w:pPr>
        <w:pStyle w:val="Default"/>
        <w:rPr>
          <w:b/>
          <w:bCs/>
          <w:color w:val="auto"/>
          <w:sz w:val="28"/>
          <w:szCs w:val="23"/>
        </w:rPr>
      </w:pPr>
      <w:r>
        <w:rPr>
          <w:b/>
          <w:bCs/>
          <w:color w:val="auto"/>
          <w:sz w:val="28"/>
          <w:szCs w:val="23"/>
        </w:rPr>
        <w:t>We have started using PCT in routine practice since the COVID-19 outbreak, can we continue to take part in the ADAPT-Sepsis trial?</w:t>
      </w:r>
    </w:p>
    <w:p w14:paraId="64070E22" w14:textId="75136352" w:rsidR="000A48C8" w:rsidRDefault="000A48C8" w:rsidP="00E12AD3">
      <w:pPr>
        <w:pStyle w:val="Default"/>
        <w:rPr>
          <w:szCs w:val="23"/>
        </w:rPr>
      </w:pPr>
      <w:r>
        <w:rPr>
          <w:szCs w:val="23"/>
        </w:rPr>
        <w:t xml:space="preserve">During the COVID-19 pandemic, NICE has produced additional guidance for the use of antibiotics when treating hospitalised patients with highly suspected or confirmed COVID-19 (NICE NG173). This new NICE guidance confirms that the use of biomarkers to guide antibiotic duration, such as PCT, should be in the context of a clinical research trial. The ADAPT-Sepsis trial continues to include critically ill adult patients with suspected sepsis resulting from any infectious cause, which can also include COVID-19. </w:t>
      </w:r>
    </w:p>
    <w:p w14:paraId="03D636CE" w14:textId="77777777" w:rsidR="00762180" w:rsidRDefault="00762180" w:rsidP="00762180">
      <w:pPr>
        <w:pStyle w:val="Default"/>
      </w:pPr>
    </w:p>
    <w:p w14:paraId="7DB619A5" w14:textId="400DCBF8" w:rsidR="000A48C8" w:rsidRDefault="000A48C8" w:rsidP="000A48C8">
      <w:pPr>
        <w:rPr>
          <w:rFonts w:ascii="Calibri" w:hAnsi="Calibri" w:cs="Calibri"/>
          <w:b/>
          <w:bCs/>
          <w:sz w:val="28"/>
          <w:szCs w:val="23"/>
        </w:rPr>
      </w:pPr>
      <w:r>
        <w:rPr>
          <w:sz w:val="24"/>
        </w:rPr>
        <w:t xml:space="preserve">You will not be able to continue routinely measuring PCT for trial patients and must be able to ensure a position of equipoise for an individual trial patient. We do not insist that you stop using PCT for other patients who are not recruited into the </w:t>
      </w:r>
      <w:r w:rsidR="0046414F">
        <w:rPr>
          <w:sz w:val="24"/>
        </w:rPr>
        <w:t>trial,</w:t>
      </w:r>
      <w:r>
        <w:rPr>
          <w:sz w:val="24"/>
        </w:rPr>
        <w:t xml:space="preserve"> but we do not promote its use outside of a trial </w:t>
      </w:r>
      <w:r w:rsidR="002B0CDD">
        <w:rPr>
          <w:sz w:val="24"/>
        </w:rPr>
        <w:t xml:space="preserve">in line with current </w:t>
      </w:r>
      <w:r>
        <w:rPr>
          <w:sz w:val="24"/>
        </w:rPr>
        <w:t>NICE</w:t>
      </w:r>
      <w:r w:rsidR="002B0CDD">
        <w:rPr>
          <w:sz w:val="24"/>
        </w:rPr>
        <w:t xml:space="preserve"> recommendations</w:t>
      </w:r>
      <w:r>
        <w:rPr>
          <w:sz w:val="24"/>
        </w:rPr>
        <w:t xml:space="preserve">. We would also highlight that as part of ADAPT-Sepsis trial, every trial patient will receive </w:t>
      </w:r>
      <w:r w:rsidR="002B0CDD">
        <w:rPr>
          <w:sz w:val="24"/>
        </w:rPr>
        <w:t xml:space="preserve">individualised </w:t>
      </w:r>
      <w:r>
        <w:rPr>
          <w:sz w:val="24"/>
        </w:rPr>
        <w:t xml:space="preserve">biomarker-guided protocol advice about antibiotic use every day during their sepsis episode. </w:t>
      </w:r>
    </w:p>
    <w:p w14:paraId="7D61F43E" w14:textId="77777777" w:rsidR="00762180" w:rsidRDefault="000A48C8" w:rsidP="000A48C8">
      <w:pPr>
        <w:rPr>
          <w:sz w:val="24"/>
        </w:rPr>
      </w:pPr>
      <w:r w:rsidRPr="00EB2154">
        <w:rPr>
          <w:rFonts w:ascii="Calibri" w:hAnsi="Calibri" w:cs="Calibri"/>
          <w:b/>
          <w:bCs/>
          <w:sz w:val="28"/>
          <w:szCs w:val="23"/>
        </w:rPr>
        <w:t xml:space="preserve">Has the </w:t>
      </w:r>
      <w:r>
        <w:rPr>
          <w:rFonts w:ascii="Calibri" w:hAnsi="Calibri" w:cs="Calibri"/>
          <w:b/>
          <w:bCs/>
          <w:sz w:val="28"/>
          <w:szCs w:val="23"/>
        </w:rPr>
        <w:t xml:space="preserve">Personal Consultee </w:t>
      </w:r>
      <w:r w:rsidRPr="00EB2154">
        <w:rPr>
          <w:rFonts w:ascii="Calibri" w:hAnsi="Calibri" w:cs="Calibri"/>
          <w:b/>
          <w:bCs/>
          <w:sz w:val="28"/>
          <w:szCs w:val="23"/>
        </w:rPr>
        <w:t xml:space="preserve">consent process changed because of the COVID-19 pandemic? </w:t>
      </w:r>
    </w:p>
    <w:p w14:paraId="5D7288F2" w14:textId="7EA480D8" w:rsidR="000A48C8" w:rsidRDefault="000A48C8" w:rsidP="000A48C8">
      <w:pPr>
        <w:rPr>
          <w:sz w:val="24"/>
        </w:rPr>
      </w:pPr>
      <w:r w:rsidRPr="00C81220">
        <w:rPr>
          <w:sz w:val="24"/>
        </w:rPr>
        <w:t xml:space="preserve">Yes. Due to the </w:t>
      </w:r>
      <w:r>
        <w:rPr>
          <w:sz w:val="24"/>
        </w:rPr>
        <w:t xml:space="preserve">hospital </w:t>
      </w:r>
      <w:r w:rsidRPr="00C81220">
        <w:rPr>
          <w:sz w:val="24"/>
        </w:rPr>
        <w:t xml:space="preserve">visiting restrictions in place </w:t>
      </w:r>
      <w:r>
        <w:rPr>
          <w:sz w:val="24"/>
        </w:rPr>
        <w:t xml:space="preserve">during the </w:t>
      </w:r>
      <w:r w:rsidRPr="00C81220">
        <w:rPr>
          <w:sz w:val="24"/>
        </w:rPr>
        <w:t>COVID-19 pa</w:t>
      </w:r>
      <w:r>
        <w:rPr>
          <w:sz w:val="24"/>
        </w:rPr>
        <w:t>ndemic</w:t>
      </w:r>
      <w:r w:rsidRPr="00C81220">
        <w:rPr>
          <w:sz w:val="24"/>
        </w:rPr>
        <w:t xml:space="preserve">, it is </w:t>
      </w:r>
      <w:r>
        <w:rPr>
          <w:sz w:val="24"/>
        </w:rPr>
        <w:t xml:space="preserve">now less likely </w:t>
      </w:r>
      <w:r w:rsidRPr="00C81220">
        <w:rPr>
          <w:sz w:val="24"/>
        </w:rPr>
        <w:t xml:space="preserve">that a personal consultee will be physically available for consultation. Site teams may contact a personal consultee over the telephone and obtain verbal confirmation that they do not know of any objection to research participation expressed by the participant. </w:t>
      </w:r>
      <w:r>
        <w:rPr>
          <w:sz w:val="24"/>
        </w:rPr>
        <w:t xml:space="preserve">This must be clearly documented in the patient’s notes and a Personal </w:t>
      </w:r>
      <w:bookmarkStart w:id="0" w:name="_GoBack"/>
      <w:bookmarkEnd w:id="0"/>
      <w:r>
        <w:rPr>
          <w:sz w:val="24"/>
        </w:rPr>
        <w:t>Consultee information sheet and consent form sent out in the post which should be signed and returned to the local site research team.</w:t>
      </w:r>
    </w:p>
    <w:p w14:paraId="5462BA84" w14:textId="528C18DB" w:rsidR="00F36163" w:rsidRPr="00F36163" w:rsidRDefault="00F36163" w:rsidP="00F36163">
      <w:pPr>
        <w:pStyle w:val="xmsonormal"/>
        <w:rPr>
          <w:rFonts w:asciiTheme="minorHAnsi" w:hAnsiTheme="minorHAnsi" w:cstheme="minorBidi"/>
          <w:sz w:val="24"/>
          <w:u w:val="single"/>
          <w:lang w:eastAsia="en-US"/>
        </w:rPr>
      </w:pPr>
      <w:r w:rsidRPr="00F36163">
        <w:rPr>
          <w:rFonts w:asciiTheme="minorHAnsi" w:hAnsiTheme="minorHAnsi" w:cstheme="minorBidi"/>
          <w:sz w:val="24"/>
          <w:u w:val="single"/>
          <w:lang w:eastAsia="en-US"/>
        </w:rPr>
        <w:t xml:space="preserve">About Personal consultee consent – where you </w:t>
      </w:r>
      <w:r w:rsidRPr="00F36163">
        <w:rPr>
          <w:rFonts w:asciiTheme="minorHAnsi" w:hAnsiTheme="minorHAnsi" w:cstheme="minorBidi"/>
          <w:sz w:val="24"/>
          <w:u w:val="single"/>
          <w:lang w:eastAsia="en-US"/>
        </w:rPr>
        <w:t xml:space="preserve">feel </w:t>
      </w:r>
      <w:r w:rsidRPr="00F36163">
        <w:rPr>
          <w:rFonts w:asciiTheme="minorHAnsi" w:hAnsiTheme="minorHAnsi" w:cstheme="minorBidi"/>
          <w:sz w:val="24"/>
          <w:u w:val="single"/>
          <w:lang w:eastAsia="en-US"/>
        </w:rPr>
        <w:t xml:space="preserve">the personal </w:t>
      </w:r>
      <w:proofErr w:type="gramStart"/>
      <w:r w:rsidRPr="00F36163">
        <w:rPr>
          <w:rFonts w:asciiTheme="minorHAnsi" w:hAnsiTheme="minorHAnsi" w:cstheme="minorBidi"/>
          <w:sz w:val="24"/>
          <w:u w:val="single"/>
          <w:lang w:eastAsia="en-US"/>
        </w:rPr>
        <w:t xml:space="preserve">consultee  </w:t>
      </w:r>
      <w:r w:rsidRPr="00F36163">
        <w:rPr>
          <w:rFonts w:asciiTheme="minorHAnsi" w:hAnsiTheme="minorHAnsi" w:cstheme="minorBidi"/>
          <w:sz w:val="24"/>
          <w:u w:val="single"/>
          <w:lang w:eastAsia="en-US"/>
        </w:rPr>
        <w:t>may</w:t>
      </w:r>
      <w:proofErr w:type="gramEnd"/>
      <w:r w:rsidRPr="00F36163">
        <w:rPr>
          <w:rFonts w:asciiTheme="minorHAnsi" w:hAnsiTheme="minorHAnsi" w:cstheme="minorBidi"/>
          <w:sz w:val="24"/>
          <w:u w:val="single"/>
          <w:lang w:eastAsia="en-US"/>
        </w:rPr>
        <w:t xml:space="preserve"> </w:t>
      </w:r>
      <w:r w:rsidRPr="00F36163">
        <w:rPr>
          <w:rFonts w:asciiTheme="minorHAnsi" w:hAnsiTheme="minorHAnsi" w:cstheme="minorBidi"/>
          <w:sz w:val="24"/>
          <w:u w:val="single"/>
          <w:lang w:eastAsia="en-US"/>
        </w:rPr>
        <w:t>not retu</w:t>
      </w:r>
      <w:r w:rsidRPr="00F36163">
        <w:rPr>
          <w:rFonts w:asciiTheme="minorHAnsi" w:hAnsiTheme="minorHAnsi" w:cstheme="minorBidi"/>
          <w:sz w:val="24"/>
          <w:u w:val="single"/>
          <w:lang w:eastAsia="en-US"/>
        </w:rPr>
        <w:t>r</w:t>
      </w:r>
      <w:r w:rsidRPr="00F36163">
        <w:rPr>
          <w:rFonts w:asciiTheme="minorHAnsi" w:hAnsiTheme="minorHAnsi" w:cstheme="minorBidi"/>
          <w:sz w:val="24"/>
          <w:u w:val="single"/>
          <w:lang w:eastAsia="en-US"/>
        </w:rPr>
        <w:t xml:space="preserve">n the written consent forms: </w:t>
      </w:r>
    </w:p>
    <w:p w14:paraId="6A9A37FC" w14:textId="77777777" w:rsidR="00F36163" w:rsidRPr="00F36163" w:rsidRDefault="00F36163" w:rsidP="00F36163">
      <w:pPr>
        <w:pStyle w:val="xmsonormal"/>
        <w:rPr>
          <w:rFonts w:asciiTheme="minorHAnsi" w:hAnsiTheme="minorHAnsi" w:cstheme="minorBidi"/>
          <w:sz w:val="24"/>
          <w:lang w:eastAsia="en-US"/>
        </w:rPr>
      </w:pPr>
    </w:p>
    <w:p w14:paraId="07EFE857" w14:textId="3962BD2D" w:rsidR="00F36163" w:rsidRDefault="00F36163" w:rsidP="00F36163">
      <w:pPr>
        <w:rPr>
          <w:sz w:val="24"/>
        </w:rPr>
      </w:pPr>
      <w:r w:rsidRPr="00F36163">
        <w:rPr>
          <w:sz w:val="24"/>
        </w:rPr>
        <w:t xml:space="preserve">Ours is a pragmatic solution and we are continuing to advise sites that if they are concerned about obtaining personal consultee declaration, they should get professional consultee declaration in the first instance, they are then able to contact the families/friends via </w:t>
      </w:r>
      <w:r w:rsidRPr="00F36163">
        <w:rPr>
          <w:sz w:val="24"/>
        </w:rPr>
        <w:lastRenderedPageBreak/>
        <w:t>telephone and document this in the patient notes but there would be no concerns if the completed form wasn’t returned as the initial professional consultee decision is sufficient.</w:t>
      </w:r>
    </w:p>
    <w:p w14:paraId="5792BBC5" w14:textId="22B2F91A" w:rsidR="000A48C8" w:rsidRDefault="000A48C8" w:rsidP="000A48C8">
      <w:pPr>
        <w:rPr>
          <w:rFonts w:ascii="Calibri" w:hAnsi="Calibri" w:cs="Calibri"/>
          <w:b/>
          <w:bCs/>
          <w:sz w:val="28"/>
          <w:szCs w:val="23"/>
        </w:rPr>
      </w:pPr>
      <w:r w:rsidRPr="00C83451">
        <w:rPr>
          <w:rFonts w:ascii="Calibri" w:hAnsi="Calibri" w:cs="Calibri"/>
          <w:b/>
          <w:bCs/>
          <w:sz w:val="28"/>
          <w:szCs w:val="23"/>
        </w:rPr>
        <w:t xml:space="preserve">Is there any </w:t>
      </w:r>
      <w:r>
        <w:rPr>
          <w:rFonts w:ascii="Calibri" w:hAnsi="Calibri" w:cs="Calibri"/>
          <w:b/>
          <w:bCs/>
          <w:sz w:val="28"/>
          <w:szCs w:val="23"/>
        </w:rPr>
        <w:t xml:space="preserve">specific study guidance on infection control and PPE requirements? </w:t>
      </w:r>
    </w:p>
    <w:p w14:paraId="333A6064" w14:textId="77777777" w:rsidR="000A48C8" w:rsidRDefault="000A48C8" w:rsidP="000A48C8">
      <w:pPr>
        <w:rPr>
          <w:sz w:val="24"/>
        </w:rPr>
      </w:pPr>
      <w:r w:rsidRPr="003E5AFD">
        <w:rPr>
          <w:sz w:val="24"/>
        </w:rPr>
        <w:t>The ADAPT</w:t>
      </w:r>
      <w:r>
        <w:rPr>
          <w:sz w:val="24"/>
        </w:rPr>
        <w:t>-</w:t>
      </w:r>
      <w:r w:rsidRPr="003E5AFD">
        <w:rPr>
          <w:sz w:val="24"/>
        </w:rPr>
        <w:t xml:space="preserve">Sepsis trial </w:t>
      </w:r>
      <w:r>
        <w:rPr>
          <w:sz w:val="24"/>
        </w:rPr>
        <w:t xml:space="preserve">supports adopting your locally agreed infection control guidance and practice for treating hospitalised patients with suspected sepsis. </w:t>
      </w:r>
    </w:p>
    <w:p w14:paraId="61909E6A" w14:textId="77777777" w:rsidR="000A48C8" w:rsidRDefault="000A48C8" w:rsidP="000A48C8">
      <w:pPr>
        <w:rPr>
          <w:sz w:val="24"/>
        </w:rPr>
      </w:pPr>
    </w:p>
    <w:p w14:paraId="041A2A4B" w14:textId="77777777" w:rsidR="000A48C8" w:rsidRDefault="000A48C8" w:rsidP="000A48C8">
      <w:pPr>
        <w:rPr>
          <w:rFonts w:ascii="Calibri" w:hAnsi="Calibri" w:cs="Calibri"/>
          <w:b/>
          <w:bCs/>
          <w:sz w:val="28"/>
          <w:szCs w:val="23"/>
        </w:rPr>
      </w:pPr>
      <w:r w:rsidRPr="008E75D1">
        <w:rPr>
          <w:rFonts w:ascii="Calibri" w:hAnsi="Calibri" w:cs="Calibri"/>
          <w:b/>
          <w:bCs/>
          <w:sz w:val="28"/>
          <w:szCs w:val="23"/>
        </w:rPr>
        <w:t xml:space="preserve">Can </w:t>
      </w:r>
      <w:r>
        <w:rPr>
          <w:rFonts w:ascii="Calibri" w:hAnsi="Calibri" w:cs="Calibri"/>
          <w:b/>
          <w:bCs/>
          <w:sz w:val="28"/>
          <w:szCs w:val="23"/>
        </w:rPr>
        <w:t xml:space="preserve">patients with highly suspected or proven </w:t>
      </w:r>
      <w:r w:rsidRPr="008E75D1">
        <w:rPr>
          <w:rFonts w:ascii="Calibri" w:hAnsi="Calibri" w:cs="Calibri"/>
          <w:b/>
          <w:bCs/>
          <w:sz w:val="28"/>
          <w:szCs w:val="23"/>
        </w:rPr>
        <w:t xml:space="preserve">COVID-19 </w:t>
      </w:r>
      <w:r>
        <w:rPr>
          <w:rFonts w:ascii="Calibri" w:hAnsi="Calibri" w:cs="Calibri"/>
          <w:b/>
          <w:bCs/>
          <w:sz w:val="28"/>
          <w:szCs w:val="23"/>
        </w:rPr>
        <w:t xml:space="preserve">take part in </w:t>
      </w:r>
      <w:r w:rsidRPr="008E75D1">
        <w:rPr>
          <w:rFonts w:ascii="Calibri" w:hAnsi="Calibri" w:cs="Calibri"/>
          <w:b/>
          <w:bCs/>
          <w:sz w:val="28"/>
          <w:szCs w:val="23"/>
        </w:rPr>
        <w:t>the ADAPT-Sepsis trial?</w:t>
      </w:r>
    </w:p>
    <w:p w14:paraId="60441229" w14:textId="597556B7" w:rsidR="000A48C8" w:rsidRPr="0046414F" w:rsidRDefault="000A48C8" w:rsidP="000A48C8">
      <w:pPr>
        <w:rPr>
          <w:sz w:val="24"/>
        </w:rPr>
      </w:pPr>
      <w:r w:rsidRPr="0046414F">
        <w:rPr>
          <w:sz w:val="24"/>
        </w:rPr>
        <w:t>Yes, the SARS-CoV-2 virus can be a cause of severe pneumonia and sepsis requiring critical care. If antibiotics for severe pneumonia and sepsis have been commenced, and all other eligibility criteria are confirmed, then the patient can be offered participation in the study if the patient’s treating clinical team agree.</w:t>
      </w:r>
    </w:p>
    <w:p w14:paraId="2E79A4E8" w14:textId="77777777" w:rsidR="000A48C8" w:rsidRDefault="000A48C8" w:rsidP="000A48C8">
      <w:pPr>
        <w:rPr>
          <w:rFonts w:ascii="Calibri" w:hAnsi="Calibri" w:cs="Calibri"/>
          <w:b/>
          <w:bCs/>
          <w:sz w:val="28"/>
          <w:szCs w:val="23"/>
        </w:rPr>
      </w:pPr>
      <w:r>
        <w:rPr>
          <w:rFonts w:ascii="Calibri" w:hAnsi="Calibri" w:cs="Calibri"/>
          <w:b/>
          <w:bCs/>
          <w:sz w:val="28"/>
          <w:szCs w:val="23"/>
        </w:rPr>
        <w:t>Can we co-enrol with Urgent Public Health trials?</w:t>
      </w:r>
    </w:p>
    <w:p w14:paraId="0BB83559" w14:textId="5BDAEAB6" w:rsidR="000A48C8" w:rsidRPr="00E55A39" w:rsidRDefault="000A48C8" w:rsidP="000A48C8">
      <w:pPr>
        <w:rPr>
          <w:color w:val="FF0000"/>
          <w:sz w:val="24"/>
        </w:rPr>
      </w:pPr>
      <w:r w:rsidRPr="00E55A39">
        <w:rPr>
          <w:color w:val="FF0000"/>
          <w:sz w:val="24"/>
        </w:rPr>
        <w:t xml:space="preserve">Yes – </w:t>
      </w:r>
      <w:r w:rsidR="000B7767" w:rsidRPr="00E55A39">
        <w:rPr>
          <w:color w:val="FF0000"/>
          <w:sz w:val="24"/>
        </w:rPr>
        <w:t xml:space="preserve">we </w:t>
      </w:r>
      <w:r w:rsidRPr="00E55A39">
        <w:rPr>
          <w:color w:val="FF0000"/>
          <w:sz w:val="24"/>
        </w:rPr>
        <w:t xml:space="preserve">need to start agreeing with </w:t>
      </w:r>
      <w:r w:rsidR="00C61AAC" w:rsidRPr="00E55A39">
        <w:rPr>
          <w:color w:val="FF0000"/>
          <w:sz w:val="24"/>
        </w:rPr>
        <w:t xml:space="preserve">the </w:t>
      </w:r>
      <w:r w:rsidRPr="00E55A39">
        <w:rPr>
          <w:color w:val="FF0000"/>
          <w:sz w:val="24"/>
        </w:rPr>
        <w:t>main platform trials and commence a list</w:t>
      </w:r>
      <w:r w:rsidR="00296C59" w:rsidRPr="00E55A39">
        <w:rPr>
          <w:color w:val="FF0000"/>
          <w:sz w:val="24"/>
        </w:rPr>
        <w:t>.</w:t>
      </w:r>
    </w:p>
    <w:p w14:paraId="59E41DD6" w14:textId="77777777" w:rsidR="00F17629" w:rsidRPr="00F17629" w:rsidRDefault="00F17629" w:rsidP="00F17629"/>
    <w:p w14:paraId="2E6CB26A" w14:textId="1B054827" w:rsidR="001968FF" w:rsidRDefault="001968FF" w:rsidP="000B0615">
      <w:pPr>
        <w:rPr>
          <w:rFonts w:ascii="Calibri" w:hAnsi="Calibri" w:cs="Calibri"/>
          <w:b/>
          <w:bCs/>
          <w:sz w:val="28"/>
          <w:szCs w:val="23"/>
        </w:rPr>
      </w:pPr>
    </w:p>
    <w:p w14:paraId="34ADCA20" w14:textId="77777777" w:rsidR="001968FF" w:rsidRDefault="001968FF" w:rsidP="000B0615">
      <w:pPr>
        <w:rPr>
          <w:rFonts w:ascii="Calibri" w:hAnsi="Calibri" w:cs="Calibri"/>
          <w:b/>
          <w:bCs/>
          <w:sz w:val="28"/>
          <w:szCs w:val="23"/>
        </w:rPr>
      </w:pPr>
    </w:p>
    <w:p w14:paraId="1C91C9AD" w14:textId="77777777" w:rsidR="00B1074C" w:rsidRPr="008E75D1" w:rsidRDefault="00B1074C" w:rsidP="000B0615">
      <w:pPr>
        <w:rPr>
          <w:rFonts w:ascii="Calibri" w:hAnsi="Calibri" w:cs="Calibri"/>
          <w:b/>
          <w:bCs/>
          <w:sz w:val="28"/>
          <w:szCs w:val="23"/>
        </w:rPr>
      </w:pPr>
    </w:p>
    <w:p w14:paraId="012903A6" w14:textId="77777777" w:rsidR="00C83451" w:rsidRDefault="00C83451">
      <w:pPr>
        <w:rPr>
          <w:sz w:val="24"/>
        </w:rPr>
      </w:pPr>
    </w:p>
    <w:p w14:paraId="74DE9515" w14:textId="77777777" w:rsidR="008E79E5" w:rsidRPr="00C33648" w:rsidRDefault="008E79E5">
      <w:pPr>
        <w:rPr>
          <w:sz w:val="24"/>
        </w:rPr>
      </w:pPr>
    </w:p>
    <w:sectPr w:rsidR="008E79E5" w:rsidRPr="00C33648">
      <w:pgSz w:w="11906" w:h="16838"/>
      <w:pgMar w:top="1440" w:right="1440" w:bottom="1440" w:left="1440"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D3E6E5" w16cex:dateUtc="2020-08-04T12:53:00Z"/>
  <w16cex:commentExtensible w16cex:durableId="22D3E700" w16cex:dateUtc="2020-08-04T12:54: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7EB4C4A" w14:textId="77777777" w:rsidR="00611725" w:rsidRDefault="00611725" w:rsidP="00CA12DA">
      <w:pPr>
        <w:spacing w:after="0" w:line="240" w:lineRule="auto"/>
      </w:pPr>
      <w:r>
        <w:separator/>
      </w:r>
    </w:p>
  </w:endnote>
  <w:endnote w:type="continuationSeparator" w:id="0">
    <w:p w14:paraId="7501B39B" w14:textId="77777777" w:rsidR="00611725" w:rsidRDefault="00611725" w:rsidP="00CA12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9917ADF" w14:textId="77777777" w:rsidR="00611725" w:rsidRDefault="00611725" w:rsidP="00CA12DA">
      <w:pPr>
        <w:spacing w:after="0" w:line="240" w:lineRule="auto"/>
      </w:pPr>
      <w:r>
        <w:separator/>
      </w:r>
    </w:p>
  </w:footnote>
  <w:footnote w:type="continuationSeparator" w:id="0">
    <w:p w14:paraId="42322D82" w14:textId="77777777" w:rsidR="00611725" w:rsidRDefault="00611725" w:rsidP="00CA12DA">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66D0"/>
    <w:rsid w:val="00001B75"/>
    <w:rsid w:val="000247CB"/>
    <w:rsid w:val="00045187"/>
    <w:rsid w:val="00085BD0"/>
    <w:rsid w:val="000A48C8"/>
    <w:rsid w:val="000B0615"/>
    <w:rsid w:val="000B7767"/>
    <w:rsid w:val="000C2CC2"/>
    <w:rsid w:val="00114318"/>
    <w:rsid w:val="00115F3D"/>
    <w:rsid w:val="00142997"/>
    <w:rsid w:val="00147FC8"/>
    <w:rsid w:val="001564E4"/>
    <w:rsid w:val="00163AD0"/>
    <w:rsid w:val="001968FF"/>
    <w:rsid w:val="001E4C6A"/>
    <w:rsid w:val="00246CAB"/>
    <w:rsid w:val="00275618"/>
    <w:rsid w:val="00296C59"/>
    <w:rsid w:val="002B0CDD"/>
    <w:rsid w:val="002D4692"/>
    <w:rsid w:val="002D5156"/>
    <w:rsid w:val="003220EE"/>
    <w:rsid w:val="0035018B"/>
    <w:rsid w:val="00371A2D"/>
    <w:rsid w:val="00375AEF"/>
    <w:rsid w:val="00390632"/>
    <w:rsid w:val="003B61BF"/>
    <w:rsid w:val="003D4428"/>
    <w:rsid w:val="003E5AFD"/>
    <w:rsid w:val="00420838"/>
    <w:rsid w:val="004566D0"/>
    <w:rsid w:val="0046414F"/>
    <w:rsid w:val="004B15BE"/>
    <w:rsid w:val="004E759F"/>
    <w:rsid w:val="005124C6"/>
    <w:rsid w:val="00515BB1"/>
    <w:rsid w:val="00521F53"/>
    <w:rsid w:val="005749BF"/>
    <w:rsid w:val="005A0918"/>
    <w:rsid w:val="005E29A6"/>
    <w:rsid w:val="00611725"/>
    <w:rsid w:val="00623F66"/>
    <w:rsid w:val="00626A92"/>
    <w:rsid w:val="00636E01"/>
    <w:rsid w:val="0068477D"/>
    <w:rsid w:val="006872B0"/>
    <w:rsid w:val="006929A9"/>
    <w:rsid w:val="00696310"/>
    <w:rsid w:val="006D7044"/>
    <w:rsid w:val="00707B1D"/>
    <w:rsid w:val="00746230"/>
    <w:rsid w:val="00751C7D"/>
    <w:rsid w:val="00762180"/>
    <w:rsid w:val="00771812"/>
    <w:rsid w:val="007725B7"/>
    <w:rsid w:val="007C3BD0"/>
    <w:rsid w:val="008E75D1"/>
    <w:rsid w:val="008E79E5"/>
    <w:rsid w:val="00925BDE"/>
    <w:rsid w:val="009731E4"/>
    <w:rsid w:val="00990C6E"/>
    <w:rsid w:val="009E4B41"/>
    <w:rsid w:val="00AD0D98"/>
    <w:rsid w:val="00AE2F94"/>
    <w:rsid w:val="00B1074C"/>
    <w:rsid w:val="00B2236D"/>
    <w:rsid w:val="00B36CC7"/>
    <w:rsid w:val="00B5207E"/>
    <w:rsid w:val="00B5284B"/>
    <w:rsid w:val="00B60B22"/>
    <w:rsid w:val="00B8593C"/>
    <w:rsid w:val="00BA3DD2"/>
    <w:rsid w:val="00BD2E57"/>
    <w:rsid w:val="00C13792"/>
    <w:rsid w:val="00C33648"/>
    <w:rsid w:val="00C566D2"/>
    <w:rsid w:val="00C61AAC"/>
    <w:rsid w:val="00C81220"/>
    <w:rsid w:val="00C83451"/>
    <w:rsid w:val="00CA12DA"/>
    <w:rsid w:val="00CB6232"/>
    <w:rsid w:val="00D41F9D"/>
    <w:rsid w:val="00D47A56"/>
    <w:rsid w:val="00DC1B72"/>
    <w:rsid w:val="00E12AD3"/>
    <w:rsid w:val="00E15AFD"/>
    <w:rsid w:val="00E165F6"/>
    <w:rsid w:val="00E55A39"/>
    <w:rsid w:val="00EA660A"/>
    <w:rsid w:val="00EB2154"/>
    <w:rsid w:val="00F17629"/>
    <w:rsid w:val="00F2095C"/>
    <w:rsid w:val="00F24BBF"/>
    <w:rsid w:val="00F33774"/>
    <w:rsid w:val="00F36163"/>
    <w:rsid w:val="00F712D5"/>
    <w:rsid w:val="00F81B82"/>
    <w:rsid w:val="00F92E1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F75C42"/>
  <w15:chartTrackingRefBased/>
  <w15:docId w15:val="{96A8DA32-0558-473D-BA2D-106440D380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4566D0"/>
    <w:pPr>
      <w:autoSpaceDE w:val="0"/>
      <w:autoSpaceDN w:val="0"/>
      <w:adjustRightInd w:val="0"/>
      <w:spacing w:after="0" w:line="240" w:lineRule="auto"/>
    </w:pPr>
    <w:rPr>
      <w:rFonts w:ascii="Calibri" w:hAnsi="Calibri" w:cs="Calibri"/>
      <w:color w:val="000000"/>
      <w:sz w:val="24"/>
      <w:szCs w:val="24"/>
    </w:rPr>
  </w:style>
  <w:style w:type="character" w:styleId="Hyperlink">
    <w:name w:val="Hyperlink"/>
    <w:basedOn w:val="DefaultParagraphFont"/>
    <w:uiPriority w:val="99"/>
    <w:unhideWhenUsed/>
    <w:rsid w:val="004566D0"/>
    <w:rPr>
      <w:color w:val="0563C1" w:themeColor="hyperlink"/>
      <w:u w:val="single"/>
    </w:rPr>
  </w:style>
  <w:style w:type="character" w:styleId="CommentReference">
    <w:name w:val="annotation reference"/>
    <w:basedOn w:val="DefaultParagraphFont"/>
    <w:uiPriority w:val="99"/>
    <w:semiHidden/>
    <w:unhideWhenUsed/>
    <w:rsid w:val="004566D0"/>
    <w:rPr>
      <w:sz w:val="16"/>
      <w:szCs w:val="16"/>
    </w:rPr>
  </w:style>
  <w:style w:type="paragraph" w:styleId="CommentText">
    <w:name w:val="annotation text"/>
    <w:basedOn w:val="Normal"/>
    <w:link w:val="CommentTextChar"/>
    <w:uiPriority w:val="99"/>
    <w:semiHidden/>
    <w:unhideWhenUsed/>
    <w:rsid w:val="004566D0"/>
    <w:pPr>
      <w:spacing w:line="240" w:lineRule="auto"/>
    </w:pPr>
    <w:rPr>
      <w:sz w:val="20"/>
      <w:szCs w:val="20"/>
    </w:rPr>
  </w:style>
  <w:style w:type="character" w:customStyle="1" w:styleId="CommentTextChar">
    <w:name w:val="Comment Text Char"/>
    <w:basedOn w:val="DefaultParagraphFont"/>
    <w:link w:val="CommentText"/>
    <w:uiPriority w:val="99"/>
    <w:semiHidden/>
    <w:rsid w:val="004566D0"/>
    <w:rPr>
      <w:sz w:val="20"/>
      <w:szCs w:val="20"/>
    </w:rPr>
  </w:style>
  <w:style w:type="paragraph" w:styleId="CommentSubject">
    <w:name w:val="annotation subject"/>
    <w:basedOn w:val="CommentText"/>
    <w:next w:val="CommentText"/>
    <w:link w:val="CommentSubjectChar"/>
    <w:uiPriority w:val="99"/>
    <w:semiHidden/>
    <w:unhideWhenUsed/>
    <w:rsid w:val="004566D0"/>
    <w:rPr>
      <w:b/>
      <w:bCs/>
    </w:rPr>
  </w:style>
  <w:style w:type="character" w:customStyle="1" w:styleId="CommentSubjectChar">
    <w:name w:val="Comment Subject Char"/>
    <w:basedOn w:val="CommentTextChar"/>
    <w:link w:val="CommentSubject"/>
    <w:uiPriority w:val="99"/>
    <w:semiHidden/>
    <w:rsid w:val="004566D0"/>
    <w:rPr>
      <w:b/>
      <w:bCs/>
      <w:sz w:val="20"/>
      <w:szCs w:val="20"/>
    </w:rPr>
  </w:style>
  <w:style w:type="paragraph" w:styleId="BalloonText">
    <w:name w:val="Balloon Text"/>
    <w:basedOn w:val="Normal"/>
    <w:link w:val="BalloonTextChar"/>
    <w:uiPriority w:val="99"/>
    <w:semiHidden/>
    <w:unhideWhenUsed/>
    <w:rsid w:val="004566D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566D0"/>
    <w:rPr>
      <w:rFonts w:ascii="Segoe UI" w:hAnsi="Segoe UI" w:cs="Segoe UI"/>
      <w:sz w:val="18"/>
      <w:szCs w:val="18"/>
    </w:rPr>
  </w:style>
  <w:style w:type="paragraph" w:styleId="NormalWeb">
    <w:name w:val="Normal (Web)"/>
    <w:basedOn w:val="Normal"/>
    <w:uiPriority w:val="99"/>
    <w:semiHidden/>
    <w:unhideWhenUsed/>
    <w:rsid w:val="00C81220"/>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Emphasis">
    <w:name w:val="Emphasis"/>
    <w:basedOn w:val="DefaultParagraphFont"/>
    <w:uiPriority w:val="20"/>
    <w:qFormat/>
    <w:rsid w:val="00C81220"/>
    <w:rPr>
      <w:i/>
      <w:iCs/>
    </w:rPr>
  </w:style>
  <w:style w:type="paragraph" w:styleId="Header">
    <w:name w:val="header"/>
    <w:basedOn w:val="Normal"/>
    <w:link w:val="HeaderChar"/>
    <w:uiPriority w:val="99"/>
    <w:unhideWhenUsed/>
    <w:rsid w:val="00CA12DA"/>
    <w:pPr>
      <w:tabs>
        <w:tab w:val="center" w:pos="4513"/>
        <w:tab w:val="right" w:pos="9026"/>
      </w:tabs>
      <w:spacing w:after="0" w:line="240" w:lineRule="auto"/>
    </w:pPr>
  </w:style>
  <w:style w:type="character" w:customStyle="1" w:styleId="HeaderChar">
    <w:name w:val="Header Char"/>
    <w:basedOn w:val="DefaultParagraphFont"/>
    <w:link w:val="Header"/>
    <w:uiPriority w:val="99"/>
    <w:rsid w:val="00CA12DA"/>
  </w:style>
  <w:style w:type="paragraph" w:styleId="Footer">
    <w:name w:val="footer"/>
    <w:basedOn w:val="Normal"/>
    <w:link w:val="FooterChar"/>
    <w:uiPriority w:val="99"/>
    <w:unhideWhenUsed/>
    <w:rsid w:val="00CA12DA"/>
    <w:pPr>
      <w:tabs>
        <w:tab w:val="center" w:pos="4513"/>
        <w:tab w:val="right" w:pos="9026"/>
      </w:tabs>
      <w:spacing w:after="0" w:line="240" w:lineRule="auto"/>
    </w:pPr>
  </w:style>
  <w:style w:type="character" w:customStyle="1" w:styleId="FooterChar">
    <w:name w:val="Footer Char"/>
    <w:basedOn w:val="DefaultParagraphFont"/>
    <w:link w:val="Footer"/>
    <w:uiPriority w:val="99"/>
    <w:rsid w:val="00CA12DA"/>
  </w:style>
  <w:style w:type="paragraph" w:styleId="Revision">
    <w:name w:val="Revision"/>
    <w:hidden/>
    <w:uiPriority w:val="99"/>
    <w:semiHidden/>
    <w:rsid w:val="00B8593C"/>
    <w:pPr>
      <w:spacing w:after="0" w:line="240" w:lineRule="auto"/>
    </w:pPr>
  </w:style>
  <w:style w:type="paragraph" w:customStyle="1" w:styleId="xmsonormal">
    <w:name w:val="x_msonormal"/>
    <w:basedOn w:val="Normal"/>
    <w:rsid w:val="00F36163"/>
    <w:pPr>
      <w:spacing w:after="0" w:line="240" w:lineRule="auto"/>
    </w:pPr>
    <w:rPr>
      <w:rFonts w:ascii="Calibri" w:hAnsi="Calibri" w:cs="Calibri"/>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21494349">
      <w:bodyDiv w:val="1"/>
      <w:marLeft w:val="0"/>
      <w:marRight w:val="0"/>
      <w:marTop w:val="0"/>
      <w:marBottom w:val="0"/>
      <w:divBdr>
        <w:top w:val="none" w:sz="0" w:space="0" w:color="auto"/>
        <w:left w:val="none" w:sz="0" w:space="0" w:color="auto"/>
        <w:bottom w:val="none" w:sz="0" w:space="0" w:color="auto"/>
        <w:right w:val="none" w:sz="0" w:space="0" w:color="auto"/>
      </w:divBdr>
    </w:div>
    <w:div w:id="8636371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10" Type="http://schemas.microsoft.com/office/2018/08/relationships/commentsExtensible" Target="commentsExtensible.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3</Pages>
  <Words>855</Words>
  <Characters>4874</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Uzma Manazar</dc:creator>
  <cp:keywords/>
  <dc:description/>
  <cp:lastModifiedBy>Uzma Manazar</cp:lastModifiedBy>
  <cp:revision>12</cp:revision>
  <dcterms:created xsi:type="dcterms:W3CDTF">2020-08-05T07:21:00Z</dcterms:created>
  <dcterms:modified xsi:type="dcterms:W3CDTF">2020-09-03T11:14:00Z</dcterms:modified>
</cp:coreProperties>
</file>