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0"/>
        <w:gridCol w:w="5076"/>
      </w:tblGrid>
      <w:tr w:rsidR="004173BF" w14:paraId="0942A3F9" w14:textId="77777777" w:rsidTr="00384FA7">
        <w:tc>
          <w:tcPr>
            <w:tcW w:w="3109" w:type="dxa"/>
            <w:hideMark/>
          </w:tcPr>
          <w:p w14:paraId="0942A3F4" w14:textId="77777777" w:rsidR="004173BF" w:rsidRDefault="00AD4A72">
            <w:r w:rsidRPr="00CA62A0">
              <w:rPr>
                <w:noProof/>
                <w:lang w:eastAsia="en-GB"/>
              </w:rPr>
              <w:drawing>
                <wp:inline distT="0" distB="0" distL="0" distR="0" wp14:anchorId="0942A47E" wp14:editId="0942A47F">
                  <wp:extent cx="2371240" cy="771525"/>
                  <wp:effectExtent l="0" t="0" r="0" b="0"/>
                  <wp:docPr id="1" name="Picture 1" descr="M:\WMS\CTU\Emergency Care\STRESS-L\Trial Management\Trial Logo\Client final Logos\STRESS_L colo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WMS\CTU\Emergency Care\STRESS-L\Trial Management\Trial Logo\Client final Logos\STRESS_L colour.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21832" cy="787986"/>
                          </a:xfrm>
                          <a:prstGeom prst="rect">
                            <a:avLst/>
                          </a:prstGeom>
                          <a:noFill/>
                          <a:ln>
                            <a:noFill/>
                          </a:ln>
                        </pic:spPr>
                      </pic:pic>
                    </a:graphicData>
                  </a:graphic>
                </wp:inline>
              </w:drawing>
            </w:r>
          </w:p>
        </w:tc>
        <w:tc>
          <w:tcPr>
            <w:tcW w:w="6133" w:type="dxa"/>
          </w:tcPr>
          <w:p w14:paraId="0942A3F5" w14:textId="77777777" w:rsidR="004173BF" w:rsidRPr="00384FA7" w:rsidRDefault="00F96DA8">
            <w:pPr>
              <w:rPr>
                <w:rFonts w:asciiTheme="minorHAnsi" w:hAnsiTheme="minorHAnsi"/>
                <w:sz w:val="28"/>
                <w:szCs w:val="28"/>
              </w:rPr>
            </w:pPr>
            <w:r>
              <w:rPr>
                <w:rFonts w:asciiTheme="minorHAnsi" w:hAnsiTheme="minorHAnsi"/>
                <w:b/>
                <w:sz w:val="28"/>
                <w:szCs w:val="28"/>
              </w:rPr>
              <w:t>STRESS-L</w:t>
            </w:r>
          </w:p>
          <w:p w14:paraId="0942A3F6" w14:textId="77777777" w:rsidR="004173BF" w:rsidRPr="00543513" w:rsidRDefault="00543513">
            <w:pPr>
              <w:rPr>
                <w:rFonts w:asciiTheme="minorHAnsi" w:hAnsiTheme="minorHAnsi"/>
                <w:noProof/>
                <w:sz w:val="28"/>
                <w:szCs w:val="28"/>
                <w:lang w:eastAsia="en-GB"/>
              </w:rPr>
            </w:pPr>
            <w:r>
              <w:rPr>
                <w:rFonts w:asciiTheme="minorHAnsi" w:hAnsiTheme="minorHAnsi"/>
                <w:b/>
                <w:sz w:val="28"/>
                <w:szCs w:val="28"/>
              </w:rPr>
              <w:t>ST</w:t>
            </w:r>
            <w:r>
              <w:rPr>
                <w:rFonts w:asciiTheme="minorHAnsi" w:hAnsiTheme="minorHAnsi"/>
                <w:sz w:val="28"/>
                <w:szCs w:val="28"/>
              </w:rPr>
              <w:t xml:space="preserve">udy into the </w:t>
            </w:r>
            <w:r>
              <w:rPr>
                <w:rFonts w:asciiTheme="minorHAnsi" w:hAnsiTheme="minorHAnsi"/>
                <w:b/>
                <w:sz w:val="28"/>
                <w:szCs w:val="28"/>
              </w:rPr>
              <w:t>RE</w:t>
            </w:r>
            <w:r w:rsidRPr="00543513">
              <w:rPr>
                <w:rFonts w:asciiTheme="minorHAnsi" w:hAnsiTheme="minorHAnsi"/>
                <w:sz w:val="28"/>
                <w:szCs w:val="28"/>
              </w:rPr>
              <w:t>versal</w:t>
            </w:r>
            <w:r>
              <w:rPr>
                <w:rFonts w:asciiTheme="minorHAnsi" w:hAnsiTheme="minorHAnsi"/>
                <w:sz w:val="28"/>
                <w:szCs w:val="28"/>
              </w:rPr>
              <w:t xml:space="preserve"> of </w:t>
            </w:r>
            <w:r w:rsidRPr="00543513">
              <w:rPr>
                <w:rFonts w:asciiTheme="minorHAnsi" w:hAnsiTheme="minorHAnsi"/>
                <w:b/>
                <w:sz w:val="28"/>
                <w:szCs w:val="28"/>
              </w:rPr>
              <w:t>S</w:t>
            </w:r>
            <w:r>
              <w:rPr>
                <w:rFonts w:asciiTheme="minorHAnsi" w:hAnsiTheme="minorHAnsi"/>
                <w:sz w:val="28"/>
                <w:szCs w:val="28"/>
              </w:rPr>
              <w:t xml:space="preserve">eptic </w:t>
            </w:r>
            <w:r w:rsidRPr="00543513">
              <w:rPr>
                <w:rFonts w:asciiTheme="minorHAnsi" w:hAnsiTheme="minorHAnsi"/>
                <w:b/>
                <w:sz w:val="28"/>
                <w:szCs w:val="28"/>
              </w:rPr>
              <w:t>S</w:t>
            </w:r>
            <w:r>
              <w:rPr>
                <w:rFonts w:asciiTheme="minorHAnsi" w:hAnsiTheme="minorHAnsi"/>
                <w:sz w:val="28"/>
                <w:szCs w:val="28"/>
              </w:rPr>
              <w:t xml:space="preserve">hock with </w:t>
            </w:r>
            <w:r w:rsidRPr="00543513">
              <w:rPr>
                <w:rFonts w:asciiTheme="minorHAnsi" w:hAnsiTheme="minorHAnsi"/>
                <w:b/>
                <w:sz w:val="28"/>
                <w:szCs w:val="28"/>
              </w:rPr>
              <w:t>L</w:t>
            </w:r>
            <w:r>
              <w:rPr>
                <w:rFonts w:asciiTheme="minorHAnsi" w:hAnsiTheme="minorHAnsi"/>
                <w:sz w:val="28"/>
                <w:szCs w:val="28"/>
              </w:rPr>
              <w:t>andiolol (Beta Blockade)</w:t>
            </w:r>
          </w:p>
          <w:p w14:paraId="0942A3F7" w14:textId="77777777" w:rsidR="004173BF" w:rsidRDefault="004173BF"/>
          <w:p w14:paraId="0942A3F8" w14:textId="77777777" w:rsidR="00543513" w:rsidRDefault="00543513">
            <w:pPr>
              <w:rPr>
                <w:rFonts w:ascii="Century" w:hAnsi="Century"/>
                <w:b/>
                <w:sz w:val="28"/>
                <w:szCs w:val="28"/>
              </w:rPr>
            </w:pPr>
          </w:p>
        </w:tc>
      </w:tr>
    </w:tbl>
    <w:p w14:paraId="0942A3FA" w14:textId="77777777" w:rsidR="00384FA7" w:rsidRPr="005A19AE" w:rsidRDefault="00384FA7" w:rsidP="00384FA7">
      <w:pPr>
        <w:jc w:val="center"/>
        <w:rPr>
          <w:rFonts w:asciiTheme="minorHAnsi" w:hAnsiTheme="minorHAnsi" w:cstheme="minorHAnsi"/>
          <w:b/>
          <w:u w:val="single"/>
        </w:rPr>
      </w:pPr>
      <w:r w:rsidRPr="005A19AE">
        <w:rPr>
          <w:rFonts w:asciiTheme="minorHAnsi" w:hAnsiTheme="minorHAnsi" w:cstheme="minorHAnsi"/>
          <w:b/>
          <w:sz w:val="28"/>
          <w:szCs w:val="28"/>
          <w:u w:val="single"/>
        </w:rPr>
        <w:t>Trial Details</w:t>
      </w:r>
    </w:p>
    <w:p w14:paraId="0942A3FB" w14:textId="77777777" w:rsidR="00384FA7" w:rsidRDefault="00384FA7" w:rsidP="00384FA7">
      <w:pPr>
        <w:rPr>
          <w:rFonts w:asciiTheme="minorHAnsi" w:hAnsiTheme="minorHAnsi"/>
          <w:b/>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20"/>
        <w:gridCol w:w="5518"/>
        <w:gridCol w:w="1904"/>
      </w:tblGrid>
      <w:tr w:rsidR="00A464DD" w14:paraId="0942A3FF" w14:textId="77777777" w:rsidTr="00A464DD">
        <w:tc>
          <w:tcPr>
            <w:tcW w:w="1820" w:type="dxa"/>
          </w:tcPr>
          <w:p w14:paraId="0942A3FC" w14:textId="77777777" w:rsidR="00A464DD" w:rsidRDefault="00A464DD" w:rsidP="00384FA7">
            <w:pPr>
              <w:rPr>
                <w:rFonts w:asciiTheme="minorHAnsi" w:hAnsiTheme="minorHAnsi"/>
                <w:b/>
              </w:rPr>
            </w:pPr>
            <w:r w:rsidRPr="00F04B16">
              <w:rPr>
                <w:rFonts w:asciiTheme="minorHAnsi" w:hAnsiTheme="minorHAnsi"/>
                <w:b/>
              </w:rPr>
              <w:t>Funder</w:t>
            </w:r>
          </w:p>
        </w:tc>
        <w:tc>
          <w:tcPr>
            <w:tcW w:w="5518" w:type="dxa"/>
          </w:tcPr>
          <w:p w14:paraId="0942A3FD" w14:textId="77777777" w:rsidR="00A464DD" w:rsidRDefault="00A464DD" w:rsidP="00AD4A72">
            <w:pPr>
              <w:spacing w:after="0" w:line="240" w:lineRule="auto"/>
              <w:rPr>
                <w:rFonts w:asciiTheme="minorHAnsi" w:hAnsiTheme="minorHAnsi"/>
                <w:b/>
              </w:rPr>
            </w:pPr>
            <w:r w:rsidRPr="00F04B16">
              <w:rPr>
                <w:rFonts w:asciiTheme="minorHAnsi" w:hAnsiTheme="minorHAnsi"/>
              </w:rPr>
              <w:t>National Insti</w:t>
            </w:r>
            <w:r w:rsidR="00AD4A72">
              <w:rPr>
                <w:rFonts w:asciiTheme="minorHAnsi" w:hAnsiTheme="minorHAnsi"/>
              </w:rPr>
              <w:t>tute of Health Research (NIHR)</w:t>
            </w:r>
            <w:r w:rsidR="00AD4A72">
              <w:rPr>
                <w:rFonts w:asciiTheme="minorHAnsi" w:hAnsiTheme="minorHAnsi"/>
                <w:b/>
              </w:rPr>
              <w:t xml:space="preserve"> </w:t>
            </w:r>
            <w:r w:rsidR="00AD4A72">
              <w:rPr>
                <w:rFonts w:asciiTheme="minorHAnsi" w:hAnsiTheme="minorHAnsi"/>
                <w:b/>
              </w:rPr>
              <w:br/>
            </w:r>
            <w:r w:rsidR="00AD4A72">
              <w:rPr>
                <w:rFonts w:asciiTheme="minorHAnsi" w:hAnsiTheme="minorHAnsi"/>
                <w:b/>
              </w:rPr>
              <w:br/>
            </w:r>
          </w:p>
        </w:tc>
        <w:tc>
          <w:tcPr>
            <w:tcW w:w="1904" w:type="dxa"/>
          </w:tcPr>
          <w:p w14:paraId="0942A3FE" w14:textId="77777777" w:rsidR="00A464DD" w:rsidRPr="00F04B16" w:rsidRDefault="00AD4A72" w:rsidP="005A19AE">
            <w:pPr>
              <w:spacing w:after="0" w:line="240" w:lineRule="auto"/>
              <w:rPr>
                <w:rFonts w:asciiTheme="minorHAnsi" w:hAnsiTheme="minorHAnsi"/>
              </w:rPr>
            </w:pPr>
            <w:r>
              <w:rPr>
                <w:rFonts w:asciiTheme="minorHAnsi" w:hAnsiTheme="minorHAnsi"/>
                <w:noProof/>
                <w:lang w:eastAsia="en-GB"/>
              </w:rPr>
              <w:drawing>
                <wp:anchor distT="0" distB="0" distL="114300" distR="114300" simplePos="0" relativeHeight="251662336" behindDoc="0" locked="0" layoutInCell="1" allowOverlap="1" wp14:anchorId="0942A480" wp14:editId="0942A481">
                  <wp:simplePos x="0" y="0"/>
                  <wp:positionH relativeFrom="column">
                    <wp:posOffset>72390</wp:posOffset>
                  </wp:positionH>
                  <wp:positionV relativeFrom="paragraph">
                    <wp:posOffset>-243840</wp:posOffset>
                  </wp:positionV>
                  <wp:extent cx="923925" cy="742950"/>
                  <wp:effectExtent l="0" t="0" r="952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23925" cy="742950"/>
                          </a:xfrm>
                          <a:prstGeom prst="rect">
                            <a:avLst/>
                          </a:prstGeom>
                          <a:noFill/>
                        </pic:spPr>
                      </pic:pic>
                    </a:graphicData>
                  </a:graphic>
                </wp:anchor>
              </w:drawing>
            </w:r>
            <w:r w:rsidR="00A464DD">
              <w:rPr>
                <w:rFonts w:asciiTheme="minorHAnsi" w:hAnsiTheme="minorHAnsi"/>
                <w:noProof/>
                <w:lang w:eastAsia="en-GB"/>
              </w:rPr>
              <w:drawing>
                <wp:anchor distT="36576" distB="36576" distL="36576" distR="36576" simplePos="0" relativeHeight="251660288" behindDoc="0" locked="0" layoutInCell="1" allowOverlap="1" wp14:anchorId="0942A482" wp14:editId="0942A483">
                  <wp:simplePos x="0" y="0"/>
                  <wp:positionH relativeFrom="column">
                    <wp:posOffset>6031865</wp:posOffset>
                  </wp:positionH>
                  <wp:positionV relativeFrom="paragraph">
                    <wp:posOffset>9815830</wp:posOffset>
                  </wp:positionV>
                  <wp:extent cx="912495" cy="730250"/>
                  <wp:effectExtent l="0" t="0" r="1905" b="0"/>
                  <wp:wrapNone/>
                  <wp:docPr id="3" name="Picture 3" descr="Funded_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unded_by"/>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12495" cy="7302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A464DD" w14:paraId="0942A403" w14:textId="77777777" w:rsidTr="00A464DD">
        <w:tc>
          <w:tcPr>
            <w:tcW w:w="1820" w:type="dxa"/>
          </w:tcPr>
          <w:p w14:paraId="0942A400" w14:textId="77777777" w:rsidR="00A464DD" w:rsidRDefault="00A464DD" w:rsidP="00384FA7">
            <w:pPr>
              <w:rPr>
                <w:rFonts w:asciiTheme="minorHAnsi" w:hAnsiTheme="minorHAnsi"/>
                <w:b/>
              </w:rPr>
            </w:pPr>
            <w:r w:rsidRPr="00F04B16">
              <w:rPr>
                <w:rFonts w:asciiTheme="minorHAnsi" w:hAnsiTheme="minorHAnsi"/>
                <w:b/>
              </w:rPr>
              <w:t>Chief Investigator</w:t>
            </w:r>
          </w:p>
        </w:tc>
        <w:tc>
          <w:tcPr>
            <w:tcW w:w="5518" w:type="dxa"/>
          </w:tcPr>
          <w:p w14:paraId="0942A401" w14:textId="77777777" w:rsidR="00A464DD" w:rsidRPr="00AD4A72" w:rsidRDefault="00AD4A72" w:rsidP="00AD4A72">
            <w:pPr>
              <w:spacing w:after="0" w:line="240" w:lineRule="auto"/>
              <w:rPr>
                <w:rFonts w:asciiTheme="minorHAnsi" w:hAnsiTheme="minorHAnsi"/>
                <w:szCs w:val="24"/>
                <w:lang w:eastAsia="en-GB"/>
              </w:rPr>
            </w:pPr>
            <w:r>
              <w:rPr>
                <w:rFonts w:asciiTheme="minorHAnsi" w:hAnsiTheme="minorHAnsi"/>
              </w:rPr>
              <w:t>Dr Tony Whitehouse</w:t>
            </w:r>
            <w:r w:rsidR="00A464DD" w:rsidRPr="00F04B16">
              <w:rPr>
                <w:rFonts w:asciiTheme="minorHAnsi" w:hAnsiTheme="minorHAnsi"/>
              </w:rPr>
              <w:t xml:space="preserve">, </w:t>
            </w:r>
            <w:r w:rsidR="00A464DD" w:rsidRPr="00F04B16">
              <w:rPr>
                <w:rFonts w:asciiTheme="minorHAnsi" w:hAnsiTheme="minorHAnsi"/>
                <w:iCs/>
                <w:szCs w:val="24"/>
                <w:lang w:eastAsia="en-GB"/>
              </w:rPr>
              <w:t xml:space="preserve">NHS Consultant in Critical Care </w:t>
            </w:r>
            <w:r>
              <w:rPr>
                <w:rFonts w:asciiTheme="minorHAnsi" w:hAnsiTheme="minorHAnsi"/>
                <w:iCs/>
                <w:szCs w:val="24"/>
                <w:lang w:eastAsia="en-GB"/>
              </w:rPr>
              <w:t>and Anaesthesia</w:t>
            </w:r>
            <w:r w:rsidR="00A464DD" w:rsidRPr="00F04B16">
              <w:rPr>
                <w:rFonts w:asciiTheme="minorHAnsi" w:hAnsiTheme="minorHAnsi"/>
                <w:iCs/>
                <w:szCs w:val="24"/>
                <w:lang w:eastAsia="en-GB"/>
              </w:rPr>
              <w:t>,</w:t>
            </w:r>
            <w:r w:rsidR="00A464DD" w:rsidRPr="00F04B16">
              <w:rPr>
                <w:rFonts w:asciiTheme="minorHAnsi" w:hAnsiTheme="minorHAnsi"/>
                <w:szCs w:val="24"/>
                <w:lang w:eastAsia="en-GB"/>
              </w:rPr>
              <w:t xml:space="preserve"> </w:t>
            </w:r>
            <w:r>
              <w:rPr>
                <w:rFonts w:asciiTheme="minorHAnsi" w:hAnsiTheme="minorHAnsi"/>
                <w:iCs/>
                <w:szCs w:val="24"/>
                <w:lang w:eastAsia="en-GB"/>
              </w:rPr>
              <w:t>Queen Elizabeth Hospital, Birmingham NHS Foundation Trust</w:t>
            </w:r>
            <w:r>
              <w:rPr>
                <w:rFonts w:asciiTheme="minorHAnsi" w:hAnsiTheme="minorHAnsi"/>
                <w:szCs w:val="24"/>
                <w:lang w:eastAsia="en-GB"/>
              </w:rPr>
              <w:br/>
            </w:r>
            <w:r>
              <w:rPr>
                <w:rFonts w:asciiTheme="minorHAnsi" w:hAnsiTheme="minorHAnsi"/>
                <w:szCs w:val="24"/>
                <w:lang w:eastAsia="en-GB"/>
              </w:rPr>
              <w:br/>
            </w:r>
          </w:p>
        </w:tc>
        <w:tc>
          <w:tcPr>
            <w:tcW w:w="1904" w:type="dxa"/>
          </w:tcPr>
          <w:p w14:paraId="0942A402" w14:textId="77777777" w:rsidR="00A464DD" w:rsidRPr="00F04B16" w:rsidRDefault="00A464DD" w:rsidP="00EE1FD7">
            <w:pPr>
              <w:spacing w:after="0" w:line="240" w:lineRule="auto"/>
              <w:rPr>
                <w:rFonts w:asciiTheme="minorHAnsi" w:hAnsiTheme="minorHAnsi"/>
              </w:rPr>
            </w:pPr>
          </w:p>
        </w:tc>
      </w:tr>
      <w:tr w:rsidR="00A464DD" w14:paraId="0942A407" w14:textId="77777777" w:rsidTr="00A464DD">
        <w:tc>
          <w:tcPr>
            <w:tcW w:w="1820" w:type="dxa"/>
          </w:tcPr>
          <w:p w14:paraId="0942A404" w14:textId="77777777" w:rsidR="00A464DD" w:rsidRDefault="00A464DD" w:rsidP="00384FA7">
            <w:pPr>
              <w:rPr>
                <w:rFonts w:asciiTheme="minorHAnsi" w:hAnsiTheme="minorHAnsi"/>
                <w:b/>
              </w:rPr>
            </w:pPr>
            <w:r w:rsidRPr="00F04B16">
              <w:rPr>
                <w:rFonts w:asciiTheme="minorHAnsi" w:hAnsiTheme="minorHAnsi"/>
                <w:b/>
                <w:szCs w:val="24"/>
                <w:lang w:eastAsia="en-GB"/>
              </w:rPr>
              <w:t>Sponsor</w:t>
            </w:r>
          </w:p>
        </w:tc>
        <w:tc>
          <w:tcPr>
            <w:tcW w:w="5518" w:type="dxa"/>
          </w:tcPr>
          <w:p w14:paraId="0942A405" w14:textId="77777777" w:rsidR="00A464DD" w:rsidRDefault="00A464DD" w:rsidP="00AD4A72">
            <w:pPr>
              <w:spacing w:after="0" w:line="240" w:lineRule="auto"/>
              <w:rPr>
                <w:rFonts w:asciiTheme="minorHAnsi" w:hAnsiTheme="minorHAnsi"/>
                <w:b/>
              </w:rPr>
            </w:pPr>
            <w:r w:rsidRPr="00F04B16">
              <w:rPr>
                <w:rFonts w:asciiTheme="minorHAnsi" w:hAnsiTheme="minorHAnsi"/>
                <w:szCs w:val="24"/>
                <w:lang w:eastAsia="en-GB"/>
              </w:rPr>
              <w:t xml:space="preserve">University </w:t>
            </w:r>
            <w:r w:rsidR="00AD4A72">
              <w:rPr>
                <w:rFonts w:asciiTheme="minorHAnsi" w:hAnsiTheme="minorHAnsi"/>
                <w:szCs w:val="24"/>
                <w:lang w:eastAsia="en-GB"/>
              </w:rPr>
              <w:t>Hospitals Birmingham NHS Foundation Trust</w:t>
            </w:r>
            <w:r w:rsidR="00AD4A72">
              <w:rPr>
                <w:rFonts w:asciiTheme="minorHAnsi" w:hAnsiTheme="minorHAnsi"/>
                <w:szCs w:val="24"/>
                <w:lang w:eastAsia="en-GB"/>
              </w:rPr>
              <w:br/>
            </w:r>
            <w:r w:rsidR="00AD4A72">
              <w:rPr>
                <w:rFonts w:asciiTheme="minorHAnsi" w:hAnsiTheme="minorHAnsi"/>
                <w:szCs w:val="24"/>
                <w:lang w:eastAsia="en-GB"/>
              </w:rPr>
              <w:br/>
            </w:r>
          </w:p>
        </w:tc>
        <w:tc>
          <w:tcPr>
            <w:tcW w:w="1904" w:type="dxa"/>
          </w:tcPr>
          <w:p w14:paraId="0942A406" w14:textId="77777777" w:rsidR="00A464DD" w:rsidRPr="00F04B16" w:rsidRDefault="00AD4A72" w:rsidP="00EE1FD7">
            <w:pPr>
              <w:spacing w:after="0" w:line="240" w:lineRule="auto"/>
              <w:rPr>
                <w:rFonts w:asciiTheme="minorHAnsi" w:hAnsiTheme="minorHAnsi"/>
                <w:szCs w:val="24"/>
                <w:lang w:eastAsia="en-GB"/>
              </w:rPr>
            </w:pPr>
            <w:r w:rsidRPr="003E51EE">
              <w:rPr>
                <w:noProof/>
                <w:lang w:eastAsia="en-GB"/>
              </w:rPr>
              <w:drawing>
                <wp:anchor distT="0" distB="0" distL="114300" distR="114300" simplePos="0" relativeHeight="251661312" behindDoc="0" locked="0" layoutInCell="1" allowOverlap="1" wp14:anchorId="0942A484" wp14:editId="0942A485">
                  <wp:simplePos x="0" y="0"/>
                  <wp:positionH relativeFrom="column">
                    <wp:posOffset>-80010</wp:posOffset>
                  </wp:positionH>
                  <wp:positionV relativeFrom="paragraph">
                    <wp:posOffset>-17145</wp:posOffset>
                  </wp:positionV>
                  <wp:extent cx="1854586" cy="323850"/>
                  <wp:effectExtent l="0" t="0" r="0" b="0"/>
                  <wp:wrapNone/>
                  <wp:docPr id="8" name="Picture 5" descr="http://shoutfestival.co.uk/UserFiles/image/logos/FullSize/uhsb_long_rgb_c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houtfestival.co.uk/UserFiles/image/logos/FullSize/uhsb_long_rgb_col.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56740" cy="324226"/>
                          </a:xfrm>
                          <a:prstGeom prst="rect">
                            <a:avLst/>
                          </a:prstGeom>
                          <a:noFill/>
                        </pic:spPr>
                      </pic:pic>
                    </a:graphicData>
                  </a:graphic>
                  <wp14:sizeRelH relativeFrom="margin">
                    <wp14:pctWidth>0</wp14:pctWidth>
                  </wp14:sizeRelH>
                  <wp14:sizeRelV relativeFrom="margin">
                    <wp14:pctHeight>0</wp14:pctHeight>
                  </wp14:sizeRelV>
                </wp:anchor>
              </w:drawing>
            </w:r>
          </w:p>
        </w:tc>
      </w:tr>
      <w:tr w:rsidR="00A464DD" w14:paraId="0942A40C" w14:textId="77777777" w:rsidTr="00A464DD">
        <w:tc>
          <w:tcPr>
            <w:tcW w:w="1820" w:type="dxa"/>
          </w:tcPr>
          <w:p w14:paraId="0942A408" w14:textId="77777777" w:rsidR="00A464DD" w:rsidRDefault="00A464DD" w:rsidP="00384FA7">
            <w:pPr>
              <w:rPr>
                <w:rFonts w:asciiTheme="minorHAnsi" w:hAnsiTheme="minorHAnsi"/>
                <w:b/>
              </w:rPr>
            </w:pPr>
            <w:r w:rsidRPr="00F04B16">
              <w:rPr>
                <w:rFonts w:asciiTheme="minorHAnsi" w:hAnsiTheme="minorHAnsi"/>
                <w:b/>
              </w:rPr>
              <w:t>Clinical Trials Unit</w:t>
            </w:r>
          </w:p>
        </w:tc>
        <w:tc>
          <w:tcPr>
            <w:tcW w:w="5518" w:type="dxa"/>
          </w:tcPr>
          <w:p w14:paraId="0942A409" w14:textId="77777777" w:rsidR="00A464DD" w:rsidRDefault="00A464DD" w:rsidP="00EE1FD7">
            <w:pPr>
              <w:shd w:val="clear" w:color="auto" w:fill="FFFFFF"/>
              <w:spacing w:after="0" w:line="240" w:lineRule="auto"/>
              <w:rPr>
                <w:rFonts w:asciiTheme="minorHAnsi" w:hAnsiTheme="minorHAnsi"/>
                <w:szCs w:val="24"/>
                <w:lang w:eastAsia="en-GB"/>
              </w:rPr>
            </w:pPr>
            <w:r w:rsidRPr="00F04B16">
              <w:rPr>
                <w:rFonts w:asciiTheme="minorHAnsi" w:hAnsiTheme="minorHAnsi"/>
                <w:szCs w:val="24"/>
                <w:lang w:eastAsia="en-GB"/>
              </w:rPr>
              <w:t>Warwick Clinical Trials Unit, University of Warwick, Gibbet Hill Campus, Coventry, CV4 7AL </w:t>
            </w:r>
          </w:p>
          <w:p w14:paraId="0942A40A" w14:textId="77777777" w:rsidR="00A464DD" w:rsidRPr="00AD4A72" w:rsidRDefault="00A464DD" w:rsidP="008B2BD2">
            <w:pPr>
              <w:shd w:val="clear" w:color="auto" w:fill="FFFFFF"/>
              <w:spacing w:after="0" w:line="240" w:lineRule="auto"/>
              <w:rPr>
                <w:rFonts w:asciiTheme="minorHAnsi" w:hAnsiTheme="minorHAnsi"/>
                <w:szCs w:val="24"/>
                <w:lang w:eastAsia="en-GB"/>
              </w:rPr>
            </w:pPr>
            <w:r>
              <w:rPr>
                <w:rFonts w:asciiTheme="minorHAnsi" w:hAnsiTheme="minorHAnsi"/>
                <w:szCs w:val="24"/>
                <w:lang w:eastAsia="en-GB"/>
              </w:rPr>
              <w:t xml:space="preserve">Trial </w:t>
            </w:r>
            <w:r w:rsidR="008B2BD2">
              <w:rPr>
                <w:rFonts w:asciiTheme="minorHAnsi" w:hAnsiTheme="minorHAnsi"/>
                <w:szCs w:val="24"/>
                <w:lang w:eastAsia="en-GB"/>
              </w:rPr>
              <w:t>Manager</w:t>
            </w:r>
            <w:r>
              <w:rPr>
                <w:rFonts w:asciiTheme="minorHAnsi" w:hAnsiTheme="minorHAnsi"/>
                <w:szCs w:val="24"/>
                <w:lang w:eastAsia="en-GB"/>
              </w:rPr>
              <w:t xml:space="preserve"> – </w:t>
            </w:r>
            <w:r w:rsidR="008B2BD2">
              <w:rPr>
                <w:rFonts w:asciiTheme="minorHAnsi" w:hAnsiTheme="minorHAnsi"/>
                <w:szCs w:val="24"/>
                <w:lang w:eastAsia="en-GB"/>
              </w:rPr>
              <w:t>Emma Skilton</w:t>
            </w:r>
          </w:p>
        </w:tc>
        <w:tc>
          <w:tcPr>
            <w:tcW w:w="1904" w:type="dxa"/>
          </w:tcPr>
          <w:p w14:paraId="0942A40B" w14:textId="77777777" w:rsidR="00A464DD" w:rsidRPr="00F04B16" w:rsidRDefault="00A464DD" w:rsidP="00EE1FD7">
            <w:pPr>
              <w:shd w:val="clear" w:color="auto" w:fill="FFFFFF"/>
              <w:spacing w:after="0" w:line="240" w:lineRule="auto"/>
              <w:rPr>
                <w:rFonts w:asciiTheme="minorHAnsi" w:hAnsiTheme="minorHAnsi"/>
                <w:szCs w:val="24"/>
                <w:lang w:eastAsia="en-GB"/>
              </w:rPr>
            </w:pPr>
            <w:r>
              <w:rPr>
                <w:rFonts w:ascii="Calibri" w:hAnsi="Calibri" w:cs="Arial"/>
                <w:i/>
                <w:iCs/>
                <w:noProof/>
                <w:color w:val="0000FF"/>
                <w:sz w:val="22"/>
                <w:szCs w:val="22"/>
                <w:lang w:eastAsia="en-GB"/>
              </w:rPr>
              <w:drawing>
                <wp:inline distT="0" distB="0" distL="0" distR="0" wp14:anchorId="0942A486" wp14:editId="0942A487">
                  <wp:extent cx="927100" cy="760730"/>
                  <wp:effectExtent l="0" t="0" r="635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27100" cy="760730"/>
                          </a:xfrm>
                          <a:prstGeom prst="rect">
                            <a:avLst/>
                          </a:prstGeom>
                          <a:noFill/>
                        </pic:spPr>
                      </pic:pic>
                    </a:graphicData>
                  </a:graphic>
                </wp:inline>
              </w:drawing>
            </w:r>
          </w:p>
        </w:tc>
      </w:tr>
      <w:tr w:rsidR="00A464DD" w14:paraId="0942A410" w14:textId="77777777" w:rsidTr="00A464DD">
        <w:tc>
          <w:tcPr>
            <w:tcW w:w="1820" w:type="dxa"/>
          </w:tcPr>
          <w:p w14:paraId="0942A40D" w14:textId="77777777" w:rsidR="00A464DD" w:rsidRDefault="00A464DD" w:rsidP="00384FA7">
            <w:pPr>
              <w:rPr>
                <w:rFonts w:asciiTheme="minorHAnsi" w:hAnsiTheme="minorHAnsi"/>
                <w:b/>
              </w:rPr>
            </w:pPr>
          </w:p>
        </w:tc>
        <w:tc>
          <w:tcPr>
            <w:tcW w:w="5518" w:type="dxa"/>
          </w:tcPr>
          <w:p w14:paraId="0942A40E" w14:textId="77777777" w:rsidR="00A464DD" w:rsidRDefault="00A464DD" w:rsidP="00384FA7">
            <w:pPr>
              <w:rPr>
                <w:rFonts w:asciiTheme="minorHAnsi" w:hAnsiTheme="minorHAnsi"/>
                <w:b/>
              </w:rPr>
            </w:pPr>
          </w:p>
        </w:tc>
        <w:tc>
          <w:tcPr>
            <w:tcW w:w="1904" w:type="dxa"/>
          </w:tcPr>
          <w:p w14:paraId="0942A40F" w14:textId="77777777" w:rsidR="00A464DD" w:rsidRPr="00F04B16" w:rsidRDefault="00A464DD" w:rsidP="00EE1FD7">
            <w:pPr>
              <w:shd w:val="clear" w:color="auto" w:fill="FFFFFF"/>
              <w:spacing w:after="0" w:line="240" w:lineRule="auto"/>
              <w:rPr>
                <w:rFonts w:asciiTheme="minorHAnsi" w:hAnsiTheme="minorHAnsi"/>
                <w:szCs w:val="24"/>
                <w:lang w:eastAsia="en-GB"/>
              </w:rPr>
            </w:pPr>
          </w:p>
        </w:tc>
      </w:tr>
      <w:tr w:rsidR="00A464DD" w14:paraId="0942A414" w14:textId="77777777" w:rsidTr="00A464DD">
        <w:tc>
          <w:tcPr>
            <w:tcW w:w="1820" w:type="dxa"/>
          </w:tcPr>
          <w:p w14:paraId="0942A411" w14:textId="77777777" w:rsidR="00A464DD" w:rsidRDefault="00A464DD" w:rsidP="00384FA7">
            <w:pPr>
              <w:rPr>
                <w:rFonts w:asciiTheme="minorHAnsi" w:hAnsiTheme="minorHAnsi"/>
                <w:b/>
              </w:rPr>
            </w:pPr>
            <w:r w:rsidRPr="00F04B16">
              <w:rPr>
                <w:rFonts w:asciiTheme="minorHAnsi" w:hAnsiTheme="minorHAnsi"/>
                <w:b/>
                <w:szCs w:val="24"/>
                <w:lang w:eastAsia="en-GB"/>
              </w:rPr>
              <w:t>E-mail Contact</w:t>
            </w:r>
          </w:p>
        </w:tc>
        <w:tc>
          <w:tcPr>
            <w:tcW w:w="5518" w:type="dxa"/>
          </w:tcPr>
          <w:p w14:paraId="0942A412" w14:textId="77777777" w:rsidR="00A464DD" w:rsidRPr="0063546C" w:rsidRDefault="00766555" w:rsidP="00384FA7">
            <w:pPr>
              <w:rPr>
                <w:rFonts w:asciiTheme="minorHAnsi" w:hAnsiTheme="minorHAnsi" w:cstheme="minorHAnsi"/>
                <w:b/>
              </w:rPr>
            </w:pPr>
            <w:hyperlink r:id="rId12" w:history="1">
              <w:r w:rsidR="00763F28" w:rsidRPr="0063546C">
                <w:rPr>
                  <w:rStyle w:val="Hyperlink"/>
                  <w:rFonts w:asciiTheme="minorHAnsi" w:hAnsiTheme="minorHAnsi" w:cstheme="minorHAnsi"/>
                </w:rPr>
                <w:t>STRESS-L@warwick.ac.uk</w:t>
              </w:r>
            </w:hyperlink>
            <w:r w:rsidR="00763F28" w:rsidRPr="0063546C">
              <w:rPr>
                <w:rFonts w:asciiTheme="minorHAnsi" w:hAnsiTheme="minorHAnsi" w:cstheme="minorHAnsi"/>
              </w:rPr>
              <w:t xml:space="preserve"> </w:t>
            </w:r>
          </w:p>
        </w:tc>
        <w:tc>
          <w:tcPr>
            <w:tcW w:w="1904" w:type="dxa"/>
          </w:tcPr>
          <w:p w14:paraId="0942A413" w14:textId="77777777" w:rsidR="00A464DD" w:rsidRDefault="00A464DD" w:rsidP="00384FA7"/>
        </w:tc>
      </w:tr>
    </w:tbl>
    <w:p w14:paraId="0942A415" w14:textId="77777777" w:rsidR="00384FA7" w:rsidRPr="00F04B16" w:rsidRDefault="00384FA7" w:rsidP="00384FA7">
      <w:pPr>
        <w:shd w:val="clear" w:color="auto" w:fill="FFFFFF"/>
        <w:spacing w:after="0" w:line="240" w:lineRule="auto"/>
        <w:rPr>
          <w:rFonts w:asciiTheme="minorHAnsi" w:hAnsiTheme="minorHAnsi"/>
          <w:szCs w:val="24"/>
          <w:lang w:eastAsia="en-GB"/>
        </w:rPr>
      </w:pPr>
    </w:p>
    <w:p w14:paraId="0942A416" w14:textId="77777777" w:rsidR="00384FA7" w:rsidRPr="00543513" w:rsidRDefault="00384FA7" w:rsidP="00384FA7">
      <w:pPr>
        <w:spacing w:after="200" w:line="276" w:lineRule="auto"/>
        <w:rPr>
          <w:rFonts w:asciiTheme="minorHAnsi" w:hAnsiTheme="minorHAnsi"/>
        </w:rPr>
      </w:pPr>
    </w:p>
    <w:p w14:paraId="0942A417" w14:textId="77777777" w:rsidR="00384FA7" w:rsidRPr="00543513" w:rsidRDefault="00384FA7">
      <w:pPr>
        <w:rPr>
          <w:rFonts w:asciiTheme="minorHAnsi" w:hAnsiTheme="minorHAnsi"/>
        </w:rPr>
      </w:pPr>
    </w:p>
    <w:p w14:paraId="0942A418" w14:textId="77777777" w:rsidR="00384FA7" w:rsidRDefault="00384FA7">
      <w:pPr>
        <w:rPr>
          <w:rFonts w:asciiTheme="minorHAnsi" w:hAnsiTheme="minorHAnsi"/>
        </w:rPr>
      </w:pPr>
    </w:p>
    <w:p w14:paraId="0942A419" w14:textId="77777777" w:rsidR="00417321" w:rsidRDefault="00417321">
      <w:pPr>
        <w:rPr>
          <w:rFonts w:asciiTheme="minorHAnsi" w:hAnsiTheme="minorHAnsi"/>
        </w:rPr>
      </w:pPr>
    </w:p>
    <w:p w14:paraId="0942A41A" w14:textId="77777777" w:rsidR="00417321" w:rsidRDefault="00417321">
      <w:pPr>
        <w:rPr>
          <w:rFonts w:asciiTheme="minorHAnsi" w:hAnsiTheme="minorHAnsi"/>
        </w:rPr>
      </w:pPr>
    </w:p>
    <w:p w14:paraId="0942A41B" w14:textId="77777777" w:rsidR="00417321" w:rsidRDefault="00417321">
      <w:pPr>
        <w:rPr>
          <w:rFonts w:asciiTheme="minorHAnsi" w:hAnsiTheme="minorHAnsi"/>
        </w:rPr>
      </w:pPr>
    </w:p>
    <w:p w14:paraId="0942A41C" w14:textId="77777777" w:rsidR="00417321" w:rsidRDefault="00417321">
      <w:pPr>
        <w:rPr>
          <w:rFonts w:asciiTheme="minorHAnsi" w:hAnsiTheme="minorHAnsi"/>
        </w:rPr>
      </w:pPr>
    </w:p>
    <w:p w14:paraId="0942A41D" w14:textId="77777777" w:rsidR="00417321" w:rsidRDefault="00417321">
      <w:pPr>
        <w:rPr>
          <w:rFonts w:asciiTheme="minorHAnsi" w:hAnsiTheme="minorHAnsi"/>
        </w:rPr>
      </w:pPr>
    </w:p>
    <w:tbl>
      <w:tblPr>
        <w:tblW w:w="9101" w:type="dxa"/>
        <w:tblInd w:w="-34"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1E0" w:firstRow="1" w:lastRow="1" w:firstColumn="1" w:lastColumn="1" w:noHBand="0" w:noVBand="0"/>
      </w:tblPr>
      <w:tblGrid>
        <w:gridCol w:w="2127"/>
        <w:gridCol w:w="6974"/>
      </w:tblGrid>
      <w:tr w:rsidR="00766555" w:rsidRPr="003E51EE" w14:paraId="0C1F1076" w14:textId="77777777" w:rsidTr="000A4938">
        <w:trPr>
          <w:trHeight w:val="20"/>
        </w:trPr>
        <w:tc>
          <w:tcPr>
            <w:tcW w:w="2127" w:type="dxa"/>
          </w:tcPr>
          <w:p w14:paraId="0CA6CDD1" w14:textId="77777777" w:rsidR="00766555" w:rsidRPr="003E51EE" w:rsidRDefault="00766555" w:rsidP="000A4938">
            <w:pPr>
              <w:tabs>
                <w:tab w:val="right" w:pos="1911"/>
              </w:tabs>
              <w:spacing w:before="120" w:line="240" w:lineRule="atLeast"/>
              <w:jc w:val="both"/>
              <w:rPr>
                <w:rFonts w:ascii="Calibri" w:eastAsia="SimSun" w:hAnsi="Calibri"/>
                <w:sz w:val="22"/>
              </w:rPr>
            </w:pPr>
            <w:r w:rsidRPr="003E51EE">
              <w:rPr>
                <w:rFonts w:ascii="Calibri" w:eastAsia="SimSun" w:hAnsi="Calibri"/>
                <w:sz w:val="22"/>
              </w:rPr>
              <w:lastRenderedPageBreak/>
              <w:t>Trial title</w:t>
            </w:r>
            <w:r w:rsidRPr="003E51EE">
              <w:rPr>
                <w:rFonts w:ascii="Calibri" w:eastAsia="SimSun" w:hAnsi="Calibri"/>
                <w:sz w:val="22"/>
              </w:rPr>
              <w:tab/>
            </w:r>
          </w:p>
        </w:tc>
        <w:tc>
          <w:tcPr>
            <w:tcW w:w="6974" w:type="dxa"/>
          </w:tcPr>
          <w:p w14:paraId="76328B83" w14:textId="77777777" w:rsidR="00766555" w:rsidRPr="003E51EE" w:rsidRDefault="00766555" w:rsidP="000A4938">
            <w:pPr>
              <w:spacing w:before="120" w:line="240" w:lineRule="atLeast"/>
              <w:jc w:val="both"/>
              <w:rPr>
                <w:rFonts w:ascii="Calibri" w:eastAsia="SimSun" w:hAnsi="Calibri" w:cs="Arial"/>
                <w:sz w:val="22"/>
                <w:szCs w:val="22"/>
                <w:lang w:bidi="en-US"/>
              </w:rPr>
            </w:pPr>
            <w:r w:rsidRPr="003E51EE">
              <w:rPr>
                <w:rFonts w:ascii="Calibri" w:eastAsia="SimSun" w:hAnsi="Calibri" w:cs="Arial"/>
                <w:sz w:val="22"/>
                <w:szCs w:val="22"/>
                <w:lang w:bidi="en-US"/>
              </w:rPr>
              <w:t>STudy into the REversal of Septic Shock with Beta Blockade Landiolol (Beta Blockade)</w:t>
            </w:r>
          </w:p>
        </w:tc>
      </w:tr>
      <w:tr w:rsidR="00766555" w:rsidRPr="003E51EE" w14:paraId="0F029542" w14:textId="77777777" w:rsidTr="000A4938">
        <w:trPr>
          <w:trHeight w:val="20"/>
        </w:trPr>
        <w:tc>
          <w:tcPr>
            <w:tcW w:w="2127" w:type="dxa"/>
          </w:tcPr>
          <w:p w14:paraId="1EC739B0"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Acronym</w:t>
            </w:r>
          </w:p>
        </w:tc>
        <w:tc>
          <w:tcPr>
            <w:tcW w:w="6974" w:type="dxa"/>
          </w:tcPr>
          <w:p w14:paraId="5BFCDEF7" w14:textId="77777777" w:rsidR="00766555" w:rsidRPr="003E51EE" w:rsidRDefault="00766555" w:rsidP="000A4938">
            <w:pPr>
              <w:spacing w:before="120" w:line="240" w:lineRule="atLeast"/>
              <w:jc w:val="both"/>
              <w:rPr>
                <w:rFonts w:ascii="Calibri" w:eastAsia="SimSun" w:hAnsi="Calibri"/>
                <w:sz w:val="22"/>
                <w:szCs w:val="22"/>
              </w:rPr>
            </w:pPr>
            <w:r w:rsidRPr="003E51EE">
              <w:rPr>
                <w:rFonts w:ascii="Calibri" w:eastAsia="SimSun" w:hAnsi="Calibri"/>
                <w:sz w:val="22"/>
                <w:szCs w:val="22"/>
              </w:rPr>
              <w:t>STRESS-L</w:t>
            </w:r>
          </w:p>
        </w:tc>
      </w:tr>
      <w:tr w:rsidR="00766555" w:rsidRPr="003E51EE" w14:paraId="6BB3CD61" w14:textId="77777777" w:rsidTr="000A4938">
        <w:trPr>
          <w:trHeight w:val="20"/>
        </w:trPr>
        <w:tc>
          <w:tcPr>
            <w:tcW w:w="2127" w:type="dxa"/>
          </w:tcPr>
          <w:p w14:paraId="7124AB30"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 xml:space="preserve">Chief Investigator </w:t>
            </w:r>
          </w:p>
        </w:tc>
        <w:tc>
          <w:tcPr>
            <w:tcW w:w="6974" w:type="dxa"/>
          </w:tcPr>
          <w:p w14:paraId="26C842B4" w14:textId="77777777" w:rsidR="00766555" w:rsidRPr="003E51EE" w:rsidRDefault="00766555" w:rsidP="000A4938">
            <w:pPr>
              <w:spacing w:before="120" w:line="240" w:lineRule="atLeast"/>
              <w:jc w:val="both"/>
              <w:rPr>
                <w:rFonts w:ascii="Calibri" w:eastAsia="SimSun" w:hAnsi="Calibri"/>
                <w:sz w:val="22"/>
                <w:szCs w:val="22"/>
              </w:rPr>
            </w:pPr>
            <w:r w:rsidRPr="003E51EE">
              <w:rPr>
                <w:rFonts w:ascii="Calibri" w:eastAsia="SimSun" w:hAnsi="Calibri"/>
                <w:sz w:val="22"/>
                <w:szCs w:val="22"/>
              </w:rPr>
              <w:t xml:space="preserve">Dr Tony Whitehouse </w:t>
            </w:r>
          </w:p>
        </w:tc>
      </w:tr>
      <w:tr w:rsidR="00766555" w:rsidRPr="003E51EE" w14:paraId="5B3FF63B" w14:textId="77777777" w:rsidTr="000A4938">
        <w:trPr>
          <w:trHeight w:val="20"/>
        </w:trPr>
        <w:tc>
          <w:tcPr>
            <w:tcW w:w="2127" w:type="dxa"/>
          </w:tcPr>
          <w:p w14:paraId="6BDAE1D8"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Clinical Phase</w:t>
            </w:r>
          </w:p>
        </w:tc>
        <w:tc>
          <w:tcPr>
            <w:tcW w:w="6974" w:type="dxa"/>
          </w:tcPr>
          <w:p w14:paraId="471712FB" w14:textId="77777777" w:rsidR="00766555" w:rsidRPr="003E51EE" w:rsidRDefault="00766555" w:rsidP="000A4938">
            <w:pPr>
              <w:spacing w:before="120" w:line="240" w:lineRule="atLeast"/>
              <w:jc w:val="both"/>
              <w:rPr>
                <w:rFonts w:ascii="Calibri" w:eastAsia="SimSun" w:hAnsi="Calibri"/>
                <w:sz w:val="22"/>
                <w:szCs w:val="22"/>
              </w:rPr>
            </w:pPr>
            <w:r w:rsidRPr="003E51EE">
              <w:rPr>
                <w:rFonts w:ascii="Calibri" w:eastAsia="SimSun" w:hAnsi="Calibri"/>
                <w:sz w:val="22"/>
                <w:szCs w:val="22"/>
              </w:rPr>
              <w:t>Phase IIb</w:t>
            </w:r>
          </w:p>
        </w:tc>
      </w:tr>
      <w:tr w:rsidR="00766555" w:rsidRPr="003E51EE" w14:paraId="643ED384" w14:textId="77777777" w:rsidTr="000A4938">
        <w:trPr>
          <w:trHeight w:val="20"/>
        </w:trPr>
        <w:tc>
          <w:tcPr>
            <w:tcW w:w="2127" w:type="dxa"/>
          </w:tcPr>
          <w:p w14:paraId="3FD6277A"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Trial Design</w:t>
            </w:r>
          </w:p>
        </w:tc>
        <w:tc>
          <w:tcPr>
            <w:tcW w:w="6974" w:type="dxa"/>
          </w:tcPr>
          <w:p w14:paraId="15B53855" w14:textId="77777777" w:rsidR="00766555" w:rsidRPr="003E51EE" w:rsidRDefault="00766555" w:rsidP="000A4938">
            <w:pPr>
              <w:spacing w:before="120" w:line="240" w:lineRule="atLeast"/>
              <w:jc w:val="both"/>
              <w:rPr>
                <w:rFonts w:ascii="Calibri" w:eastAsia="SimSun" w:hAnsi="Calibri"/>
                <w:sz w:val="22"/>
                <w:szCs w:val="22"/>
              </w:rPr>
            </w:pPr>
            <w:r w:rsidRPr="003E51EE">
              <w:rPr>
                <w:rFonts w:ascii="Calibri" w:eastAsia="SimSun" w:hAnsi="Calibri"/>
                <w:sz w:val="22"/>
                <w:szCs w:val="22"/>
              </w:rPr>
              <w:t>Open-label</w:t>
            </w:r>
            <w:r>
              <w:rPr>
                <w:rFonts w:ascii="Calibri" w:eastAsia="SimSun" w:hAnsi="Calibri"/>
                <w:sz w:val="22"/>
                <w:szCs w:val="22"/>
              </w:rPr>
              <w:t>, no blinding, multi-centre,</w:t>
            </w:r>
            <w:r w:rsidRPr="003E51EE">
              <w:rPr>
                <w:rFonts w:ascii="Calibri" w:eastAsia="SimSun" w:hAnsi="Calibri"/>
                <w:sz w:val="22"/>
                <w:szCs w:val="22"/>
              </w:rPr>
              <w:t xml:space="preserve"> randomised</w:t>
            </w:r>
            <w:r>
              <w:rPr>
                <w:rFonts w:ascii="Calibri" w:eastAsia="SimSun" w:hAnsi="Calibri"/>
                <w:sz w:val="22"/>
                <w:szCs w:val="22"/>
              </w:rPr>
              <w:t xml:space="preserve"> phase IIb</w:t>
            </w:r>
            <w:r w:rsidRPr="003E51EE">
              <w:rPr>
                <w:rFonts w:ascii="Calibri" w:eastAsia="SimSun" w:hAnsi="Calibri"/>
                <w:sz w:val="22"/>
                <w:szCs w:val="22"/>
              </w:rPr>
              <w:t xml:space="preserve"> controlled trial. No placebo</w:t>
            </w:r>
          </w:p>
        </w:tc>
      </w:tr>
      <w:tr w:rsidR="00766555" w:rsidRPr="003E51EE" w14:paraId="2A59EB97" w14:textId="77777777" w:rsidTr="000A4938">
        <w:trPr>
          <w:trHeight w:val="20"/>
        </w:trPr>
        <w:tc>
          <w:tcPr>
            <w:tcW w:w="2127" w:type="dxa"/>
          </w:tcPr>
          <w:p w14:paraId="59456976"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Sample size</w:t>
            </w:r>
          </w:p>
        </w:tc>
        <w:tc>
          <w:tcPr>
            <w:tcW w:w="6974" w:type="dxa"/>
            <w:vAlign w:val="center"/>
          </w:tcPr>
          <w:p w14:paraId="56EBAD08" w14:textId="77777777" w:rsidR="00766555" w:rsidRPr="003E51EE" w:rsidRDefault="00766555" w:rsidP="000A4938">
            <w:pPr>
              <w:spacing w:before="120" w:line="240" w:lineRule="atLeast"/>
              <w:jc w:val="both"/>
              <w:rPr>
                <w:rFonts w:ascii="Calibri" w:eastAsia="SimSun" w:hAnsi="Calibri"/>
                <w:sz w:val="22"/>
                <w:szCs w:val="22"/>
              </w:rPr>
            </w:pPr>
            <w:r w:rsidRPr="003E51EE">
              <w:rPr>
                <w:rFonts w:ascii="Calibri" w:eastAsia="SimSun" w:hAnsi="Calibri"/>
                <w:sz w:val="22"/>
                <w:szCs w:val="22"/>
              </w:rPr>
              <w:t>340 participants</w:t>
            </w:r>
          </w:p>
        </w:tc>
      </w:tr>
      <w:tr w:rsidR="00766555" w:rsidRPr="003E51EE" w14:paraId="37196026" w14:textId="77777777" w:rsidTr="000A4938">
        <w:trPr>
          <w:trHeight w:val="20"/>
        </w:trPr>
        <w:tc>
          <w:tcPr>
            <w:tcW w:w="2127" w:type="dxa"/>
          </w:tcPr>
          <w:p w14:paraId="56AFD7F8"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Primary objective</w:t>
            </w:r>
          </w:p>
        </w:tc>
        <w:tc>
          <w:tcPr>
            <w:tcW w:w="6974" w:type="dxa"/>
          </w:tcPr>
          <w:p w14:paraId="32FD3650" w14:textId="77777777" w:rsidR="00766555" w:rsidRPr="003E51EE" w:rsidRDefault="00766555" w:rsidP="000A4938">
            <w:pPr>
              <w:spacing w:before="120" w:line="240" w:lineRule="atLeast"/>
              <w:jc w:val="both"/>
              <w:rPr>
                <w:rFonts w:ascii="Calibri" w:eastAsia="SimSun" w:hAnsi="Calibri"/>
                <w:sz w:val="22"/>
                <w:szCs w:val="22"/>
              </w:rPr>
            </w:pPr>
            <w:r w:rsidRPr="003E51EE">
              <w:rPr>
                <w:rFonts w:ascii="Calibri" w:eastAsia="SimSun" w:hAnsi="Calibri"/>
                <w:sz w:val="22"/>
                <w:szCs w:val="22"/>
              </w:rPr>
              <w:t>To assess the efficacy, tolerability, safety and mechanisms of beta-blockade in patients with septic shock requiring prolonged (&gt;24 hours) support with high-dose vasopressor agents.</w:t>
            </w:r>
          </w:p>
        </w:tc>
      </w:tr>
      <w:tr w:rsidR="00766555" w:rsidRPr="003E51EE" w14:paraId="69D333F1" w14:textId="77777777" w:rsidTr="000A4938">
        <w:trPr>
          <w:trHeight w:val="20"/>
        </w:trPr>
        <w:tc>
          <w:tcPr>
            <w:tcW w:w="2127" w:type="dxa"/>
          </w:tcPr>
          <w:p w14:paraId="638A5769"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Population</w:t>
            </w:r>
          </w:p>
        </w:tc>
        <w:tc>
          <w:tcPr>
            <w:tcW w:w="6974" w:type="dxa"/>
          </w:tcPr>
          <w:p w14:paraId="4D484D88" w14:textId="77777777" w:rsidR="00766555" w:rsidRPr="003E51EE" w:rsidRDefault="00766555" w:rsidP="000A4938">
            <w:pPr>
              <w:spacing w:before="120" w:line="240" w:lineRule="atLeast"/>
              <w:jc w:val="both"/>
              <w:rPr>
                <w:rFonts w:ascii="Calibri" w:eastAsia="SimSun" w:hAnsi="Calibri" w:cs="Arial"/>
                <w:sz w:val="22"/>
                <w:szCs w:val="22"/>
                <w:lang w:bidi="en-US"/>
              </w:rPr>
            </w:pPr>
            <w:proofErr w:type="gramStart"/>
            <w:r w:rsidRPr="003E51EE">
              <w:rPr>
                <w:rFonts w:ascii="Calibri" w:eastAsia="SimSun" w:hAnsi="Calibri" w:cs="Arial"/>
                <w:sz w:val="22"/>
                <w:szCs w:val="22"/>
                <w:lang w:bidi="en-US"/>
              </w:rPr>
              <w:t xml:space="preserve">Adult patients in an intensive care unit (ICU) diagnosed with septic shock as defined by consensus criteria (Sepsis-3) who, having received adequate fluid resuscitation, are receiving noradrenaline treatment at &gt;=0.1mcg/kg/min continuously for longer than 24 hours (but less than </w:t>
            </w:r>
            <w:r>
              <w:rPr>
                <w:rFonts w:ascii="Calibri" w:eastAsia="SimSun" w:hAnsi="Calibri" w:cs="Arial"/>
                <w:sz w:val="22"/>
                <w:szCs w:val="22"/>
                <w:lang w:bidi="en-US"/>
              </w:rPr>
              <w:t xml:space="preserve">72 </w:t>
            </w:r>
            <w:r w:rsidRPr="003E51EE">
              <w:rPr>
                <w:rFonts w:ascii="Calibri" w:eastAsia="SimSun" w:hAnsi="Calibri" w:cs="Arial"/>
                <w:sz w:val="22"/>
                <w:szCs w:val="22"/>
                <w:lang w:bidi="en-US"/>
              </w:rPr>
              <w:t xml:space="preserve">hours) to maintain a predefined mean arterial pressure (usually of 65 mmHg) and continue to have a heart rate (HR) </w:t>
            </w:r>
            <w:r>
              <w:rPr>
                <w:rFonts w:ascii="Calibri" w:eastAsia="SimSun" w:hAnsi="Calibri" w:cs="Arial"/>
                <w:sz w:val="22"/>
                <w:szCs w:val="22"/>
                <w:lang w:bidi="en-US"/>
              </w:rPr>
              <w:t xml:space="preserve">of </w:t>
            </w:r>
            <w:r w:rsidRPr="003E51EE">
              <w:rPr>
                <w:rFonts w:ascii="Calibri" w:eastAsia="SimSun" w:hAnsi="Calibri" w:cs="Arial"/>
                <w:sz w:val="22"/>
                <w:szCs w:val="22"/>
                <w:lang w:bidi="en-US"/>
              </w:rPr>
              <w:t>more than 94 bpm (&gt;=95bpm).</w:t>
            </w:r>
            <w:proofErr w:type="gramEnd"/>
          </w:p>
        </w:tc>
      </w:tr>
      <w:tr w:rsidR="00766555" w:rsidRPr="003E51EE" w14:paraId="5EDA3805" w14:textId="77777777" w:rsidTr="000A4938">
        <w:trPr>
          <w:trHeight w:val="20"/>
        </w:trPr>
        <w:tc>
          <w:tcPr>
            <w:tcW w:w="2127" w:type="dxa"/>
          </w:tcPr>
          <w:p w14:paraId="667CA713"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IMP</w:t>
            </w:r>
          </w:p>
        </w:tc>
        <w:tc>
          <w:tcPr>
            <w:tcW w:w="6974" w:type="dxa"/>
          </w:tcPr>
          <w:p w14:paraId="57226DC6" w14:textId="77777777" w:rsidR="00766555" w:rsidRPr="003E51EE" w:rsidRDefault="00766555" w:rsidP="000A4938">
            <w:pPr>
              <w:spacing w:before="120" w:line="240" w:lineRule="atLeast"/>
              <w:jc w:val="both"/>
              <w:rPr>
                <w:rFonts w:ascii="Calibri" w:eastAsia="SimSun" w:hAnsi="Calibri" w:cs="Arial"/>
                <w:sz w:val="22"/>
                <w:szCs w:val="22"/>
                <w:lang w:bidi="en-US"/>
              </w:rPr>
            </w:pPr>
            <w:r w:rsidRPr="003E51EE">
              <w:rPr>
                <w:rFonts w:ascii="Calibri" w:eastAsia="SimSun" w:hAnsi="Calibri" w:cs="Arial"/>
                <w:sz w:val="22"/>
                <w:szCs w:val="22"/>
                <w:lang w:bidi="en-US"/>
              </w:rPr>
              <w:t>Landiolol infusion (1 – 40 µg/kg/min) to maintain heart rate of 80-94 beats per minute</w:t>
            </w:r>
            <w:r>
              <w:rPr>
                <w:rFonts w:ascii="Calibri" w:eastAsia="SimSun" w:hAnsi="Calibri" w:cs="Arial"/>
                <w:sz w:val="22"/>
                <w:szCs w:val="22"/>
                <w:lang w:bidi="en-US"/>
              </w:rPr>
              <w:t>.</w:t>
            </w:r>
          </w:p>
        </w:tc>
      </w:tr>
      <w:tr w:rsidR="00766555" w:rsidRPr="003E51EE" w14:paraId="084E51EF" w14:textId="77777777" w:rsidTr="000A4938">
        <w:trPr>
          <w:trHeight w:val="20"/>
        </w:trPr>
        <w:tc>
          <w:tcPr>
            <w:tcW w:w="2127" w:type="dxa"/>
          </w:tcPr>
          <w:p w14:paraId="74A3F1A7" w14:textId="77777777" w:rsidR="00766555" w:rsidRPr="003E51EE" w:rsidRDefault="00766555" w:rsidP="000A4938">
            <w:pPr>
              <w:spacing w:before="120" w:line="240" w:lineRule="atLeast"/>
              <w:jc w:val="both"/>
              <w:rPr>
                <w:rFonts w:ascii="Calibri" w:eastAsia="SimSun" w:hAnsi="Calibri" w:cs="Arial"/>
                <w:sz w:val="22"/>
                <w:szCs w:val="22"/>
                <w:lang w:bidi="en-US"/>
              </w:rPr>
            </w:pPr>
            <w:r w:rsidRPr="003E51EE">
              <w:rPr>
                <w:rFonts w:ascii="Calibri" w:eastAsia="SimSun" w:hAnsi="Calibri" w:cs="Arial"/>
                <w:sz w:val="22"/>
                <w:szCs w:val="22"/>
                <w:lang w:bidi="en-US"/>
              </w:rPr>
              <w:t>Treatment Duration</w:t>
            </w:r>
          </w:p>
        </w:tc>
        <w:tc>
          <w:tcPr>
            <w:tcW w:w="6974" w:type="dxa"/>
          </w:tcPr>
          <w:p w14:paraId="507A8BB4" w14:textId="77777777" w:rsidR="00766555" w:rsidRPr="003E51EE" w:rsidRDefault="00766555" w:rsidP="000A4938">
            <w:pPr>
              <w:spacing w:before="120" w:line="240" w:lineRule="atLeast"/>
              <w:jc w:val="both"/>
              <w:rPr>
                <w:rFonts w:ascii="Calibri" w:eastAsia="SimSun" w:hAnsi="Calibri" w:cs="Arial"/>
                <w:sz w:val="22"/>
                <w:szCs w:val="22"/>
                <w:lang w:bidi="en-US"/>
              </w:rPr>
            </w:pPr>
            <w:r w:rsidRPr="003E51EE">
              <w:rPr>
                <w:rFonts w:ascii="Calibri" w:eastAsia="SimSun" w:hAnsi="Calibri" w:cs="Arial"/>
                <w:sz w:val="22"/>
                <w:szCs w:val="22"/>
                <w:lang w:bidi="en-US"/>
              </w:rPr>
              <w:t>Landiolol infusion should continue until the HR is consistently below 95 bpm. Landiolol infusion should continue whilst in ICU only and even if vasopressor support has finished.</w:t>
            </w:r>
            <w:r>
              <w:rPr>
                <w:rFonts w:ascii="Calibri" w:eastAsia="SimSun" w:hAnsi="Calibri" w:cs="Arial"/>
                <w:sz w:val="22"/>
                <w:szCs w:val="22"/>
                <w:lang w:bidi="en-US"/>
              </w:rPr>
              <w:t xml:space="preserve"> Landiolol </w:t>
            </w:r>
            <w:proofErr w:type="gramStart"/>
            <w:r>
              <w:rPr>
                <w:rFonts w:ascii="Calibri" w:eastAsia="SimSun" w:hAnsi="Calibri" w:cs="Arial"/>
                <w:sz w:val="22"/>
                <w:szCs w:val="22"/>
                <w:lang w:bidi="en-US"/>
              </w:rPr>
              <w:t>should be weaned and, if necessary, stopped whilst the HR is below 80 bpm</w:t>
            </w:r>
            <w:proofErr w:type="gramEnd"/>
            <w:r>
              <w:rPr>
                <w:rFonts w:ascii="Calibri" w:eastAsia="SimSun" w:hAnsi="Calibri" w:cs="Arial"/>
                <w:sz w:val="22"/>
                <w:szCs w:val="22"/>
                <w:lang w:bidi="en-US"/>
              </w:rPr>
              <w:t>. It may be restarted at any point before the defined End of Noradrenaline Treatment (up until 12 hours after noradrenaline treatment is stopped)Once the end of noradrenaline treatment visit has passed and the landiolol has been stopped for 12 hours or more, it should not be restarted. The maximum treatment duration is 14 days.</w:t>
            </w:r>
          </w:p>
        </w:tc>
      </w:tr>
      <w:tr w:rsidR="00766555" w:rsidRPr="003E51EE" w14:paraId="2D62ADF1" w14:textId="77777777" w:rsidTr="000A4938">
        <w:trPr>
          <w:trHeight w:val="20"/>
        </w:trPr>
        <w:tc>
          <w:tcPr>
            <w:tcW w:w="2127" w:type="dxa"/>
          </w:tcPr>
          <w:p w14:paraId="3FA9F3A0"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Follow up Duration</w:t>
            </w:r>
          </w:p>
        </w:tc>
        <w:tc>
          <w:tcPr>
            <w:tcW w:w="6974" w:type="dxa"/>
            <w:vAlign w:val="center"/>
          </w:tcPr>
          <w:p w14:paraId="75F404A2" w14:textId="77777777" w:rsidR="00766555" w:rsidRPr="003E51EE" w:rsidRDefault="00766555" w:rsidP="000A4938">
            <w:pPr>
              <w:spacing w:before="120" w:line="240" w:lineRule="atLeast"/>
              <w:jc w:val="both"/>
              <w:rPr>
                <w:rFonts w:ascii="Calibri" w:eastAsia="SimSun" w:hAnsi="Calibri" w:cs="Arial"/>
                <w:sz w:val="22"/>
                <w:szCs w:val="22"/>
                <w:lang w:bidi="en-US"/>
              </w:rPr>
            </w:pPr>
            <w:r w:rsidRPr="003E51EE">
              <w:rPr>
                <w:rFonts w:ascii="Calibri" w:eastAsia="SimSun" w:hAnsi="Calibri" w:cs="Arial"/>
                <w:sz w:val="22"/>
                <w:szCs w:val="22"/>
                <w:lang w:bidi="en-US"/>
              </w:rPr>
              <w:t>Participants will be followed up on the study for up to 90 days</w:t>
            </w:r>
          </w:p>
        </w:tc>
      </w:tr>
      <w:tr w:rsidR="00766555" w:rsidRPr="003E51EE" w14:paraId="6E9CFF63" w14:textId="77777777" w:rsidTr="000A4938">
        <w:trPr>
          <w:trHeight w:val="20"/>
        </w:trPr>
        <w:tc>
          <w:tcPr>
            <w:tcW w:w="2127" w:type="dxa"/>
          </w:tcPr>
          <w:p w14:paraId="3DB7D064"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Planned Trial Period</w:t>
            </w:r>
          </w:p>
        </w:tc>
        <w:tc>
          <w:tcPr>
            <w:tcW w:w="6974" w:type="dxa"/>
            <w:vAlign w:val="center"/>
          </w:tcPr>
          <w:p w14:paraId="4FC25E00" w14:textId="77777777" w:rsidR="00766555" w:rsidRPr="003E51EE" w:rsidRDefault="00766555" w:rsidP="000A4938">
            <w:pPr>
              <w:spacing w:before="120" w:line="240" w:lineRule="atLeast"/>
              <w:jc w:val="both"/>
              <w:rPr>
                <w:rFonts w:ascii="Calibri" w:eastAsia="SimSun" w:hAnsi="Calibri" w:cs="Arial"/>
                <w:sz w:val="22"/>
                <w:szCs w:val="22"/>
                <w:lang w:bidi="en-US"/>
              </w:rPr>
            </w:pPr>
            <w:r w:rsidRPr="003E51EE">
              <w:rPr>
                <w:rFonts w:ascii="Calibri" w:eastAsia="SimSun" w:hAnsi="Calibri" w:cs="Arial"/>
                <w:sz w:val="22"/>
                <w:szCs w:val="22"/>
                <w:lang w:bidi="en-US"/>
              </w:rPr>
              <w:t>51 months</w:t>
            </w:r>
          </w:p>
        </w:tc>
      </w:tr>
      <w:tr w:rsidR="00766555" w:rsidRPr="00CA4D5C" w14:paraId="15567021" w14:textId="77777777" w:rsidTr="000A4938">
        <w:trPr>
          <w:trHeight w:val="20"/>
        </w:trPr>
        <w:tc>
          <w:tcPr>
            <w:tcW w:w="2127" w:type="dxa"/>
          </w:tcPr>
          <w:p w14:paraId="17FE6D8E"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Eligibility criteria</w:t>
            </w:r>
          </w:p>
        </w:tc>
        <w:tc>
          <w:tcPr>
            <w:tcW w:w="6974" w:type="dxa"/>
          </w:tcPr>
          <w:p w14:paraId="16BDAC57" w14:textId="77777777" w:rsidR="00766555" w:rsidRPr="003E51EE" w:rsidRDefault="00766555" w:rsidP="000A4938">
            <w:pPr>
              <w:spacing w:before="120" w:after="120" w:line="240" w:lineRule="atLeast"/>
              <w:jc w:val="both"/>
              <w:rPr>
                <w:rFonts w:ascii="Calibri" w:hAnsi="Calibri"/>
                <w:b/>
                <w:sz w:val="22"/>
                <w:szCs w:val="22"/>
              </w:rPr>
            </w:pPr>
            <w:bookmarkStart w:id="0" w:name="_Toc360024823"/>
            <w:bookmarkStart w:id="1" w:name="_Toc374012151"/>
            <w:r w:rsidRPr="003E51EE">
              <w:rPr>
                <w:rFonts w:ascii="Calibri" w:hAnsi="Calibri"/>
                <w:b/>
                <w:sz w:val="22"/>
                <w:szCs w:val="22"/>
              </w:rPr>
              <w:t>Inclusion criteria</w:t>
            </w:r>
            <w:bookmarkEnd w:id="0"/>
            <w:bookmarkEnd w:id="1"/>
          </w:p>
          <w:p w14:paraId="05895196" w14:textId="77777777" w:rsidR="00766555" w:rsidRPr="003E51EE" w:rsidRDefault="00766555" w:rsidP="00766555">
            <w:pPr>
              <w:numPr>
                <w:ilvl w:val="0"/>
                <w:numId w:val="9"/>
              </w:numPr>
              <w:spacing w:after="120" w:line="240" w:lineRule="auto"/>
              <w:rPr>
                <w:rFonts w:ascii="Calibri" w:hAnsi="Calibri" w:cs="Calibri"/>
                <w:sz w:val="22"/>
                <w:szCs w:val="22"/>
              </w:rPr>
            </w:pPr>
            <w:bookmarkStart w:id="2" w:name="_Toc360024824"/>
            <w:bookmarkStart w:id="3" w:name="_Toc374012152"/>
            <w:r w:rsidRPr="003E51EE">
              <w:rPr>
                <w:rFonts w:ascii="Calibri" w:hAnsi="Calibri" w:cs="Calibri"/>
                <w:sz w:val="22"/>
                <w:szCs w:val="22"/>
              </w:rPr>
              <w:t xml:space="preserve"> </w:t>
            </w:r>
            <w:r>
              <w:rPr>
                <w:rFonts w:ascii="Calibri" w:hAnsi="Calibri" w:cs="Calibri"/>
                <w:sz w:val="22"/>
                <w:szCs w:val="22"/>
              </w:rPr>
              <w:t>A</w:t>
            </w:r>
            <w:r w:rsidRPr="003E51EE">
              <w:rPr>
                <w:rFonts w:ascii="Calibri" w:hAnsi="Calibri" w:cs="Calibri"/>
                <w:sz w:val="22"/>
                <w:szCs w:val="22"/>
              </w:rPr>
              <w:t>ged 18 years or above</w:t>
            </w:r>
          </w:p>
          <w:p w14:paraId="000BA204"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Being treated on an ICU</w:t>
            </w:r>
          </w:p>
          <w:p w14:paraId="5953219C"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Septic shock according to internationally accepted definitions*</w:t>
            </w:r>
          </w:p>
          <w:p w14:paraId="653D3350"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Heart rate ≥95 bpm (</w:t>
            </w:r>
            <w:r>
              <w:rPr>
                <w:rFonts w:ascii="Calibri" w:hAnsi="Calibri" w:cs="Calibri"/>
                <w:sz w:val="22"/>
                <w:szCs w:val="22"/>
              </w:rPr>
              <w:t xml:space="preserve"> at the time of randomisation</w:t>
            </w:r>
            <w:r w:rsidRPr="003E51EE">
              <w:rPr>
                <w:rFonts w:ascii="Calibri" w:hAnsi="Calibri" w:cs="Calibri"/>
                <w:sz w:val="22"/>
                <w:szCs w:val="22"/>
              </w:rPr>
              <w:t>)</w:t>
            </w:r>
          </w:p>
          <w:p w14:paraId="77E68323"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Receiving vasopressor support to maintain a target blood pressure for ≥24 hours</w:t>
            </w:r>
            <w:r>
              <w:rPr>
                <w:rFonts w:ascii="Calibri" w:hAnsi="Calibri" w:cs="Calibri"/>
                <w:sz w:val="22"/>
                <w:szCs w:val="22"/>
              </w:rPr>
              <w:t xml:space="preserve"> </w:t>
            </w:r>
          </w:p>
          <w:p w14:paraId="6141D850"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Are being treated with noradrenaline at a rate ≥ 0.1mcg/kg/min</w:t>
            </w:r>
          </w:p>
          <w:p w14:paraId="361465FB" w14:textId="77777777" w:rsidR="00766555" w:rsidRPr="003E51EE" w:rsidRDefault="00766555" w:rsidP="000A4938">
            <w:pPr>
              <w:spacing w:after="120" w:line="240" w:lineRule="atLeast"/>
              <w:jc w:val="both"/>
              <w:rPr>
                <w:rFonts w:ascii="Calibri" w:hAnsi="Calibri"/>
                <w:sz w:val="22"/>
                <w:szCs w:val="22"/>
                <w:u w:val="single"/>
                <w:lang w:bidi="en-US"/>
              </w:rPr>
            </w:pPr>
            <w:r w:rsidRPr="003E51EE">
              <w:rPr>
                <w:rFonts w:ascii="Calibri" w:hAnsi="Calibri"/>
                <w:sz w:val="22"/>
                <w:szCs w:val="22"/>
                <w:u w:val="single"/>
                <w:lang w:bidi="en-US"/>
              </w:rPr>
              <w:t>*Sepsis -3 definitions:</w:t>
            </w:r>
          </w:p>
          <w:p w14:paraId="47991DC2"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confirmed or suspected infection requiring antibiotic therapy</w:t>
            </w:r>
          </w:p>
          <w:p w14:paraId="58177191"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new organ dysfunction, as evidenced by an increase in Sequential Organ Failure Assessment (SOFA) score ≥2</w:t>
            </w:r>
          </w:p>
          <w:p w14:paraId="166CBC91"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a blood lactate &gt;2 mmol/l at any point during shock resuscitation</w:t>
            </w:r>
          </w:p>
          <w:p w14:paraId="648AC7F0"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 xml:space="preserve">vasopressor therapy to maintain mean arterial pressure (MAP) ≥65 mmHg </w:t>
            </w:r>
          </w:p>
          <w:p w14:paraId="3B25240B" w14:textId="77777777" w:rsidR="00766555" w:rsidRPr="003E51EE" w:rsidRDefault="00766555" w:rsidP="000A4938">
            <w:pPr>
              <w:spacing w:after="360" w:line="240" w:lineRule="atLeast"/>
              <w:jc w:val="both"/>
              <w:rPr>
                <w:rFonts w:ascii="Calibri" w:hAnsi="Calibri"/>
                <w:sz w:val="22"/>
                <w:szCs w:val="22"/>
                <w:u w:val="single"/>
                <w:lang w:bidi="en-US"/>
              </w:rPr>
            </w:pPr>
            <w:r w:rsidRPr="003E51EE">
              <w:rPr>
                <w:rFonts w:ascii="Calibri" w:hAnsi="Calibri"/>
                <w:sz w:val="22"/>
                <w:szCs w:val="22"/>
                <w:u w:val="single"/>
                <w:lang w:bidi="en-US"/>
              </w:rPr>
              <w:t xml:space="preserve">In </w:t>
            </w:r>
            <w:proofErr w:type="gramStart"/>
            <w:r w:rsidRPr="003E51EE">
              <w:rPr>
                <w:rFonts w:ascii="Calibri" w:hAnsi="Calibri"/>
                <w:sz w:val="22"/>
                <w:szCs w:val="22"/>
                <w:u w:val="single"/>
                <w:lang w:bidi="en-US"/>
              </w:rPr>
              <w:t>particular</w:t>
            </w:r>
            <w:proofErr w:type="gramEnd"/>
            <w:r w:rsidRPr="003E51EE">
              <w:rPr>
                <w:rFonts w:ascii="Calibri" w:hAnsi="Calibri"/>
                <w:sz w:val="22"/>
                <w:szCs w:val="22"/>
                <w:u w:val="single"/>
                <w:lang w:bidi="en-US"/>
              </w:rPr>
              <w:t xml:space="preserve"> the presence of a blood lactate &gt; 2 mmol/l is only necessary for the diagnosis of septic shock and is NOT necessary for randomisation 24 hours later.</w:t>
            </w:r>
          </w:p>
          <w:p w14:paraId="1AE49C61" w14:textId="77777777" w:rsidR="00766555" w:rsidRPr="003E51EE" w:rsidRDefault="00766555" w:rsidP="000A4938">
            <w:pPr>
              <w:spacing w:after="120" w:line="240" w:lineRule="atLeast"/>
              <w:jc w:val="both"/>
              <w:rPr>
                <w:rFonts w:ascii="Calibri" w:hAnsi="Calibri"/>
                <w:b/>
                <w:sz w:val="22"/>
                <w:szCs w:val="22"/>
              </w:rPr>
            </w:pPr>
            <w:r w:rsidRPr="003E51EE">
              <w:rPr>
                <w:rFonts w:ascii="Calibri" w:hAnsi="Calibri"/>
                <w:b/>
                <w:sz w:val="22"/>
                <w:szCs w:val="22"/>
              </w:rPr>
              <w:t>Exclusion criteria</w:t>
            </w:r>
            <w:bookmarkEnd w:id="2"/>
            <w:bookmarkEnd w:id="3"/>
          </w:p>
          <w:p w14:paraId="4F4FFBAC" w14:textId="77777777" w:rsidR="00766555" w:rsidRPr="00766555" w:rsidRDefault="00766555" w:rsidP="00766555">
            <w:pPr>
              <w:numPr>
                <w:ilvl w:val="0"/>
                <w:numId w:val="9"/>
              </w:numPr>
              <w:spacing w:after="120" w:line="240" w:lineRule="auto"/>
              <w:rPr>
                <w:rFonts w:ascii="Calibri" w:hAnsi="Calibri" w:cs="Calibri"/>
                <w:sz w:val="22"/>
                <w:szCs w:val="22"/>
              </w:rPr>
            </w:pPr>
            <w:r w:rsidRPr="00766555">
              <w:rPr>
                <w:rFonts w:asciiTheme="minorHAnsi" w:hAnsiTheme="minorHAnsi" w:cstheme="minorHAnsi"/>
                <w:sz w:val="22"/>
              </w:rPr>
              <w:t>Tachycardia as a result of pain, discomfort from medical devices (including endotracheal tubes), during interventions or other patient distress</w:t>
            </w:r>
          </w:p>
          <w:p w14:paraId="4A76C56F" w14:textId="77777777" w:rsidR="00766555" w:rsidRPr="00EC2E3C" w:rsidRDefault="00766555" w:rsidP="00766555">
            <w:pPr>
              <w:numPr>
                <w:ilvl w:val="0"/>
                <w:numId w:val="9"/>
              </w:numPr>
              <w:spacing w:after="120" w:line="240" w:lineRule="auto"/>
              <w:rPr>
                <w:rFonts w:ascii="Calibri" w:hAnsi="Calibri" w:cs="Calibri"/>
                <w:sz w:val="22"/>
                <w:szCs w:val="24"/>
              </w:rPr>
            </w:pPr>
            <w:r w:rsidRPr="00970549">
              <w:rPr>
                <w:rFonts w:ascii="Calibri" w:hAnsi="Calibri" w:cs="Calibri"/>
                <w:sz w:val="22"/>
                <w:szCs w:val="24"/>
              </w:rPr>
              <w:t xml:space="preserve">Any </w:t>
            </w:r>
            <w:r w:rsidRPr="00AB6F94">
              <w:rPr>
                <w:rFonts w:ascii="Calibri" w:hAnsi="Calibri" w:cs="Calibri"/>
                <w:sz w:val="22"/>
                <w:szCs w:val="24"/>
              </w:rPr>
              <w:t>form of vasodilatory shock</w:t>
            </w:r>
            <w:r w:rsidRPr="00970549">
              <w:rPr>
                <w:rFonts w:ascii="Calibri" w:hAnsi="Calibri" w:cs="Calibri"/>
                <w:sz w:val="22"/>
                <w:szCs w:val="24"/>
              </w:rPr>
              <w:t xml:space="preserve"> that is not caused by sepsis</w:t>
            </w:r>
          </w:p>
          <w:p w14:paraId="498105E5"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Noradrenaline dose &lt;0.1 mcg/kg/min</w:t>
            </w:r>
            <w:r>
              <w:rPr>
                <w:rFonts w:ascii="Calibri" w:hAnsi="Calibri" w:cs="Calibri"/>
                <w:sz w:val="22"/>
                <w:szCs w:val="22"/>
              </w:rPr>
              <w:t xml:space="preserve"> </w:t>
            </w:r>
          </w:p>
          <w:p w14:paraId="75CC0279" w14:textId="77777777" w:rsidR="00766555"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&gt;</w:t>
            </w:r>
            <w:r>
              <w:rPr>
                <w:rFonts w:ascii="Calibri" w:hAnsi="Calibri" w:cs="Calibri"/>
                <w:sz w:val="22"/>
                <w:szCs w:val="22"/>
              </w:rPr>
              <w:t xml:space="preserve"> 72</w:t>
            </w:r>
            <w:r w:rsidRPr="003E51EE">
              <w:rPr>
                <w:rFonts w:ascii="Calibri" w:hAnsi="Calibri" w:cs="Calibri"/>
                <w:sz w:val="22"/>
                <w:szCs w:val="22"/>
              </w:rPr>
              <w:t xml:space="preserve"> hours after start of vasopressor therapy </w:t>
            </w:r>
          </w:p>
          <w:p w14:paraId="2E87C575" w14:textId="77777777" w:rsidR="00766555" w:rsidRPr="003E51EE" w:rsidRDefault="00766555" w:rsidP="00766555">
            <w:pPr>
              <w:numPr>
                <w:ilvl w:val="0"/>
                <w:numId w:val="9"/>
              </w:numPr>
              <w:spacing w:after="120" w:line="240" w:lineRule="auto"/>
              <w:rPr>
                <w:rFonts w:ascii="Calibri" w:hAnsi="Calibri" w:cs="Calibri"/>
                <w:sz w:val="22"/>
                <w:szCs w:val="22"/>
              </w:rPr>
            </w:pPr>
            <w:r>
              <w:rPr>
                <w:rFonts w:ascii="Calibri" w:hAnsi="Calibri" w:cs="Calibri"/>
                <w:sz w:val="22"/>
                <w:szCs w:val="22"/>
              </w:rPr>
              <w:t>&lt;12 hours since noradrenaline to treat a medical condition other than septic shock stopped</w:t>
            </w:r>
            <w:bookmarkStart w:id="4" w:name="_GoBack"/>
            <w:bookmarkEnd w:id="4"/>
          </w:p>
          <w:p w14:paraId="29AEE9C1"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Having pre-existing severe cardiac dysfunction (NYHA grade 4 or more)</w:t>
            </w:r>
          </w:p>
          <w:p w14:paraId="364A5932"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Having pre-existing severe pulmonary hypertension (mean PA pressures &gt; 55mmHg)</w:t>
            </w:r>
          </w:p>
          <w:p w14:paraId="5D4CA2F6"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Acute severe bronchospasm (due to asthma or COPD)</w:t>
            </w:r>
          </w:p>
          <w:p w14:paraId="6014A25D"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Untreated second or third degree heart block</w:t>
            </w:r>
          </w:p>
          <w:p w14:paraId="12A5B250"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Untreated</w:t>
            </w:r>
            <w:r w:rsidRPr="00385F69">
              <w:rPr>
                <w:rFonts w:ascii="Calibri" w:hAnsi="Calibri" w:cs="Calibri"/>
                <w:sz w:val="22"/>
                <w:szCs w:val="22"/>
              </w:rPr>
              <w:t xml:space="preserve"> </w:t>
            </w:r>
            <w:r w:rsidRPr="009F1CFD">
              <w:rPr>
                <w:rFonts w:ascii="Calibri" w:hAnsi="Calibri" w:cs="Calibri"/>
                <w:sz w:val="22"/>
                <w:szCs w:val="22"/>
              </w:rPr>
              <w:t>phaeochromocytoma</w:t>
            </w:r>
            <w:r w:rsidRPr="00385F69" w:rsidDel="00E32EB1">
              <w:rPr>
                <w:rFonts w:ascii="Calibri" w:hAnsi="Calibri" w:cs="Calibri"/>
                <w:sz w:val="22"/>
                <w:szCs w:val="22"/>
              </w:rPr>
              <w:t xml:space="preserve"> </w:t>
            </w:r>
          </w:p>
          <w:p w14:paraId="79B66972"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Prinzmetal's angina</w:t>
            </w:r>
          </w:p>
          <w:p w14:paraId="65F83811"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A past history of ischaemic stroke or transient ischaemic attack (TIA) or untreated severe carotid stenosis</w:t>
            </w:r>
          </w:p>
          <w:p w14:paraId="7E8BD58A"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Advanced liver disease</w:t>
            </w:r>
            <w:r>
              <w:rPr>
                <w:rFonts w:ascii="Calibri" w:hAnsi="Calibri" w:cs="Calibri"/>
                <w:sz w:val="22"/>
                <w:szCs w:val="22"/>
              </w:rPr>
              <w:t xml:space="preserve"> with Child-Pugh Score of </w:t>
            </w:r>
            <w:r w:rsidRPr="009F1CFD">
              <w:rPr>
                <w:rFonts w:ascii="Calibri" w:hAnsi="Calibri" w:cs="Calibri"/>
                <w:sz w:val="22"/>
                <w:szCs w:val="22"/>
              </w:rPr>
              <w:t>≥B</w:t>
            </w:r>
          </w:p>
          <w:p w14:paraId="558C0884"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Known sensitivity to beta-blockers</w:t>
            </w:r>
          </w:p>
          <w:p w14:paraId="782F93AE"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Patient / legal representative unwilling to provide written informed consent</w:t>
            </w:r>
          </w:p>
          <w:p w14:paraId="54417159"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 xml:space="preserve">Known to be pregnant </w:t>
            </w:r>
          </w:p>
          <w:p w14:paraId="6DA635FA" w14:textId="77777777" w:rsidR="00766555" w:rsidRPr="00385F69" w:rsidRDefault="00766555" w:rsidP="00766555">
            <w:pPr>
              <w:numPr>
                <w:ilvl w:val="0"/>
                <w:numId w:val="9"/>
              </w:numPr>
              <w:spacing w:after="120" w:line="240" w:lineRule="auto"/>
              <w:rPr>
                <w:rFonts w:ascii="Calibri" w:hAnsi="Calibri" w:cs="Calibri"/>
                <w:sz w:val="22"/>
                <w:szCs w:val="22"/>
              </w:rPr>
            </w:pPr>
            <w:r w:rsidRPr="00CA4D5C">
              <w:rPr>
                <w:rFonts w:ascii="Calibri" w:hAnsi="Calibri" w:cs="Calibri"/>
                <w:sz w:val="22"/>
                <w:szCs w:val="22"/>
              </w:rPr>
              <w:t>Terminal illness other than septic shock with a life expectancy &lt; 28 days</w:t>
            </w:r>
          </w:p>
          <w:p w14:paraId="1C719F13" w14:textId="77777777" w:rsidR="00766555" w:rsidRPr="009F1CFD" w:rsidRDefault="00766555" w:rsidP="00766555">
            <w:pPr>
              <w:numPr>
                <w:ilvl w:val="0"/>
                <w:numId w:val="9"/>
              </w:numPr>
              <w:spacing w:after="120" w:line="240" w:lineRule="auto"/>
              <w:rPr>
                <w:rFonts w:ascii="Calibri" w:hAnsi="Calibri"/>
                <w:sz w:val="22"/>
                <w:szCs w:val="22"/>
                <w:u w:val="single"/>
                <w:lang w:bidi="en-US"/>
              </w:rPr>
            </w:pPr>
            <w:r w:rsidRPr="00385F69">
              <w:rPr>
                <w:rFonts w:ascii="Calibri" w:hAnsi="Calibri" w:cs="Calibri"/>
                <w:sz w:val="22"/>
                <w:szCs w:val="22"/>
              </w:rPr>
              <w:t>Participants who have been administered an investigational medicinal product for another research trial in the past 30 days</w:t>
            </w:r>
          </w:p>
          <w:p w14:paraId="4DF05B11" w14:textId="77777777" w:rsidR="00766555" w:rsidRPr="00970549" w:rsidRDefault="00766555" w:rsidP="00766555">
            <w:pPr>
              <w:numPr>
                <w:ilvl w:val="0"/>
                <w:numId w:val="9"/>
              </w:numPr>
              <w:spacing w:after="120" w:line="240" w:lineRule="auto"/>
              <w:rPr>
                <w:rFonts w:ascii="Calibri" w:hAnsi="Calibri"/>
                <w:sz w:val="22"/>
                <w:szCs w:val="22"/>
                <w:u w:val="single"/>
                <w:lang w:bidi="en-US"/>
              </w:rPr>
            </w:pPr>
            <w:r w:rsidRPr="003E51EE">
              <w:rPr>
                <w:rFonts w:ascii="Calibri" w:hAnsi="Calibri" w:cs="Calibri"/>
                <w:sz w:val="22"/>
                <w:szCs w:val="22"/>
              </w:rPr>
              <w:t>Patients in whom the clinical team feel are about to finish their noradrenaline therapy</w:t>
            </w:r>
          </w:p>
          <w:p w14:paraId="18E279BD" w14:textId="77777777" w:rsidR="00766555" w:rsidRPr="00272E67" w:rsidRDefault="00766555" w:rsidP="00766555">
            <w:pPr>
              <w:numPr>
                <w:ilvl w:val="0"/>
                <w:numId w:val="9"/>
              </w:numPr>
              <w:spacing w:after="120" w:line="240" w:lineRule="auto"/>
              <w:rPr>
                <w:rFonts w:ascii="Calibri" w:hAnsi="Calibri"/>
                <w:sz w:val="22"/>
                <w:szCs w:val="22"/>
                <w:u w:val="single"/>
                <w:lang w:bidi="en-US"/>
              </w:rPr>
            </w:pPr>
            <w:r>
              <w:rPr>
                <w:rFonts w:ascii="Calibri" w:hAnsi="Calibri" w:cs="Calibri"/>
                <w:sz w:val="22"/>
                <w:szCs w:val="22"/>
              </w:rPr>
              <w:t>Decision of withdrawal of care is in place or imminently anticipated</w:t>
            </w:r>
          </w:p>
          <w:p w14:paraId="436503FA" w14:textId="77777777" w:rsidR="00766555" w:rsidRPr="00CA4D5C" w:rsidRDefault="00766555" w:rsidP="00766555">
            <w:pPr>
              <w:numPr>
                <w:ilvl w:val="0"/>
                <w:numId w:val="9"/>
              </w:numPr>
              <w:spacing w:after="120" w:line="240" w:lineRule="auto"/>
              <w:rPr>
                <w:rFonts w:ascii="Calibri" w:hAnsi="Calibri"/>
                <w:sz w:val="22"/>
                <w:szCs w:val="22"/>
                <w:u w:val="single"/>
                <w:lang w:bidi="en-US"/>
              </w:rPr>
            </w:pPr>
            <w:r>
              <w:rPr>
                <w:rFonts w:ascii="Calibri" w:hAnsi="Calibri" w:cs="Calibri"/>
                <w:sz w:val="22"/>
                <w:szCs w:val="22"/>
              </w:rPr>
              <w:t>Receiving extracorporeal membrane oxygenation (ECMO) treatment</w:t>
            </w:r>
          </w:p>
        </w:tc>
      </w:tr>
      <w:tr w:rsidR="00766555" w:rsidRPr="003E51EE" w14:paraId="626F24E6" w14:textId="77777777" w:rsidTr="000A4938">
        <w:trPr>
          <w:trHeight w:val="20"/>
        </w:trPr>
        <w:tc>
          <w:tcPr>
            <w:tcW w:w="2127" w:type="dxa"/>
          </w:tcPr>
          <w:p w14:paraId="30186174"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Outcome measures</w:t>
            </w:r>
          </w:p>
        </w:tc>
        <w:tc>
          <w:tcPr>
            <w:tcW w:w="6974" w:type="dxa"/>
          </w:tcPr>
          <w:p w14:paraId="325F7336" w14:textId="77777777" w:rsidR="00766555" w:rsidRPr="003E51EE" w:rsidRDefault="00766555" w:rsidP="000A4938">
            <w:pPr>
              <w:spacing w:before="120" w:after="120" w:line="240" w:lineRule="atLeast"/>
              <w:jc w:val="both"/>
              <w:rPr>
                <w:rFonts w:ascii="Calibri" w:hAnsi="Calibri"/>
                <w:b/>
                <w:sz w:val="22"/>
                <w:szCs w:val="22"/>
                <w:u w:val="single"/>
              </w:rPr>
            </w:pPr>
            <w:bookmarkStart w:id="5" w:name="_Toc374012153"/>
            <w:r w:rsidRPr="003E51EE">
              <w:rPr>
                <w:rFonts w:ascii="Calibri" w:hAnsi="Calibri"/>
                <w:b/>
                <w:sz w:val="22"/>
                <w:szCs w:val="22"/>
                <w:u w:val="single"/>
              </w:rPr>
              <w:t>Primary endpoint</w:t>
            </w:r>
            <w:bookmarkEnd w:id="5"/>
            <w:r w:rsidRPr="003E51EE">
              <w:rPr>
                <w:rFonts w:ascii="Calibri" w:hAnsi="Calibri"/>
                <w:b/>
                <w:sz w:val="22"/>
                <w:szCs w:val="22"/>
                <w:u w:val="single"/>
              </w:rPr>
              <w:t xml:space="preserve"> </w:t>
            </w:r>
          </w:p>
          <w:p w14:paraId="12D3B0D1" w14:textId="77777777" w:rsidR="00766555" w:rsidRPr="003E51EE" w:rsidRDefault="00766555" w:rsidP="000A4938">
            <w:pPr>
              <w:spacing w:line="240" w:lineRule="atLeast"/>
              <w:jc w:val="both"/>
              <w:rPr>
                <w:rFonts w:ascii="Calibri" w:eastAsia="SimSun" w:hAnsi="Calibri" w:cs="Arial"/>
                <w:iCs/>
                <w:sz w:val="22"/>
                <w:szCs w:val="22"/>
                <w:lang w:eastAsia="en-GB" w:bidi="en-US"/>
              </w:rPr>
            </w:pPr>
            <w:bookmarkStart w:id="6" w:name="_Toc374012154"/>
            <w:r w:rsidRPr="003E51EE">
              <w:rPr>
                <w:rFonts w:ascii="Calibri" w:eastAsia="SimSun" w:hAnsi="Calibri" w:cs="Arial"/>
                <w:iCs/>
                <w:sz w:val="22"/>
                <w:szCs w:val="22"/>
                <w:lang w:eastAsia="en-GB" w:bidi="en-US"/>
              </w:rPr>
              <w:t>Mean SOFA score whilst on ICU after randomisation (up to a maximum of 14 days)</w:t>
            </w:r>
          </w:p>
          <w:p w14:paraId="5E32FF5E" w14:textId="77777777" w:rsidR="00766555" w:rsidRPr="003E51EE" w:rsidRDefault="00766555" w:rsidP="000A4938">
            <w:pPr>
              <w:spacing w:after="120" w:line="240" w:lineRule="atLeast"/>
              <w:jc w:val="both"/>
              <w:rPr>
                <w:rFonts w:ascii="Calibri" w:hAnsi="Calibri"/>
                <w:b/>
                <w:sz w:val="22"/>
                <w:szCs w:val="22"/>
                <w:u w:val="single"/>
              </w:rPr>
            </w:pPr>
            <w:r w:rsidRPr="003E51EE">
              <w:rPr>
                <w:rFonts w:ascii="Calibri" w:hAnsi="Calibri"/>
                <w:b/>
                <w:sz w:val="22"/>
                <w:szCs w:val="22"/>
                <w:u w:val="single"/>
              </w:rPr>
              <w:t>Secondary endpoints</w:t>
            </w:r>
            <w:bookmarkEnd w:id="6"/>
          </w:p>
          <w:p w14:paraId="657B90E3" w14:textId="77777777" w:rsidR="00766555" w:rsidRPr="003E51EE" w:rsidRDefault="00766555" w:rsidP="000A4938">
            <w:pPr>
              <w:spacing w:after="120" w:line="240" w:lineRule="atLeast"/>
              <w:jc w:val="both"/>
              <w:rPr>
                <w:rFonts w:ascii="Calibri" w:hAnsi="Calibri"/>
                <w:b/>
                <w:sz w:val="22"/>
                <w:szCs w:val="22"/>
              </w:rPr>
            </w:pPr>
            <w:r w:rsidRPr="003E51EE">
              <w:rPr>
                <w:rFonts w:ascii="Calibri" w:hAnsi="Calibri"/>
                <w:b/>
                <w:sz w:val="22"/>
                <w:szCs w:val="22"/>
              </w:rPr>
              <w:t>Patient-centered outcomes:</w:t>
            </w:r>
          </w:p>
          <w:p w14:paraId="50724934"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28-day, hospital and 90-day survival</w:t>
            </w:r>
          </w:p>
          <w:p w14:paraId="4B6F2994" w14:textId="77777777" w:rsidR="00766555" w:rsidRPr="003E51EE" w:rsidRDefault="00766555" w:rsidP="00766555">
            <w:pPr>
              <w:numPr>
                <w:ilvl w:val="0"/>
                <w:numId w:val="9"/>
              </w:numPr>
              <w:spacing w:after="120" w:line="240" w:lineRule="auto"/>
              <w:rPr>
                <w:rFonts w:ascii="Calibri" w:hAnsi="Calibri" w:cs="Calibri"/>
                <w:sz w:val="22"/>
                <w:szCs w:val="22"/>
              </w:rPr>
            </w:pPr>
            <w:r>
              <w:rPr>
                <w:rFonts w:ascii="Calibri" w:hAnsi="Calibri" w:cs="Calibri"/>
                <w:sz w:val="22"/>
                <w:szCs w:val="22"/>
              </w:rPr>
              <w:t>D</w:t>
            </w:r>
            <w:r w:rsidRPr="003E51EE">
              <w:rPr>
                <w:rFonts w:ascii="Calibri" w:hAnsi="Calibri" w:cs="Calibri"/>
                <w:sz w:val="22"/>
                <w:szCs w:val="22"/>
              </w:rPr>
              <w:t>ose and duration of vasopressor treatment (total daily administered doses</w:t>
            </w:r>
            <w:r>
              <w:rPr>
                <w:rFonts w:ascii="Calibri" w:hAnsi="Calibri" w:cs="Calibri"/>
                <w:sz w:val="22"/>
                <w:szCs w:val="22"/>
              </w:rPr>
              <w:t>)</w:t>
            </w:r>
            <w:r w:rsidRPr="003E51EE">
              <w:rPr>
                <w:rFonts w:ascii="Calibri" w:hAnsi="Calibri" w:cs="Calibri"/>
                <w:sz w:val="22"/>
                <w:szCs w:val="22"/>
              </w:rPr>
              <w:t xml:space="preserve"> </w:t>
            </w:r>
          </w:p>
          <w:p w14:paraId="029AFCDE"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ICU and hospital length of stay</w:t>
            </w:r>
          </w:p>
          <w:p w14:paraId="0EE38BEC" w14:textId="77777777" w:rsidR="00766555" w:rsidRPr="003E51EE" w:rsidRDefault="00766555" w:rsidP="000A4938">
            <w:pPr>
              <w:spacing w:after="120" w:line="240" w:lineRule="atLeast"/>
              <w:jc w:val="both"/>
              <w:rPr>
                <w:rFonts w:ascii="Calibri" w:hAnsi="Calibri"/>
                <w:b/>
                <w:sz w:val="22"/>
                <w:szCs w:val="22"/>
                <w:lang w:bidi="en-US"/>
              </w:rPr>
            </w:pPr>
            <w:r w:rsidRPr="003E51EE">
              <w:rPr>
                <w:rFonts w:ascii="Calibri" w:hAnsi="Calibri"/>
                <w:b/>
                <w:sz w:val="22"/>
                <w:szCs w:val="22"/>
                <w:lang w:bidi="en-US"/>
              </w:rPr>
              <w:t>Exploratory mechanistic outcomes:</w:t>
            </w:r>
          </w:p>
          <w:p w14:paraId="4A7B83D9"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Myocardial Injury – Troponin-T, Beta Natriuretic Peptide, Creatine Kinase-MB, Arrhythmia</w:t>
            </w:r>
          </w:p>
          <w:p w14:paraId="7F7E05A1"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Metabolic Function – changes in plasma lactate concentration, plasma free fatty acid concentration, control of serum blood glucose, changes in insulin requirements</w:t>
            </w:r>
          </w:p>
          <w:p w14:paraId="20AADD9D" w14:textId="77777777" w:rsidR="00766555" w:rsidRPr="003E51EE" w:rsidRDefault="00766555" w:rsidP="00766555">
            <w:pPr>
              <w:numPr>
                <w:ilvl w:val="0"/>
                <w:numId w:val="9"/>
              </w:numPr>
              <w:spacing w:after="120" w:line="240" w:lineRule="auto"/>
              <w:rPr>
                <w:rFonts w:ascii="Calibri" w:hAnsi="Calibri" w:cs="Calibri"/>
                <w:sz w:val="22"/>
                <w:szCs w:val="22"/>
              </w:rPr>
            </w:pPr>
            <w:r w:rsidRPr="003E51EE">
              <w:rPr>
                <w:rFonts w:ascii="Calibri" w:hAnsi="Calibri" w:cs="Calibri"/>
                <w:sz w:val="22"/>
                <w:szCs w:val="22"/>
              </w:rPr>
              <w:t>Immune Function – Plasma concentrations of cytokines, plasma C-reactive concentration protein, neutrophil phagocytic and oxidative burst activity (selected sites)</w:t>
            </w:r>
          </w:p>
          <w:p w14:paraId="560487B5" w14:textId="77777777" w:rsidR="00766555" w:rsidRPr="003E51EE" w:rsidRDefault="00766555" w:rsidP="000A4938">
            <w:pPr>
              <w:spacing w:after="120" w:line="240" w:lineRule="atLeast"/>
              <w:jc w:val="both"/>
              <w:rPr>
                <w:rFonts w:ascii="Calibri" w:eastAsia="SimSun" w:hAnsi="Calibri"/>
                <w:b/>
                <w:sz w:val="22"/>
                <w:szCs w:val="22"/>
              </w:rPr>
            </w:pPr>
            <w:bookmarkStart w:id="7" w:name="_Toc360024825"/>
            <w:r w:rsidRPr="003E51EE">
              <w:rPr>
                <w:rFonts w:ascii="Calibri" w:eastAsia="SimSun" w:hAnsi="Calibri"/>
                <w:b/>
                <w:sz w:val="22"/>
                <w:szCs w:val="22"/>
              </w:rPr>
              <w:t>Safety</w:t>
            </w:r>
            <w:bookmarkEnd w:id="7"/>
            <w:r w:rsidRPr="003E51EE">
              <w:rPr>
                <w:rFonts w:ascii="Calibri" w:eastAsia="SimSun" w:hAnsi="Calibri"/>
                <w:b/>
                <w:sz w:val="22"/>
                <w:szCs w:val="22"/>
              </w:rPr>
              <w:t xml:space="preserve"> outcomes:</w:t>
            </w:r>
          </w:p>
          <w:p w14:paraId="06D70306" w14:textId="77777777" w:rsidR="00766555" w:rsidRPr="003E51EE" w:rsidRDefault="00766555" w:rsidP="00766555">
            <w:pPr>
              <w:numPr>
                <w:ilvl w:val="0"/>
                <w:numId w:val="9"/>
              </w:numPr>
              <w:spacing w:after="120" w:line="240" w:lineRule="auto"/>
              <w:rPr>
                <w:rFonts w:ascii="Calibri" w:eastAsia="SimSun" w:hAnsi="Calibri" w:cs="Arial Unicode MS"/>
                <w:sz w:val="22"/>
                <w:szCs w:val="22"/>
                <w:lang w:bidi="en-US"/>
              </w:rPr>
            </w:pPr>
            <w:r w:rsidRPr="003E51EE">
              <w:rPr>
                <w:rFonts w:ascii="Calibri" w:eastAsia="SimSun" w:hAnsi="Calibri" w:cs="Arial Unicode MS"/>
                <w:sz w:val="22"/>
                <w:szCs w:val="22"/>
                <w:lang w:bidi="en-US"/>
              </w:rPr>
              <w:t>Number of episodes of bradycardia (HR &lt;50 bpm)</w:t>
            </w:r>
          </w:p>
          <w:p w14:paraId="019BAF9C" w14:textId="77777777" w:rsidR="00766555" w:rsidRPr="003E51EE" w:rsidRDefault="00766555" w:rsidP="00766555">
            <w:pPr>
              <w:numPr>
                <w:ilvl w:val="0"/>
                <w:numId w:val="9"/>
              </w:numPr>
              <w:spacing w:after="120" w:line="240" w:lineRule="auto"/>
              <w:rPr>
                <w:rFonts w:ascii="Calibri" w:eastAsia="SimSun" w:hAnsi="Calibri" w:cs="Arial Unicode MS"/>
                <w:sz w:val="22"/>
                <w:szCs w:val="22"/>
                <w:lang w:bidi="en-US"/>
              </w:rPr>
            </w:pPr>
            <w:r w:rsidRPr="003E51EE">
              <w:rPr>
                <w:rFonts w:ascii="Calibri" w:eastAsia="SimSun" w:hAnsi="Calibri" w:cs="Arial Unicode MS"/>
                <w:sz w:val="22"/>
                <w:szCs w:val="22"/>
                <w:lang w:bidi="en-US"/>
              </w:rPr>
              <w:t>Bradycardia with haemodynamic compromise requiring intervention</w:t>
            </w:r>
          </w:p>
          <w:p w14:paraId="4CACB083" w14:textId="77777777" w:rsidR="00766555" w:rsidRPr="003E51EE" w:rsidRDefault="00766555" w:rsidP="00766555">
            <w:pPr>
              <w:numPr>
                <w:ilvl w:val="0"/>
                <w:numId w:val="9"/>
              </w:numPr>
              <w:spacing w:after="120" w:line="240" w:lineRule="auto"/>
              <w:rPr>
                <w:rFonts w:ascii="Calibri" w:eastAsia="SimSun" w:hAnsi="Calibri" w:cs="Arial Unicode MS"/>
                <w:sz w:val="22"/>
                <w:szCs w:val="22"/>
                <w:lang w:bidi="en-US"/>
              </w:rPr>
            </w:pPr>
            <w:r w:rsidRPr="003E51EE">
              <w:rPr>
                <w:rFonts w:ascii="Calibri" w:eastAsia="SimSun" w:hAnsi="Calibri" w:cs="Arial Unicode MS"/>
                <w:sz w:val="22"/>
                <w:szCs w:val="22"/>
                <w:lang w:bidi="en-US"/>
              </w:rPr>
              <w:t>Significant hypotension requiring intervention</w:t>
            </w:r>
          </w:p>
          <w:p w14:paraId="17FC7E51" w14:textId="77777777" w:rsidR="00766555" w:rsidRPr="003E51EE" w:rsidRDefault="00766555" w:rsidP="00766555">
            <w:pPr>
              <w:numPr>
                <w:ilvl w:val="0"/>
                <w:numId w:val="9"/>
              </w:numPr>
              <w:spacing w:after="120" w:line="240" w:lineRule="auto"/>
              <w:rPr>
                <w:rFonts w:ascii="Calibri" w:eastAsia="SimSun" w:hAnsi="Calibri" w:cs="Arial Unicode MS"/>
                <w:sz w:val="22"/>
                <w:szCs w:val="22"/>
                <w:lang w:bidi="en-US"/>
              </w:rPr>
            </w:pPr>
            <w:r w:rsidRPr="003E51EE">
              <w:rPr>
                <w:rFonts w:ascii="Calibri" w:eastAsia="SimSun" w:hAnsi="Calibri" w:cs="Arial Unicode MS"/>
                <w:sz w:val="22"/>
                <w:szCs w:val="22"/>
                <w:lang w:bidi="en-US"/>
              </w:rPr>
              <w:t>Heart block</w:t>
            </w:r>
          </w:p>
          <w:p w14:paraId="4C869782" w14:textId="77777777" w:rsidR="00766555" w:rsidRPr="003E51EE" w:rsidRDefault="00766555" w:rsidP="00766555">
            <w:pPr>
              <w:numPr>
                <w:ilvl w:val="0"/>
                <w:numId w:val="9"/>
              </w:numPr>
              <w:spacing w:after="120" w:line="240" w:lineRule="auto"/>
              <w:rPr>
                <w:rFonts w:ascii="Calibri" w:eastAsia="SimSun" w:hAnsi="Calibri" w:cs="Arial Unicode MS"/>
                <w:sz w:val="22"/>
                <w:szCs w:val="22"/>
                <w:lang w:bidi="en-US"/>
              </w:rPr>
            </w:pPr>
            <w:r w:rsidRPr="003E51EE">
              <w:rPr>
                <w:rFonts w:ascii="Calibri" w:eastAsia="SimSun" w:hAnsi="Calibri" w:cs="Arial Unicode MS"/>
                <w:sz w:val="22"/>
                <w:szCs w:val="22"/>
                <w:lang w:bidi="en-US"/>
              </w:rPr>
              <w:t>Arrhythmia with haemodynamic compromise requiring intervention.</w:t>
            </w:r>
          </w:p>
        </w:tc>
      </w:tr>
      <w:tr w:rsidR="00766555" w:rsidRPr="003E51EE" w14:paraId="0074099A" w14:textId="77777777" w:rsidTr="000A4938">
        <w:trPr>
          <w:trHeight w:val="20"/>
        </w:trPr>
        <w:tc>
          <w:tcPr>
            <w:tcW w:w="2127" w:type="dxa"/>
          </w:tcPr>
          <w:p w14:paraId="5CE7811E" w14:textId="77777777" w:rsidR="00766555" w:rsidRPr="003E51EE" w:rsidRDefault="00766555" w:rsidP="000A4938">
            <w:pPr>
              <w:spacing w:before="120" w:line="240" w:lineRule="atLeast"/>
              <w:jc w:val="both"/>
              <w:rPr>
                <w:rFonts w:ascii="Calibri" w:eastAsia="SimSun" w:hAnsi="Calibri"/>
                <w:sz w:val="22"/>
              </w:rPr>
            </w:pPr>
            <w:r w:rsidRPr="003E51EE">
              <w:rPr>
                <w:rFonts w:ascii="Calibri" w:eastAsia="SimSun" w:hAnsi="Calibri"/>
                <w:sz w:val="22"/>
              </w:rPr>
              <w:t>Randomisation and blinding</w:t>
            </w:r>
          </w:p>
        </w:tc>
        <w:tc>
          <w:tcPr>
            <w:tcW w:w="6974" w:type="dxa"/>
          </w:tcPr>
          <w:p w14:paraId="38513583" w14:textId="77777777" w:rsidR="00766555" w:rsidRPr="003E51EE" w:rsidRDefault="00766555" w:rsidP="000A4938">
            <w:pPr>
              <w:spacing w:before="120" w:line="240" w:lineRule="atLeast"/>
              <w:jc w:val="both"/>
              <w:rPr>
                <w:rFonts w:ascii="Calibri" w:eastAsia="SimSun" w:hAnsi="Calibri" w:cs="Arial"/>
                <w:sz w:val="22"/>
                <w:szCs w:val="22"/>
                <w:lang w:bidi="en-US"/>
              </w:rPr>
            </w:pPr>
            <w:r w:rsidRPr="003E51EE">
              <w:rPr>
                <w:rFonts w:ascii="Calibri" w:eastAsia="SimSun" w:hAnsi="Calibri" w:cs="Arial"/>
                <w:sz w:val="22"/>
                <w:szCs w:val="22"/>
                <w:lang w:bidi="en-US"/>
              </w:rPr>
              <w:t xml:space="preserve">Participants will be randomised strictly sequentially as participants are eligible for randomisation using a 1:1 ratio. Randomisation </w:t>
            </w:r>
            <w:proofErr w:type="gramStart"/>
            <w:r w:rsidRPr="003E51EE">
              <w:rPr>
                <w:rFonts w:ascii="Calibri" w:eastAsia="SimSun" w:hAnsi="Calibri" w:cs="Arial"/>
                <w:sz w:val="22"/>
                <w:szCs w:val="22"/>
                <w:lang w:bidi="en-US"/>
              </w:rPr>
              <w:t>will be stratified</w:t>
            </w:r>
            <w:proofErr w:type="gramEnd"/>
            <w:r w:rsidRPr="003E51EE">
              <w:rPr>
                <w:rFonts w:ascii="Calibri" w:eastAsia="SimSun" w:hAnsi="Calibri" w:cs="Arial"/>
                <w:sz w:val="22"/>
                <w:szCs w:val="22"/>
                <w:lang w:bidi="en-US"/>
              </w:rPr>
              <w:t xml:space="preserve"> by recruiting site and noradrenaline dose. A web-based system </w:t>
            </w:r>
            <w:proofErr w:type="gramStart"/>
            <w:r w:rsidRPr="003E51EE">
              <w:rPr>
                <w:rFonts w:ascii="Calibri" w:eastAsia="SimSun" w:hAnsi="Calibri" w:cs="Arial"/>
                <w:sz w:val="22"/>
                <w:szCs w:val="22"/>
                <w:lang w:bidi="en-US"/>
              </w:rPr>
              <w:t>will be used</w:t>
            </w:r>
            <w:proofErr w:type="gramEnd"/>
            <w:r w:rsidRPr="003E51EE">
              <w:rPr>
                <w:rFonts w:ascii="Calibri" w:eastAsia="SimSun" w:hAnsi="Calibri" w:cs="Arial"/>
                <w:sz w:val="22"/>
                <w:szCs w:val="22"/>
                <w:lang w:bidi="en-US"/>
              </w:rPr>
              <w:t>.</w:t>
            </w:r>
          </w:p>
          <w:p w14:paraId="1E7EC5B9" w14:textId="77777777" w:rsidR="00766555" w:rsidRPr="003E51EE" w:rsidRDefault="00766555" w:rsidP="000A4938">
            <w:pPr>
              <w:spacing w:before="120" w:line="240" w:lineRule="atLeast"/>
              <w:jc w:val="both"/>
              <w:rPr>
                <w:rFonts w:ascii="Calibri" w:eastAsia="SimSun" w:hAnsi="Calibri"/>
                <w:sz w:val="22"/>
                <w:szCs w:val="22"/>
              </w:rPr>
            </w:pPr>
            <w:r w:rsidRPr="003E51EE">
              <w:rPr>
                <w:rFonts w:ascii="Calibri" w:eastAsia="SimSun" w:hAnsi="Calibri"/>
                <w:sz w:val="22"/>
                <w:szCs w:val="22"/>
              </w:rPr>
              <w:t>It is not possible for this trial to be blinded as the dose of landiolol must be titrated to achieve a target HR.</w:t>
            </w:r>
          </w:p>
        </w:tc>
      </w:tr>
    </w:tbl>
    <w:p w14:paraId="0942A47D" w14:textId="77777777" w:rsidR="006307AA" w:rsidRPr="00543513" w:rsidRDefault="006307AA" w:rsidP="000142A2">
      <w:pPr>
        <w:rPr>
          <w:rFonts w:asciiTheme="minorHAnsi" w:hAnsiTheme="minorHAnsi"/>
        </w:rPr>
      </w:pPr>
    </w:p>
    <w:sectPr w:rsidR="006307AA" w:rsidRPr="00543513">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42A48A" w14:textId="77777777" w:rsidR="00D41AF1" w:rsidRDefault="00D41AF1" w:rsidP="00D41AF1">
      <w:pPr>
        <w:spacing w:after="0" w:line="240" w:lineRule="auto"/>
      </w:pPr>
      <w:r>
        <w:separator/>
      </w:r>
    </w:p>
  </w:endnote>
  <w:endnote w:type="continuationSeparator" w:id="0">
    <w:p w14:paraId="0942A48B" w14:textId="77777777" w:rsidR="00D41AF1" w:rsidRDefault="00D41AF1" w:rsidP="00D41A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2A48C" w14:textId="3A6C42AC" w:rsidR="00D41AF1" w:rsidRPr="00D41AF1" w:rsidRDefault="00F96DA8" w:rsidP="00D41AF1">
    <w:pPr>
      <w:pStyle w:val="Footer"/>
      <w:jc w:val="right"/>
      <w:rPr>
        <w:sz w:val="16"/>
        <w:szCs w:val="16"/>
      </w:rPr>
    </w:pPr>
    <w:r>
      <w:rPr>
        <w:sz w:val="16"/>
        <w:szCs w:val="16"/>
      </w:rPr>
      <w:t>STRESS-L</w:t>
    </w:r>
    <w:r w:rsidR="00D41AF1" w:rsidRPr="00D41AF1">
      <w:rPr>
        <w:sz w:val="16"/>
        <w:szCs w:val="16"/>
      </w:rPr>
      <w:t xml:space="preserve"> Trial Summary </w:t>
    </w:r>
    <w:r w:rsidR="00766555">
      <w:rPr>
        <w:sz w:val="16"/>
        <w:szCs w:val="16"/>
      </w:rPr>
      <w:t>v3.0 20 August 2020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42A488" w14:textId="77777777" w:rsidR="00D41AF1" w:rsidRDefault="00D41AF1" w:rsidP="00D41AF1">
      <w:pPr>
        <w:spacing w:after="0" w:line="240" w:lineRule="auto"/>
      </w:pPr>
      <w:r>
        <w:separator/>
      </w:r>
    </w:p>
  </w:footnote>
  <w:footnote w:type="continuationSeparator" w:id="0">
    <w:p w14:paraId="0942A489" w14:textId="77777777" w:rsidR="00D41AF1" w:rsidRDefault="00D41AF1" w:rsidP="00D41A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D5308F"/>
    <w:multiLevelType w:val="hybridMultilevel"/>
    <w:tmpl w:val="385C9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72DA0"/>
    <w:multiLevelType w:val="hybridMultilevel"/>
    <w:tmpl w:val="FCB8C5F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34B36AD7"/>
    <w:multiLevelType w:val="singleLevel"/>
    <w:tmpl w:val="8C62026E"/>
    <w:lvl w:ilvl="0">
      <w:start w:val="1"/>
      <w:numFmt w:val="decimal"/>
      <w:lvlText w:val="%1."/>
      <w:legacy w:legacy="1" w:legacySpace="0" w:legacyIndent="283"/>
      <w:lvlJc w:val="left"/>
      <w:pPr>
        <w:ind w:left="283" w:hanging="283"/>
      </w:pPr>
    </w:lvl>
  </w:abstractNum>
  <w:abstractNum w:abstractNumId="3" w15:restartNumberingAfterBreak="0">
    <w:nsid w:val="39581EEF"/>
    <w:multiLevelType w:val="hybridMultilevel"/>
    <w:tmpl w:val="C9FAF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AF677F0"/>
    <w:multiLevelType w:val="multilevel"/>
    <w:tmpl w:val="A5AA1A1C"/>
    <w:lvl w:ilvl="0">
      <w:start w:val="1"/>
      <w:numFmt w:val="bullet"/>
      <w:lvlText w:val=""/>
      <w:lvlJc w:val="left"/>
      <w:pPr>
        <w:ind w:left="360" w:hanging="360"/>
      </w:pPr>
      <w:rPr>
        <w:rFonts w:ascii="Symbol" w:hAnsi="Symbol" w:hint="default"/>
      </w:rPr>
    </w:lvl>
    <w:lvl w:ilvl="1">
      <w:start w:val="5"/>
      <w:numFmt w:val="decimal"/>
      <w:isLgl/>
      <w:lvlText w:val="%1.%2"/>
      <w:lvlJc w:val="left"/>
      <w:pPr>
        <w:ind w:left="36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5A5B2B38"/>
    <w:multiLevelType w:val="multilevel"/>
    <w:tmpl w:val="A5AA1A1C"/>
    <w:lvl w:ilvl="0">
      <w:start w:val="1"/>
      <w:numFmt w:val="bullet"/>
      <w:lvlText w:val=""/>
      <w:lvlJc w:val="left"/>
      <w:pPr>
        <w:ind w:left="360" w:hanging="360"/>
      </w:pPr>
      <w:rPr>
        <w:rFonts w:ascii="Symbol" w:hAnsi="Symbol" w:hint="default"/>
      </w:rPr>
    </w:lvl>
    <w:lvl w:ilvl="1">
      <w:start w:val="5"/>
      <w:numFmt w:val="decimal"/>
      <w:isLgl/>
      <w:lvlText w:val="%1.%2"/>
      <w:lvlJc w:val="left"/>
      <w:pPr>
        <w:ind w:left="36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 w15:restartNumberingAfterBreak="0">
    <w:nsid w:val="5F09210A"/>
    <w:multiLevelType w:val="multilevel"/>
    <w:tmpl w:val="A5AA1A1C"/>
    <w:lvl w:ilvl="0">
      <w:start w:val="1"/>
      <w:numFmt w:val="bullet"/>
      <w:lvlText w:val=""/>
      <w:lvlJc w:val="left"/>
      <w:pPr>
        <w:ind w:left="360" w:hanging="360"/>
      </w:pPr>
      <w:rPr>
        <w:rFonts w:ascii="Symbol" w:hAnsi="Symbol" w:hint="default"/>
      </w:rPr>
    </w:lvl>
    <w:lvl w:ilvl="1">
      <w:start w:val="5"/>
      <w:numFmt w:val="decimal"/>
      <w:isLgl/>
      <w:lvlText w:val="%1.%2"/>
      <w:lvlJc w:val="left"/>
      <w:pPr>
        <w:ind w:left="36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 w15:restartNumberingAfterBreak="0">
    <w:nsid w:val="65DB4FDB"/>
    <w:multiLevelType w:val="multilevel"/>
    <w:tmpl w:val="A5AA1A1C"/>
    <w:lvl w:ilvl="0">
      <w:start w:val="1"/>
      <w:numFmt w:val="bullet"/>
      <w:lvlText w:val=""/>
      <w:lvlJc w:val="left"/>
      <w:pPr>
        <w:ind w:left="360" w:hanging="360"/>
      </w:pPr>
      <w:rPr>
        <w:rFonts w:ascii="Symbol" w:hAnsi="Symbol" w:hint="default"/>
      </w:rPr>
    </w:lvl>
    <w:lvl w:ilvl="1">
      <w:start w:val="5"/>
      <w:numFmt w:val="decimal"/>
      <w:isLgl/>
      <w:lvlText w:val="%1.%2"/>
      <w:lvlJc w:val="left"/>
      <w:pPr>
        <w:ind w:left="36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 w15:restartNumberingAfterBreak="0">
    <w:nsid w:val="68B25275"/>
    <w:multiLevelType w:val="hybridMultilevel"/>
    <w:tmpl w:val="1B6C7C12"/>
    <w:lvl w:ilvl="0" w:tplc="08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1F341F6"/>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7D8E0022"/>
    <w:multiLevelType w:val="multilevel"/>
    <w:tmpl w:val="A5AA1A1C"/>
    <w:lvl w:ilvl="0">
      <w:start w:val="1"/>
      <w:numFmt w:val="bullet"/>
      <w:lvlText w:val=""/>
      <w:lvlJc w:val="left"/>
      <w:pPr>
        <w:ind w:left="360" w:hanging="360"/>
      </w:pPr>
      <w:rPr>
        <w:rFonts w:ascii="Symbol" w:hAnsi="Symbol" w:hint="default"/>
      </w:rPr>
    </w:lvl>
    <w:lvl w:ilvl="1">
      <w:start w:val="5"/>
      <w:numFmt w:val="decimal"/>
      <w:isLgl/>
      <w:lvlText w:val="%1.%2"/>
      <w:lvlJc w:val="left"/>
      <w:pPr>
        <w:ind w:left="36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num w:numId="1">
    <w:abstractNumId w:val="2"/>
  </w:num>
  <w:num w:numId="2">
    <w:abstractNumId w:val="9"/>
  </w:num>
  <w:num w:numId="3">
    <w:abstractNumId w:val="1"/>
  </w:num>
  <w:num w:numId="4">
    <w:abstractNumId w:val="5"/>
  </w:num>
  <w:num w:numId="5">
    <w:abstractNumId w:val="6"/>
  </w:num>
  <w:num w:numId="6">
    <w:abstractNumId w:val="10"/>
  </w:num>
  <w:num w:numId="7">
    <w:abstractNumId w:val="4"/>
  </w:num>
  <w:num w:numId="8">
    <w:abstractNumId w:val="7"/>
  </w:num>
  <w:num w:numId="9">
    <w:abstractNumId w:val="8"/>
  </w:num>
  <w:num w:numId="10">
    <w:abstractNumId w:val="3"/>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73BF"/>
    <w:rsid w:val="000142A2"/>
    <w:rsid w:val="0008716D"/>
    <w:rsid w:val="000A53B0"/>
    <w:rsid w:val="000D2319"/>
    <w:rsid w:val="00194380"/>
    <w:rsid w:val="00232931"/>
    <w:rsid w:val="002D5D56"/>
    <w:rsid w:val="00384FA7"/>
    <w:rsid w:val="003D637D"/>
    <w:rsid w:val="00417321"/>
    <w:rsid w:val="004173BF"/>
    <w:rsid w:val="00543513"/>
    <w:rsid w:val="005A19AE"/>
    <w:rsid w:val="005D2C33"/>
    <w:rsid w:val="006307AA"/>
    <w:rsid w:val="0063546C"/>
    <w:rsid w:val="00682504"/>
    <w:rsid w:val="007320E2"/>
    <w:rsid w:val="00763F28"/>
    <w:rsid w:val="00766555"/>
    <w:rsid w:val="00773722"/>
    <w:rsid w:val="007A2A6E"/>
    <w:rsid w:val="007F1B13"/>
    <w:rsid w:val="00803A13"/>
    <w:rsid w:val="0085592C"/>
    <w:rsid w:val="00857F7F"/>
    <w:rsid w:val="008B2BD2"/>
    <w:rsid w:val="00996B5F"/>
    <w:rsid w:val="00A10373"/>
    <w:rsid w:val="00A464DD"/>
    <w:rsid w:val="00A60F91"/>
    <w:rsid w:val="00AD4A72"/>
    <w:rsid w:val="00B275A3"/>
    <w:rsid w:val="00B34E57"/>
    <w:rsid w:val="00B51E62"/>
    <w:rsid w:val="00B7113C"/>
    <w:rsid w:val="00B866D5"/>
    <w:rsid w:val="00C03364"/>
    <w:rsid w:val="00CE1FCF"/>
    <w:rsid w:val="00D41AF1"/>
    <w:rsid w:val="00D852B6"/>
    <w:rsid w:val="00D95E38"/>
    <w:rsid w:val="00E127A8"/>
    <w:rsid w:val="00E500D5"/>
    <w:rsid w:val="00E64E32"/>
    <w:rsid w:val="00EC20C9"/>
    <w:rsid w:val="00EE1FD7"/>
    <w:rsid w:val="00F04B16"/>
    <w:rsid w:val="00F96DA8"/>
    <w:rsid w:val="00FD4C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42A3F4"/>
  <w15:docId w15:val="{A01BDCC3-C036-4EE0-AC0A-2FA26591A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75A3"/>
    <w:pPr>
      <w:spacing w:after="240" w:line="280" w:lineRule="atLeast"/>
    </w:pPr>
    <w:rPr>
      <w:rFonts w:ascii="Times New Roman" w:eastAsia="Times New Roman" w:hAnsi="Times New Roman" w:cs="Times New Roman"/>
      <w:sz w:val="24"/>
      <w:szCs w:val="20"/>
    </w:rPr>
  </w:style>
  <w:style w:type="paragraph" w:styleId="Heading1">
    <w:name w:val="heading 1"/>
    <w:next w:val="Normal"/>
    <w:link w:val="Heading1Char"/>
    <w:qFormat/>
    <w:rsid w:val="00A60F91"/>
    <w:pPr>
      <w:keepNext/>
      <w:numPr>
        <w:numId w:val="2"/>
      </w:numPr>
      <w:spacing w:before="480" w:after="240" w:line="240" w:lineRule="auto"/>
      <w:outlineLvl w:val="0"/>
    </w:pPr>
    <w:rPr>
      <w:rFonts w:ascii="Times New Roman" w:eastAsia="Times New Roman" w:hAnsi="Times New Roman" w:cs="Times New Roman"/>
      <w:b/>
      <w:caps/>
      <w:sz w:val="28"/>
      <w:szCs w:val="20"/>
    </w:rPr>
  </w:style>
  <w:style w:type="paragraph" w:styleId="Heading2">
    <w:name w:val="heading 2"/>
    <w:next w:val="Normal"/>
    <w:link w:val="Heading2Char"/>
    <w:qFormat/>
    <w:rsid w:val="00A60F91"/>
    <w:pPr>
      <w:keepNext/>
      <w:numPr>
        <w:ilvl w:val="1"/>
        <w:numId w:val="2"/>
      </w:numPr>
      <w:spacing w:before="120" w:after="120" w:line="240" w:lineRule="auto"/>
      <w:outlineLvl w:val="1"/>
    </w:pPr>
    <w:rPr>
      <w:rFonts w:ascii="Times New Roman" w:eastAsia="Times New Roman" w:hAnsi="Times New Roman" w:cs="Times New Roman"/>
      <w:b/>
      <w:sz w:val="28"/>
      <w:szCs w:val="20"/>
    </w:rPr>
  </w:style>
  <w:style w:type="paragraph" w:styleId="Heading3">
    <w:name w:val="heading 3"/>
    <w:next w:val="Normal"/>
    <w:link w:val="Heading3Char"/>
    <w:qFormat/>
    <w:rsid w:val="00A60F91"/>
    <w:pPr>
      <w:keepNext/>
      <w:numPr>
        <w:ilvl w:val="2"/>
        <w:numId w:val="2"/>
      </w:numPr>
      <w:spacing w:after="120" w:line="240" w:lineRule="auto"/>
      <w:outlineLvl w:val="2"/>
    </w:pPr>
    <w:rPr>
      <w:rFonts w:ascii="Times New Roman" w:eastAsia="Times New Roman" w:hAnsi="Times New Roman" w:cs="Times New Roman"/>
      <w:b/>
      <w:sz w:val="24"/>
      <w:szCs w:val="20"/>
    </w:rPr>
  </w:style>
  <w:style w:type="paragraph" w:styleId="Heading4">
    <w:name w:val="heading 4"/>
    <w:next w:val="Normal"/>
    <w:link w:val="Heading4Char"/>
    <w:qFormat/>
    <w:rsid w:val="00A60F91"/>
    <w:pPr>
      <w:keepNext/>
      <w:numPr>
        <w:ilvl w:val="3"/>
        <w:numId w:val="2"/>
      </w:numPr>
      <w:spacing w:after="120" w:line="240" w:lineRule="auto"/>
      <w:outlineLvl w:val="3"/>
    </w:pPr>
    <w:rPr>
      <w:rFonts w:ascii="Times New Roman" w:eastAsia="Times New Roman" w:hAnsi="Times New Roman" w:cs="Times New Roman"/>
      <w:b/>
      <w:sz w:val="24"/>
      <w:szCs w:val="20"/>
    </w:rPr>
  </w:style>
  <w:style w:type="paragraph" w:styleId="Heading5">
    <w:name w:val="heading 5"/>
    <w:next w:val="Normal"/>
    <w:link w:val="Heading5Char"/>
    <w:qFormat/>
    <w:rsid w:val="00A60F91"/>
    <w:pPr>
      <w:keepNext/>
      <w:numPr>
        <w:ilvl w:val="4"/>
        <w:numId w:val="2"/>
      </w:numPr>
      <w:spacing w:after="120" w:line="240" w:lineRule="auto"/>
      <w:outlineLvl w:val="4"/>
    </w:pPr>
    <w:rPr>
      <w:rFonts w:ascii="Times New Roman" w:eastAsia="Times New Roman" w:hAnsi="Times New Roman" w:cs="Times New Roman"/>
      <w:b/>
      <w:sz w:val="24"/>
      <w:szCs w:val="20"/>
    </w:rPr>
  </w:style>
  <w:style w:type="paragraph" w:styleId="Heading6">
    <w:name w:val="heading 6"/>
    <w:next w:val="Normal"/>
    <w:link w:val="Heading6Char"/>
    <w:qFormat/>
    <w:rsid w:val="00A60F91"/>
    <w:pPr>
      <w:keepNext/>
      <w:numPr>
        <w:ilvl w:val="5"/>
        <w:numId w:val="2"/>
      </w:numPr>
      <w:spacing w:after="120" w:line="240" w:lineRule="auto"/>
      <w:outlineLvl w:val="5"/>
    </w:pPr>
    <w:rPr>
      <w:rFonts w:ascii="Times New Roman" w:eastAsia="Times New Roman" w:hAnsi="Times New Roman" w:cs="Times New Roman"/>
      <w:b/>
      <w:sz w:val="24"/>
      <w:szCs w:val="20"/>
    </w:rPr>
  </w:style>
  <w:style w:type="paragraph" w:styleId="Heading7">
    <w:name w:val="heading 7"/>
    <w:next w:val="Normal"/>
    <w:link w:val="Heading7Char"/>
    <w:qFormat/>
    <w:rsid w:val="00A60F91"/>
    <w:pPr>
      <w:keepNext/>
      <w:numPr>
        <w:ilvl w:val="6"/>
        <w:numId w:val="2"/>
      </w:numPr>
      <w:spacing w:after="120" w:line="240" w:lineRule="auto"/>
      <w:outlineLvl w:val="6"/>
    </w:pPr>
    <w:rPr>
      <w:rFonts w:ascii="Times New Roman" w:eastAsia="Times New Roman" w:hAnsi="Times New Roman" w:cs="Times New Roman"/>
      <w:b/>
      <w:sz w:val="24"/>
      <w:szCs w:val="20"/>
    </w:rPr>
  </w:style>
  <w:style w:type="paragraph" w:styleId="Heading8">
    <w:name w:val="heading 8"/>
    <w:next w:val="Normal"/>
    <w:link w:val="Heading8Char"/>
    <w:qFormat/>
    <w:rsid w:val="00A60F91"/>
    <w:pPr>
      <w:keepNext/>
      <w:numPr>
        <w:ilvl w:val="7"/>
        <w:numId w:val="2"/>
      </w:numPr>
      <w:spacing w:after="120" w:line="240" w:lineRule="auto"/>
      <w:outlineLvl w:val="7"/>
    </w:pPr>
    <w:rPr>
      <w:rFonts w:ascii="Times New Roman" w:eastAsia="Times New Roman" w:hAnsi="Times New Roman" w:cs="Times New Roman"/>
      <w:b/>
      <w:sz w:val="24"/>
      <w:szCs w:val="20"/>
    </w:rPr>
  </w:style>
  <w:style w:type="paragraph" w:styleId="Heading9">
    <w:name w:val="heading 9"/>
    <w:next w:val="Normal"/>
    <w:link w:val="Heading9Char"/>
    <w:qFormat/>
    <w:rsid w:val="00A60F91"/>
    <w:pPr>
      <w:keepNext/>
      <w:numPr>
        <w:ilvl w:val="8"/>
        <w:numId w:val="2"/>
      </w:numPr>
      <w:spacing w:after="0" w:line="240" w:lineRule="auto"/>
      <w:outlineLvl w:val="8"/>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173B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173BF"/>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4173BF"/>
    <w:rPr>
      <w:rFonts w:ascii="Tahoma" w:hAnsi="Tahoma" w:cs="Tahoma"/>
      <w:sz w:val="16"/>
      <w:szCs w:val="16"/>
    </w:rPr>
  </w:style>
  <w:style w:type="character" w:customStyle="1" w:styleId="Heading1Char">
    <w:name w:val="Heading 1 Char"/>
    <w:basedOn w:val="DefaultParagraphFont"/>
    <w:link w:val="Heading1"/>
    <w:rsid w:val="00A60F91"/>
    <w:rPr>
      <w:rFonts w:ascii="Times New Roman" w:eastAsia="Times New Roman" w:hAnsi="Times New Roman" w:cs="Times New Roman"/>
      <w:b/>
      <w:caps/>
      <w:sz w:val="28"/>
      <w:szCs w:val="20"/>
    </w:rPr>
  </w:style>
  <w:style w:type="character" w:customStyle="1" w:styleId="Heading2Char">
    <w:name w:val="Heading 2 Char"/>
    <w:basedOn w:val="DefaultParagraphFont"/>
    <w:link w:val="Heading2"/>
    <w:rsid w:val="00A60F91"/>
    <w:rPr>
      <w:rFonts w:ascii="Times New Roman" w:eastAsia="Times New Roman" w:hAnsi="Times New Roman" w:cs="Times New Roman"/>
      <w:b/>
      <w:sz w:val="28"/>
      <w:szCs w:val="20"/>
    </w:rPr>
  </w:style>
  <w:style w:type="character" w:customStyle="1" w:styleId="Heading3Char">
    <w:name w:val="Heading 3 Char"/>
    <w:basedOn w:val="DefaultParagraphFont"/>
    <w:link w:val="Heading3"/>
    <w:rsid w:val="00A60F91"/>
    <w:rPr>
      <w:rFonts w:ascii="Times New Roman" w:eastAsia="Times New Roman" w:hAnsi="Times New Roman" w:cs="Times New Roman"/>
      <w:b/>
      <w:sz w:val="24"/>
      <w:szCs w:val="20"/>
    </w:rPr>
  </w:style>
  <w:style w:type="character" w:customStyle="1" w:styleId="Heading4Char">
    <w:name w:val="Heading 4 Char"/>
    <w:basedOn w:val="DefaultParagraphFont"/>
    <w:link w:val="Heading4"/>
    <w:rsid w:val="00A60F91"/>
    <w:rPr>
      <w:rFonts w:ascii="Times New Roman" w:eastAsia="Times New Roman" w:hAnsi="Times New Roman" w:cs="Times New Roman"/>
      <w:b/>
      <w:sz w:val="24"/>
      <w:szCs w:val="20"/>
    </w:rPr>
  </w:style>
  <w:style w:type="character" w:customStyle="1" w:styleId="Heading5Char">
    <w:name w:val="Heading 5 Char"/>
    <w:basedOn w:val="DefaultParagraphFont"/>
    <w:link w:val="Heading5"/>
    <w:rsid w:val="00A60F91"/>
    <w:rPr>
      <w:rFonts w:ascii="Times New Roman" w:eastAsia="Times New Roman" w:hAnsi="Times New Roman" w:cs="Times New Roman"/>
      <w:b/>
      <w:sz w:val="24"/>
      <w:szCs w:val="20"/>
    </w:rPr>
  </w:style>
  <w:style w:type="character" w:customStyle="1" w:styleId="Heading6Char">
    <w:name w:val="Heading 6 Char"/>
    <w:basedOn w:val="DefaultParagraphFont"/>
    <w:link w:val="Heading6"/>
    <w:rsid w:val="00A60F91"/>
    <w:rPr>
      <w:rFonts w:ascii="Times New Roman" w:eastAsia="Times New Roman" w:hAnsi="Times New Roman" w:cs="Times New Roman"/>
      <w:b/>
      <w:sz w:val="24"/>
      <w:szCs w:val="20"/>
    </w:rPr>
  </w:style>
  <w:style w:type="character" w:customStyle="1" w:styleId="Heading7Char">
    <w:name w:val="Heading 7 Char"/>
    <w:basedOn w:val="DefaultParagraphFont"/>
    <w:link w:val="Heading7"/>
    <w:rsid w:val="00A60F91"/>
    <w:rPr>
      <w:rFonts w:ascii="Times New Roman" w:eastAsia="Times New Roman" w:hAnsi="Times New Roman" w:cs="Times New Roman"/>
      <w:b/>
      <w:sz w:val="24"/>
      <w:szCs w:val="20"/>
    </w:rPr>
  </w:style>
  <w:style w:type="character" w:customStyle="1" w:styleId="Heading8Char">
    <w:name w:val="Heading 8 Char"/>
    <w:basedOn w:val="DefaultParagraphFont"/>
    <w:link w:val="Heading8"/>
    <w:rsid w:val="00A60F91"/>
    <w:rPr>
      <w:rFonts w:ascii="Times New Roman" w:eastAsia="Times New Roman" w:hAnsi="Times New Roman" w:cs="Times New Roman"/>
      <w:b/>
      <w:sz w:val="24"/>
      <w:szCs w:val="20"/>
    </w:rPr>
  </w:style>
  <w:style w:type="character" w:customStyle="1" w:styleId="Heading9Char">
    <w:name w:val="Heading 9 Char"/>
    <w:basedOn w:val="DefaultParagraphFont"/>
    <w:link w:val="Heading9"/>
    <w:rsid w:val="00A60F91"/>
    <w:rPr>
      <w:rFonts w:ascii="Times New Roman" w:eastAsia="Times New Roman" w:hAnsi="Times New Roman" w:cs="Times New Roman"/>
      <w:b/>
      <w:sz w:val="24"/>
      <w:szCs w:val="20"/>
    </w:rPr>
  </w:style>
  <w:style w:type="paragraph" w:customStyle="1" w:styleId="A-ListNumber">
    <w:name w:val="A-List Number"/>
    <w:rsid w:val="00A60F91"/>
    <w:pPr>
      <w:tabs>
        <w:tab w:val="left" w:pos="994"/>
      </w:tabs>
      <w:spacing w:after="240" w:line="280" w:lineRule="atLeast"/>
      <w:ind w:left="994" w:hanging="994"/>
    </w:pPr>
    <w:rPr>
      <w:rFonts w:ascii="Times New Roman" w:eastAsia="Times New Roman" w:hAnsi="Times New Roman" w:cs="Times New Roman"/>
      <w:sz w:val="24"/>
      <w:szCs w:val="20"/>
    </w:rPr>
  </w:style>
  <w:style w:type="character" w:customStyle="1" w:styleId="spn-right-block1">
    <w:name w:val="spn-right-block1"/>
    <w:rsid w:val="00B275A3"/>
    <w:rPr>
      <w:vanish w:val="0"/>
      <w:webHidden w:val="0"/>
      <w:specVanish w:val="0"/>
    </w:rPr>
  </w:style>
  <w:style w:type="character" w:styleId="Hyperlink">
    <w:name w:val="Hyperlink"/>
    <w:basedOn w:val="DefaultParagraphFont"/>
    <w:uiPriority w:val="99"/>
    <w:unhideWhenUsed/>
    <w:rsid w:val="00E500D5"/>
    <w:rPr>
      <w:color w:val="0000FF" w:themeColor="hyperlink"/>
      <w:u w:val="single"/>
    </w:rPr>
  </w:style>
  <w:style w:type="paragraph" w:styleId="ListParagraph">
    <w:name w:val="List Paragraph"/>
    <w:basedOn w:val="Normal"/>
    <w:uiPriority w:val="34"/>
    <w:qFormat/>
    <w:rsid w:val="00B34E57"/>
    <w:pPr>
      <w:ind w:left="720"/>
      <w:contextualSpacing/>
    </w:pPr>
  </w:style>
  <w:style w:type="paragraph" w:customStyle="1" w:styleId="A-TableText">
    <w:name w:val="A-Table Text"/>
    <w:rsid w:val="00B7113C"/>
    <w:pPr>
      <w:spacing w:before="60" w:after="60" w:line="240" w:lineRule="auto"/>
    </w:pPr>
    <w:rPr>
      <w:rFonts w:ascii="Times New Roman" w:eastAsia="Times New Roman" w:hAnsi="Times New Roman" w:cs="Times New Roman"/>
      <w:szCs w:val="20"/>
    </w:rPr>
  </w:style>
  <w:style w:type="paragraph" w:customStyle="1" w:styleId="A-TableHeader">
    <w:name w:val="A-Table Header"/>
    <w:next w:val="A-TableText"/>
    <w:rsid w:val="00B7113C"/>
    <w:pPr>
      <w:keepNext/>
      <w:spacing w:before="60" w:after="60" w:line="240" w:lineRule="auto"/>
    </w:pPr>
    <w:rPr>
      <w:rFonts w:ascii="Times New Roman" w:eastAsia="Times New Roman" w:hAnsi="Times New Roman" w:cs="Times New Roman"/>
      <w:b/>
      <w:szCs w:val="20"/>
    </w:rPr>
  </w:style>
  <w:style w:type="paragraph" w:styleId="Header">
    <w:name w:val="header"/>
    <w:basedOn w:val="Normal"/>
    <w:link w:val="HeaderChar"/>
    <w:uiPriority w:val="99"/>
    <w:unhideWhenUsed/>
    <w:rsid w:val="00D41A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1AF1"/>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D41A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1AF1"/>
    <w:rPr>
      <w:rFonts w:ascii="Times New Roman" w:eastAsia="Times New Roman" w:hAnsi="Times New Roman" w:cs="Times New Roman"/>
      <w:sz w:val="24"/>
      <w:szCs w:val="20"/>
    </w:rPr>
  </w:style>
  <w:style w:type="paragraph" w:customStyle="1" w:styleId="Default">
    <w:name w:val="Default"/>
    <w:rsid w:val="00C03364"/>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1752854">
      <w:bodyDiv w:val="1"/>
      <w:marLeft w:val="0"/>
      <w:marRight w:val="0"/>
      <w:marTop w:val="0"/>
      <w:marBottom w:val="0"/>
      <w:divBdr>
        <w:top w:val="none" w:sz="0" w:space="0" w:color="auto"/>
        <w:left w:val="none" w:sz="0" w:space="0" w:color="auto"/>
        <w:bottom w:val="none" w:sz="0" w:space="0" w:color="auto"/>
        <w:right w:val="none" w:sz="0" w:space="0" w:color="auto"/>
      </w:divBdr>
    </w:div>
    <w:div w:id="907764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STRESS-L@warwick.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5</Pages>
  <Words>898</Words>
  <Characters>5124</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Salford Royal NHS Foundation Trust</Company>
  <LinksUpToDate>false</LinksUpToDate>
  <CharactersWithSpaces>6010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Nessa Nevels</dc:creator>
  <cp:lastModifiedBy>Skilton, Emma</cp:lastModifiedBy>
  <cp:revision>9</cp:revision>
  <cp:lastPrinted>2019-08-02T09:06:00Z</cp:lastPrinted>
  <dcterms:created xsi:type="dcterms:W3CDTF">2019-01-15T15:08:00Z</dcterms:created>
  <dcterms:modified xsi:type="dcterms:W3CDTF">2020-08-20T16:28:00Z</dcterms:modified>
</cp:coreProperties>
</file>