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90AFFD" w14:textId="77777777" w:rsidR="00B6211C" w:rsidRPr="00B6211C" w:rsidRDefault="00B6211C" w:rsidP="00B6211C">
      <w:pPr>
        <w:jc w:val="center"/>
        <w:rPr>
          <w:rFonts w:ascii="Verdana" w:hAnsi="Verdana"/>
          <w:b/>
          <w:sz w:val="22"/>
          <w:szCs w:val="22"/>
          <w:u w:val="single"/>
        </w:rPr>
      </w:pPr>
      <w:bookmarkStart w:id="0" w:name="_GoBack"/>
      <w:bookmarkEnd w:id="0"/>
      <w:r w:rsidRPr="00B6211C">
        <w:rPr>
          <w:rFonts w:ascii="Verdana" w:hAnsi="Verdana"/>
          <w:b/>
          <w:sz w:val="22"/>
          <w:szCs w:val="22"/>
          <w:u w:val="single"/>
        </w:rPr>
        <w:t>Research integrity 18/01/2018</w:t>
      </w:r>
    </w:p>
    <w:p w14:paraId="71BC5699" w14:textId="77777777" w:rsidR="00B6211C" w:rsidRPr="00B6211C" w:rsidRDefault="00B6211C" w:rsidP="00B6211C">
      <w:pPr>
        <w:rPr>
          <w:rFonts w:ascii="Verdana" w:hAnsi="Verdana"/>
          <w:sz w:val="22"/>
          <w:szCs w:val="22"/>
        </w:rPr>
      </w:pPr>
    </w:p>
    <w:p w14:paraId="0CB0250D" w14:textId="77777777" w:rsidR="00614FE1" w:rsidRDefault="00614FE1" w:rsidP="00B6211C">
      <w:pPr>
        <w:rPr>
          <w:rFonts w:ascii="Verdana" w:hAnsi="Verdana"/>
          <w:b/>
          <w:sz w:val="22"/>
          <w:szCs w:val="22"/>
        </w:rPr>
      </w:pPr>
    </w:p>
    <w:p w14:paraId="5C8A12A0" w14:textId="4E731CA3" w:rsidR="00614FE1" w:rsidRPr="00C13A74" w:rsidRDefault="00D86FF2" w:rsidP="00B6211C">
      <w:pPr>
        <w:rPr>
          <w:rFonts w:ascii="Verdana" w:hAnsi="Verdana"/>
          <w:sz w:val="22"/>
          <w:szCs w:val="22"/>
        </w:rPr>
      </w:pPr>
      <w:r w:rsidRPr="00C13A74">
        <w:rPr>
          <w:rFonts w:ascii="Verdana" w:hAnsi="Verdana"/>
          <w:sz w:val="22"/>
          <w:szCs w:val="22"/>
        </w:rPr>
        <w:t xml:space="preserve">The common theme of </w:t>
      </w:r>
      <w:r w:rsidR="00C13A74">
        <w:rPr>
          <w:rFonts w:ascii="Verdana" w:hAnsi="Verdana"/>
          <w:sz w:val="22"/>
          <w:szCs w:val="22"/>
        </w:rPr>
        <w:t xml:space="preserve">the two cases discussing in </w:t>
      </w:r>
      <w:r w:rsidRPr="00C13A74">
        <w:rPr>
          <w:rFonts w:ascii="Verdana" w:hAnsi="Verdana"/>
          <w:sz w:val="22"/>
          <w:szCs w:val="22"/>
        </w:rPr>
        <w:t xml:space="preserve">this meeting was </w:t>
      </w:r>
      <w:r w:rsidR="00352020" w:rsidRPr="00C13A74">
        <w:rPr>
          <w:rFonts w:ascii="Verdana" w:hAnsi="Verdana"/>
          <w:sz w:val="22"/>
          <w:szCs w:val="22"/>
        </w:rPr>
        <w:t>adults without capacity</w:t>
      </w:r>
      <w:r w:rsidR="00C13A74">
        <w:rPr>
          <w:rFonts w:ascii="Verdana" w:hAnsi="Verdana"/>
          <w:sz w:val="22"/>
          <w:szCs w:val="22"/>
        </w:rPr>
        <w:t>/ with potentially impaired capacity</w:t>
      </w:r>
      <w:r w:rsidR="00352020" w:rsidRPr="00C13A74">
        <w:rPr>
          <w:rFonts w:ascii="Verdana" w:hAnsi="Verdana"/>
          <w:sz w:val="22"/>
          <w:szCs w:val="22"/>
        </w:rPr>
        <w:t>, including how the</w:t>
      </w:r>
      <w:r w:rsidRPr="00C13A74">
        <w:rPr>
          <w:rFonts w:ascii="Verdana" w:hAnsi="Verdana"/>
          <w:sz w:val="22"/>
          <w:szCs w:val="22"/>
        </w:rPr>
        <w:t xml:space="preserve"> Mental Capacity Act</w:t>
      </w:r>
      <w:r w:rsidR="00352020" w:rsidRPr="00C13A74">
        <w:rPr>
          <w:rFonts w:ascii="Verdana" w:hAnsi="Verdana"/>
          <w:sz w:val="22"/>
          <w:szCs w:val="22"/>
        </w:rPr>
        <w:t xml:space="preserve"> applies</w:t>
      </w:r>
      <w:r w:rsidRPr="00C13A74">
        <w:rPr>
          <w:rFonts w:ascii="Verdana" w:hAnsi="Verdana"/>
          <w:sz w:val="22"/>
          <w:szCs w:val="22"/>
        </w:rPr>
        <w:t>.</w:t>
      </w:r>
      <w:r w:rsidR="00C13A74">
        <w:rPr>
          <w:rFonts w:ascii="Verdana" w:hAnsi="Verdana"/>
          <w:sz w:val="22"/>
          <w:szCs w:val="22"/>
        </w:rPr>
        <w:t xml:space="preserve"> For useful information see</w:t>
      </w:r>
      <w:r w:rsidR="008513C5" w:rsidRPr="00C13A74">
        <w:rPr>
          <w:rFonts w:ascii="Verdana" w:hAnsi="Verdana"/>
          <w:sz w:val="22"/>
          <w:szCs w:val="22"/>
        </w:rPr>
        <w:t xml:space="preserve">: </w:t>
      </w:r>
      <w:hyperlink r:id="rId5" w:history="1">
        <w:r w:rsidR="008513C5" w:rsidRPr="00C13A74">
          <w:rPr>
            <w:rStyle w:val="Hyperlink"/>
            <w:rFonts w:ascii="Verdana" w:hAnsi="Verdana"/>
            <w:sz w:val="22"/>
            <w:szCs w:val="22"/>
          </w:rPr>
          <w:t>https://www.hra.nhs.uk/planning-and-improving-research/policies-standards-legislation/mental-capacity-act/</w:t>
        </w:r>
      </w:hyperlink>
      <w:r w:rsidR="008513C5" w:rsidRPr="00C13A74">
        <w:rPr>
          <w:rFonts w:ascii="Verdana" w:hAnsi="Verdana"/>
          <w:sz w:val="22"/>
          <w:szCs w:val="22"/>
        </w:rPr>
        <w:t xml:space="preserve"> </w:t>
      </w:r>
    </w:p>
    <w:p w14:paraId="698BD1CC" w14:textId="77777777" w:rsidR="00D86FF2" w:rsidRDefault="00D86FF2" w:rsidP="00B6211C">
      <w:pPr>
        <w:rPr>
          <w:rFonts w:ascii="Verdana" w:hAnsi="Verdana"/>
          <w:b/>
          <w:sz w:val="22"/>
          <w:szCs w:val="22"/>
        </w:rPr>
      </w:pPr>
    </w:p>
    <w:p w14:paraId="615315AE" w14:textId="77777777" w:rsidR="00B6211C" w:rsidRDefault="00B6211C" w:rsidP="00B6211C">
      <w:pPr>
        <w:rPr>
          <w:rFonts w:ascii="Verdana" w:hAnsi="Verdana"/>
          <w:b/>
          <w:sz w:val="22"/>
          <w:szCs w:val="22"/>
        </w:rPr>
      </w:pPr>
      <w:r w:rsidRPr="00B6211C">
        <w:rPr>
          <w:rFonts w:ascii="Verdana" w:hAnsi="Verdana"/>
          <w:b/>
          <w:sz w:val="22"/>
          <w:szCs w:val="22"/>
        </w:rPr>
        <w:t>Scenario 1</w:t>
      </w:r>
    </w:p>
    <w:p w14:paraId="4B7395D8" w14:textId="77777777" w:rsidR="00B6211C" w:rsidRPr="00B6211C" w:rsidRDefault="00B6211C" w:rsidP="00B6211C">
      <w:pPr>
        <w:rPr>
          <w:rFonts w:ascii="Verdana" w:hAnsi="Verdana"/>
          <w:b/>
          <w:sz w:val="22"/>
          <w:szCs w:val="22"/>
        </w:rPr>
      </w:pPr>
    </w:p>
    <w:p w14:paraId="2C484CF2" w14:textId="77777777" w:rsidR="00B6211C" w:rsidRDefault="00B6211C" w:rsidP="00B6211C">
      <w:pPr>
        <w:rPr>
          <w:rFonts w:ascii="Verdana" w:hAnsi="Verdana"/>
          <w:sz w:val="22"/>
          <w:szCs w:val="22"/>
        </w:rPr>
      </w:pPr>
      <w:r w:rsidRPr="00B6211C">
        <w:rPr>
          <w:rFonts w:ascii="Verdana" w:hAnsi="Verdana"/>
          <w:sz w:val="22"/>
          <w:szCs w:val="22"/>
        </w:rPr>
        <w:t>A patient is admitted to the intensive care unit following a road traffic accident (sedated and ventilated so lacks capacity). The patient’s partner was driving at the time of the incident and was uninjured. When the police attended the RTC, the partner was found to be drunk and was arrested for drunk driving and dangerous driving. The next day the partner was bailed and attended the hospital.</w:t>
      </w:r>
    </w:p>
    <w:p w14:paraId="6CBCB2B5" w14:textId="77777777" w:rsidR="00B6211C" w:rsidRPr="00B6211C" w:rsidRDefault="00B6211C" w:rsidP="00B6211C">
      <w:pPr>
        <w:rPr>
          <w:rFonts w:ascii="Verdana" w:hAnsi="Verdana"/>
          <w:sz w:val="22"/>
          <w:szCs w:val="22"/>
          <w:lang w:val="en-GB"/>
        </w:rPr>
      </w:pPr>
    </w:p>
    <w:p w14:paraId="1E20BEF2" w14:textId="77777777" w:rsidR="00B6211C" w:rsidRPr="00B6211C" w:rsidRDefault="00B6211C" w:rsidP="00B6211C">
      <w:pPr>
        <w:rPr>
          <w:rFonts w:ascii="Verdana" w:hAnsi="Verdana"/>
          <w:sz w:val="22"/>
          <w:szCs w:val="22"/>
          <w:lang w:val="en-GB"/>
        </w:rPr>
      </w:pPr>
      <w:r w:rsidRPr="00B6211C">
        <w:rPr>
          <w:rFonts w:ascii="Verdana" w:hAnsi="Verdana"/>
          <w:sz w:val="22"/>
          <w:szCs w:val="22"/>
        </w:rPr>
        <w:t>Following ITU admission, the patient developed an illness that made them eligible for a clinical trial of an investigational medicinal product (CTIMP). The research team had to make a decision as to whether the events that led to the incident affected the suitability of the partner to act as a personal legal representative.</w:t>
      </w:r>
    </w:p>
    <w:p w14:paraId="694A00AF" w14:textId="77777777" w:rsidR="008729BC" w:rsidRPr="00B6211C" w:rsidRDefault="008729BC">
      <w:pPr>
        <w:rPr>
          <w:rFonts w:ascii="Verdana" w:hAnsi="Verdana"/>
          <w:sz w:val="22"/>
          <w:szCs w:val="22"/>
        </w:rPr>
      </w:pPr>
    </w:p>
    <w:p w14:paraId="5709314F" w14:textId="77777777" w:rsidR="00B6211C" w:rsidRDefault="00B6211C">
      <w:pPr>
        <w:rPr>
          <w:rFonts w:ascii="Verdana" w:hAnsi="Verdana"/>
          <w:b/>
          <w:sz w:val="22"/>
          <w:szCs w:val="22"/>
        </w:rPr>
      </w:pPr>
      <w:r>
        <w:rPr>
          <w:rFonts w:ascii="Verdana" w:hAnsi="Verdana"/>
          <w:b/>
          <w:sz w:val="22"/>
          <w:szCs w:val="22"/>
        </w:rPr>
        <w:t>Discussion</w:t>
      </w:r>
    </w:p>
    <w:p w14:paraId="16B58795" w14:textId="77777777" w:rsidR="00B6211C" w:rsidRDefault="00B6211C">
      <w:pPr>
        <w:rPr>
          <w:rFonts w:ascii="Verdana" w:hAnsi="Verdana"/>
          <w:b/>
          <w:sz w:val="22"/>
          <w:szCs w:val="22"/>
        </w:rPr>
      </w:pPr>
    </w:p>
    <w:p w14:paraId="55B4BCBA" w14:textId="77777777" w:rsidR="008513C5" w:rsidRDefault="00B6211C">
      <w:pPr>
        <w:rPr>
          <w:rFonts w:ascii="Verdana" w:hAnsi="Verdana"/>
          <w:sz w:val="22"/>
          <w:szCs w:val="22"/>
        </w:rPr>
      </w:pPr>
      <w:r>
        <w:rPr>
          <w:rFonts w:ascii="Verdana" w:hAnsi="Verdana"/>
          <w:sz w:val="22"/>
          <w:szCs w:val="22"/>
        </w:rPr>
        <w:t>The main ethical issue underlying this scenario was whether it was appropriate for the patient’s partner to consent to the patient’s involvement in a CTIMP considering that they were only eligible because of the injury caused the partner’s drink driving.</w:t>
      </w:r>
    </w:p>
    <w:p w14:paraId="2869DBC6" w14:textId="5AAF86AD" w:rsidR="008513C5" w:rsidRDefault="00C13A74">
      <w:pPr>
        <w:rPr>
          <w:rFonts w:ascii="Verdana" w:hAnsi="Verdana"/>
          <w:sz w:val="22"/>
          <w:szCs w:val="22"/>
        </w:rPr>
      </w:pPr>
      <w:r>
        <w:rPr>
          <w:rFonts w:ascii="Verdana" w:hAnsi="Verdana"/>
          <w:sz w:val="22"/>
          <w:szCs w:val="22"/>
        </w:rPr>
        <w:t>[C</w:t>
      </w:r>
      <w:r w:rsidR="008513C5">
        <w:rPr>
          <w:rFonts w:ascii="Verdana" w:hAnsi="Verdana"/>
          <w:sz w:val="22"/>
          <w:szCs w:val="22"/>
        </w:rPr>
        <w:t>TIMPs are excluded from the research provisions of the MCA</w:t>
      </w:r>
      <w:r>
        <w:rPr>
          <w:rFonts w:ascii="Verdana" w:hAnsi="Verdana"/>
          <w:sz w:val="22"/>
          <w:szCs w:val="22"/>
        </w:rPr>
        <w:t>, and an actual signed consent to participate is required by a legal representative. In this case the partner would be a legal representative by virtue of the relationship with the patient (being the partner of)</w:t>
      </w:r>
    </w:p>
    <w:p w14:paraId="345ABB0B" w14:textId="30280BB9" w:rsidR="00614FE1" w:rsidRDefault="008513C5">
      <w:pPr>
        <w:rPr>
          <w:rFonts w:ascii="Verdana" w:hAnsi="Verdana"/>
          <w:sz w:val="22"/>
          <w:szCs w:val="22"/>
        </w:rPr>
      </w:pPr>
      <w:r>
        <w:rPr>
          <w:rFonts w:ascii="Verdana" w:hAnsi="Verdana"/>
          <w:sz w:val="22"/>
          <w:szCs w:val="22"/>
        </w:rPr>
        <w:t xml:space="preserve">See </w:t>
      </w:r>
      <w:hyperlink r:id="rId6" w:history="1">
        <w:r w:rsidR="00810D97" w:rsidRPr="006E08A0">
          <w:rPr>
            <w:rStyle w:val="Hyperlink"/>
            <w:rFonts w:ascii="Verdana" w:hAnsi="Verdana"/>
            <w:sz w:val="22"/>
            <w:szCs w:val="22"/>
          </w:rPr>
          <w:t>file:///Users/u1670335/Downloads/informed-consent-in-ctimps.pdf</w:t>
        </w:r>
      </w:hyperlink>
      <w:r w:rsidR="00810D97">
        <w:rPr>
          <w:rFonts w:ascii="Verdana" w:hAnsi="Verdana"/>
          <w:sz w:val="22"/>
          <w:szCs w:val="22"/>
        </w:rPr>
        <w:t xml:space="preserve"> </w:t>
      </w:r>
    </w:p>
    <w:p w14:paraId="1F2FE822" w14:textId="06E1D1F1" w:rsidR="00810D97" w:rsidRDefault="00810D97">
      <w:pPr>
        <w:rPr>
          <w:rFonts w:ascii="Verdana" w:hAnsi="Verdana"/>
          <w:sz w:val="22"/>
          <w:szCs w:val="22"/>
        </w:rPr>
      </w:pPr>
      <w:r>
        <w:rPr>
          <w:rFonts w:ascii="Verdana" w:hAnsi="Verdana"/>
          <w:sz w:val="22"/>
          <w:szCs w:val="22"/>
        </w:rPr>
        <w:t>This explains who can be approached to consent and specifies that consent of the patient</w:t>
      </w:r>
      <w:r w:rsidR="00F0565C">
        <w:rPr>
          <w:rFonts w:ascii="Verdana" w:hAnsi="Verdana"/>
          <w:sz w:val="22"/>
          <w:szCs w:val="22"/>
        </w:rPr>
        <w:t>/legal representative</w:t>
      </w:r>
      <w:r>
        <w:rPr>
          <w:rFonts w:ascii="Verdana" w:hAnsi="Verdana"/>
          <w:sz w:val="22"/>
          <w:szCs w:val="22"/>
        </w:rPr>
        <w:t xml:space="preserve"> should be sought as soon as practicably possible</w:t>
      </w:r>
      <w:r w:rsidR="00F0565C">
        <w:rPr>
          <w:rFonts w:ascii="Verdana" w:hAnsi="Verdana"/>
          <w:sz w:val="22"/>
          <w:szCs w:val="22"/>
        </w:rPr>
        <w:t xml:space="preserve"> if enrolled in emergency</w:t>
      </w:r>
      <w:r w:rsidR="00665615">
        <w:rPr>
          <w:rFonts w:ascii="Verdana" w:hAnsi="Verdana"/>
          <w:sz w:val="22"/>
          <w:szCs w:val="22"/>
        </w:rPr>
        <w:t xml:space="preserve"> trial</w:t>
      </w:r>
      <w:r>
        <w:rPr>
          <w:rFonts w:ascii="Verdana" w:hAnsi="Verdana"/>
          <w:sz w:val="22"/>
          <w:szCs w:val="22"/>
        </w:rPr>
        <w:t>.</w:t>
      </w:r>
      <w:r w:rsidR="00C13A74">
        <w:rPr>
          <w:rFonts w:ascii="Verdana" w:hAnsi="Verdana"/>
          <w:sz w:val="22"/>
          <w:szCs w:val="22"/>
        </w:rPr>
        <w:t>]</w:t>
      </w:r>
      <w:r>
        <w:rPr>
          <w:rFonts w:ascii="Verdana" w:hAnsi="Verdana"/>
          <w:sz w:val="22"/>
          <w:szCs w:val="22"/>
        </w:rPr>
        <w:t xml:space="preserve"> </w:t>
      </w:r>
    </w:p>
    <w:p w14:paraId="32FE54C2" w14:textId="77777777" w:rsidR="00614FE1" w:rsidRDefault="00614FE1">
      <w:pPr>
        <w:rPr>
          <w:rFonts w:ascii="Verdana" w:hAnsi="Verdana"/>
          <w:sz w:val="22"/>
          <w:szCs w:val="22"/>
        </w:rPr>
      </w:pPr>
      <w:r>
        <w:rPr>
          <w:rFonts w:ascii="Verdana" w:hAnsi="Verdana"/>
          <w:sz w:val="22"/>
          <w:szCs w:val="22"/>
        </w:rPr>
        <w:t>On the one hand, it</w:t>
      </w:r>
      <w:r w:rsidR="00B6211C">
        <w:rPr>
          <w:rFonts w:ascii="Verdana" w:hAnsi="Verdana"/>
          <w:sz w:val="22"/>
          <w:szCs w:val="22"/>
        </w:rPr>
        <w:t xml:space="preserve"> was argued that the partner in this scenario had potentially demonstrated that they were unable to consider the patient’s best interests, having been happy to drive with the patient in the car whilst drunk, and therefore may not be suitable to give consent on behalf of the patient. </w:t>
      </w:r>
    </w:p>
    <w:p w14:paraId="2CC1DD15" w14:textId="36AFFDB3" w:rsidR="00614FE1" w:rsidRDefault="00614FE1">
      <w:pPr>
        <w:rPr>
          <w:rFonts w:ascii="Verdana" w:hAnsi="Verdana"/>
          <w:sz w:val="22"/>
          <w:szCs w:val="22"/>
        </w:rPr>
      </w:pPr>
      <w:r>
        <w:rPr>
          <w:rFonts w:ascii="Verdana" w:hAnsi="Verdana"/>
          <w:sz w:val="22"/>
          <w:szCs w:val="22"/>
        </w:rPr>
        <w:t>Likewise,</w:t>
      </w:r>
      <w:r w:rsidR="00B6211C">
        <w:rPr>
          <w:rFonts w:ascii="Verdana" w:hAnsi="Verdana"/>
          <w:sz w:val="22"/>
          <w:szCs w:val="22"/>
        </w:rPr>
        <w:t xml:space="preserve"> the partner may now have a personal interest in </w:t>
      </w:r>
      <w:r w:rsidR="00BF4CF3">
        <w:rPr>
          <w:rFonts w:ascii="Verdana" w:hAnsi="Verdana"/>
          <w:sz w:val="22"/>
          <w:szCs w:val="22"/>
        </w:rPr>
        <w:t>the situation in terms of what</w:t>
      </w:r>
      <w:r w:rsidR="00B6211C">
        <w:rPr>
          <w:rFonts w:ascii="Verdana" w:hAnsi="Verdana"/>
          <w:sz w:val="22"/>
          <w:szCs w:val="22"/>
        </w:rPr>
        <w:t xml:space="preserve"> criminal charge they would be facing depending </w:t>
      </w:r>
      <w:r w:rsidR="00BF4CF3">
        <w:rPr>
          <w:rFonts w:ascii="Verdana" w:hAnsi="Verdana"/>
          <w:sz w:val="22"/>
          <w:szCs w:val="22"/>
        </w:rPr>
        <w:t xml:space="preserve">on the patient’s clinical outcome and </w:t>
      </w:r>
      <w:r>
        <w:rPr>
          <w:rFonts w:ascii="Verdana" w:hAnsi="Verdana"/>
          <w:sz w:val="22"/>
          <w:szCs w:val="22"/>
        </w:rPr>
        <w:t>this conflict of interest may also preclude them from making a best interests decision</w:t>
      </w:r>
      <w:r w:rsidR="00BF4CF3">
        <w:rPr>
          <w:rFonts w:ascii="Verdana" w:hAnsi="Verdana"/>
          <w:sz w:val="22"/>
          <w:szCs w:val="22"/>
        </w:rPr>
        <w:t>.</w:t>
      </w:r>
      <w:r>
        <w:rPr>
          <w:rFonts w:ascii="Verdana" w:hAnsi="Verdana"/>
          <w:sz w:val="22"/>
          <w:szCs w:val="22"/>
        </w:rPr>
        <w:t xml:space="preserve"> At the same time is was recognised that this was a weak argument given the trial would not be conducted without equipoise so that it would not be possible to be sure whether consenting or refusing would best serve any ulterior motives.</w:t>
      </w:r>
      <w:r w:rsidR="00BF4CF3">
        <w:rPr>
          <w:rFonts w:ascii="Verdana" w:hAnsi="Verdana"/>
          <w:sz w:val="22"/>
          <w:szCs w:val="22"/>
        </w:rPr>
        <w:t xml:space="preserve"> </w:t>
      </w:r>
    </w:p>
    <w:p w14:paraId="25A23B35" w14:textId="77777777" w:rsidR="00614FE1" w:rsidRDefault="00614FE1">
      <w:pPr>
        <w:rPr>
          <w:rFonts w:ascii="Verdana" w:hAnsi="Verdana"/>
          <w:sz w:val="22"/>
          <w:szCs w:val="22"/>
        </w:rPr>
      </w:pPr>
      <w:r>
        <w:rPr>
          <w:rFonts w:ascii="Verdana" w:hAnsi="Verdana"/>
          <w:sz w:val="22"/>
          <w:szCs w:val="22"/>
        </w:rPr>
        <w:lastRenderedPageBreak/>
        <w:t>On the other hand</w:t>
      </w:r>
      <w:r w:rsidR="00B6211C">
        <w:rPr>
          <w:rFonts w:ascii="Verdana" w:hAnsi="Verdana"/>
          <w:sz w:val="22"/>
          <w:szCs w:val="22"/>
        </w:rPr>
        <w:t>, the dangerous driving was</w:t>
      </w:r>
      <w:r>
        <w:rPr>
          <w:rFonts w:ascii="Verdana" w:hAnsi="Verdana"/>
          <w:sz w:val="22"/>
          <w:szCs w:val="22"/>
        </w:rPr>
        <w:t xml:space="preserve"> probably</w:t>
      </w:r>
      <w:r w:rsidR="00B6211C">
        <w:rPr>
          <w:rFonts w:ascii="Verdana" w:hAnsi="Verdana"/>
          <w:sz w:val="22"/>
          <w:szCs w:val="22"/>
        </w:rPr>
        <w:t xml:space="preserve"> the result of the partner being drunk, and was not indicative of how seriously they would consider the patient’s best interests when</w:t>
      </w:r>
      <w:r>
        <w:rPr>
          <w:rFonts w:ascii="Verdana" w:hAnsi="Verdana"/>
          <w:sz w:val="22"/>
          <w:szCs w:val="22"/>
        </w:rPr>
        <w:t xml:space="preserve"> sober. </w:t>
      </w:r>
    </w:p>
    <w:p w14:paraId="229DFEDE" w14:textId="67C949FB" w:rsidR="00614FE1" w:rsidRDefault="00614FE1">
      <w:pPr>
        <w:rPr>
          <w:rFonts w:ascii="Verdana" w:hAnsi="Verdana"/>
          <w:sz w:val="22"/>
          <w:szCs w:val="22"/>
        </w:rPr>
      </w:pPr>
      <w:r>
        <w:rPr>
          <w:rFonts w:ascii="Verdana" w:hAnsi="Verdana"/>
          <w:sz w:val="22"/>
          <w:szCs w:val="22"/>
        </w:rPr>
        <w:t>We also discussed the potential difficulties of attempting</w:t>
      </w:r>
      <w:r w:rsidR="007C0129">
        <w:rPr>
          <w:rFonts w:ascii="Verdana" w:hAnsi="Verdana"/>
          <w:sz w:val="22"/>
          <w:szCs w:val="22"/>
        </w:rPr>
        <w:t xml:space="preserve"> in general</w:t>
      </w:r>
      <w:r>
        <w:rPr>
          <w:rFonts w:ascii="Verdana" w:hAnsi="Verdana"/>
          <w:sz w:val="22"/>
          <w:szCs w:val="22"/>
        </w:rPr>
        <w:t xml:space="preserve"> to determine things like the nature of the relationship between the patient and partner: in general this was not considered to be something that could be undertaken </w:t>
      </w:r>
      <w:r w:rsidR="007C0129">
        <w:rPr>
          <w:rFonts w:ascii="Verdana" w:hAnsi="Verdana"/>
          <w:sz w:val="22"/>
          <w:szCs w:val="22"/>
        </w:rPr>
        <w:t xml:space="preserve">practically, </w:t>
      </w:r>
      <w:r>
        <w:rPr>
          <w:rFonts w:ascii="Verdana" w:hAnsi="Verdana"/>
          <w:sz w:val="22"/>
          <w:szCs w:val="22"/>
        </w:rPr>
        <w:t>fairly and consistently.</w:t>
      </w:r>
      <w:r w:rsidR="00B6211C">
        <w:rPr>
          <w:rFonts w:ascii="Verdana" w:hAnsi="Verdana"/>
          <w:sz w:val="22"/>
          <w:szCs w:val="22"/>
        </w:rPr>
        <w:t xml:space="preserve"> </w:t>
      </w:r>
    </w:p>
    <w:p w14:paraId="4D1F1779" w14:textId="19A5E789" w:rsidR="00B6211C" w:rsidRDefault="00614FE1">
      <w:pPr>
        <w:rPr>
          <w:rFonts w:ascii="Verdana" w:hAnsi="Verdana"/>
          <w:sz w:val="22"/>
          <w:szCs w:val="22"/>
        </w:rPr>
      </w:pPr>
      <w:r>
        <w:rPr>
          <w:rFonts w:ascii="Verdana" w:hAnsi="Verdana"/>
          <w:sz w:val="22"/>
          <w:szCs w:val="22"/>
        </w:rPr>
        <w:t>We also discussed whether</w:t>
      </w:r>
      <w:r w:rsidR="00BF4CF3">
        <w:rPr>
          <w:rFonts w:ascii="Verdana" w:hAnsi="Verdana"/>
          <w:sz w:val="22"/>
          <w:szCs w:val="22"/>
        </w:rPr>
        <w:t xml:space="preserve"> it </w:t>
      </w:r>
      <w:r w:rsidR="00B6211C">
        <w:rPr>
          <w:rFonts w:ascii="Verdana" w:hAnsi="Verdana"/>
          <w:sz w:val="22"/>
          <w:szCs w:val="22"/>
        </w:rPr>
        <w:t>might be worth considering seeking an independent opinion</w:t>
      </w:r>
      <w:r>
        <w:rPr>
          <w:rFonts w:ascii="Verdana" w:hAnsi="Verdana"/>
          <w:sz w:val="22"/>
          <w:szCs w:val="22"/>
        </w:rPr>
        <w:t xml:space="preserve"> or just not trying to recruit this patient to the trial</w:t>
      </w:r>
      <w:r w:rsidR="00B6211C">
        <w:rPr>
          <w:rFonts w:ascii="Verdana" w:hAnsi="Verdana"/>
          <w:sz w:val="22"/>
          <w:szCs w:val="22"/>
        </w:rPr>
        <w:t>.</w:t>
      </w:r>
    </w:p>
    <w:p w14:paraId="3CD46D93" w14:textId="77777777" w:rsidR="00B6211C" w:rsidRDefault="00B6211C">
      <w:pPr>
        <w:rPr>
          <w:rFonts w:ascii="Verdana" w:hAnsi="Verdana"/>
          <w:sz w:val="22"/>
          <w:szCs w:val="22"/>
        </w:rPr>
      </w:pPr>
    </w:p>
    <w:p w14:paraId="3C7C7A77" w14:textId="77777777" w:rsidR="00B6211C" w:rsidRPr="00B6211C" w:rsidRDefault="00B6211C">
      <w:pPr>
        <w:rPr>
          <w:rFonts w:ascii="Verdana" w:hAnsi="Verdana"/>
          <w:b/>
          <w:sz w:val="22"/>
          <w:szCs w:val="22"/>
        </w:rPr>
      </w:pPr>
      <w:r w:rsidRPr="00B6211C">
        <w:rPr>
          <w:rFonts w:ascii="Verdana" w:hAnsi="Verdana"/>
          <w:b/>
          <w:sz w:val="22"/>
          <w:szCs w:val="22"/>
        </w:rPr>
        <w:t>Scenario 2</w:t>
      </w:r>
    </w:p>
    <w:p w14:paraId="0E730DD0" w14:textId="77777777" w:rsidR="00B6211C" w:rsidRPr="00B6211C" w:rsidRDefault="00B6211C">
      <w:pPr>
        <w:rPr>
          <w:rFonts w:ascii="Verdana" w:hAnsi="Verdana"/>
          <w:b/>
          <w:sz w:val="22"/>
          <w:szCs w:val="22"/>
        </w:rPr>
      </w:pPr>
    </w:p>
    <w:p w14:paraId="6EE58B39" w14:textId="77777777" w:rsidR="00B6211C" w:rsidRPr="00B6211C" w:rsidRDefault="00B6211C" w:rsidP="00B6211C">
      <w:pPr>
        <w:rPr>
          <w:rFonts w:ascii="Verdana" w:hAnsi="Verdana"/>
          <w:sz w:val="22"/>
          <w:szCs w:val="22"/>
          <w:lang w:val="en-GB"/>
        </w:rPr>
      </w:pPr>
      <w:r w:rsidRPr="00B6211C">
        <w:rPr>
          <w:rFonts w:ascii="Verdana" w:hAnsi="Verdana"/>
          <w:sz w:val="22"/>
          <w:szCs w:val="22"/>
          <w:lang w:val="en-GB"/>
        </w:rPr>
        <w:t>Your project is running to a tight schedule due to delays in setting up (blame contracts, R&amp;D, ethics review process all of the above – it doesn’t matter why). Recruitment has not been going well as it is now the run up to Christmas and people have their minds on other things. You are in the process of recruiting an older person with slight dementia to the study. The gentleman seems keen to participate and well able to understand what the project is about and what his participation would entail but when it comes to signing the consent form says ‘Oh I never sign anything now without my daughter’s agreement. You will have to speak to her.’ What should you do?</w:t>
      </w:r>
    </w:p>
    <w:p w14:paraId="771AFF6B" w14:textId="77777777" w:rsidR="00B6211C" w:rsidRDefault="00B6211C">
      <w:pPr>
        <w:rPr>
          <w:rFonts w:ascii="Verdana" w:hAnsi="Verdana"/>
          <w:b/>
          <w:sz w:val="22"/>
          <w:szCs w:val="22"/>
        </w:rPr>
      </w:pPr>
    </w:p>
    <w:p w14:paraId="61C5937F" w14:textId="77777777" w:rsidR="00B6211C" w:rsidRDefault="00B6211C">
      <w:pPr>
        <w:rPr>
          <w:rFonts w:ascii="Verdana" w:hAnsi="Verdana"/>
          <w:b/>
          <w:sz w:val="22"/>
          <w:szCs w:val="22"/>
        </w:rPr>
      </w:pPr>
      <w:r>
        <w:rPr>
          <w:rFonts w:ascii="Verdana" w:hAnsi="Verdana"/>
          <w:b/>
          <w:sz w:val="22"/>
          <w:szCs w:val="22"/>
        </w:rPr>
        <w:t>Discussion</w:t>
      </w:r>
    </w:p>
    <w:p w14:paraId="73B85111" w14:textId="77777777" w:rsidR="00B6211C" w:rsidRDefault="00B6211C">
      <w:pPr>
        <w:rPr>
          <w:rFonts w:ascii="Verdana" w:hAnsi="Verdana"/>
          <w:b/>
          <w:sz w:val="22"/>
          <w:szCs w:val="22"/>
        </w:rPr>
      </w:pPr>
    </w:p>
    <w:p w14:paraId="010AE287" w14:textId="50B90759" w:rsidR="00B6211C" w:rsidRPr="00B6211C" w:rsidRDefault="00B6211C">
      <w:pPr>
        <w:rPr>
          <w:rFonts w:ascii="Verdana" w:hAnsi="Verdana"/>
          <w:sz w:val="22"/>
          <w:szCs w:val="22"/>
        </w:rPr>
      </w:pPr>
      <w:r>
        <w:rPr>
          <w:rFonts w:ascii="Verdana" w:hAnsi="Verdana"/>
          <w:sz w:val="22"/>
          <w:szCs w:val="22"/>
        </w:rPr>
        <w:t xml:space="preserve">This situation was problematic because unless the patient does not have capacity, his daughter cannot consent to his participation in the study. It seems the patient here did have capacity but still wanted to defer the decision to participate or not to his daughter. </w:t>
      </w:r>
      <w:r w:rsidR="00BF4CF3">
        <w:rPr>
          <w:rFonts w:ascii="Verdana" w:hAnsi="Verdana"/>
          <w:sz w:val="22"/>
          <w:szCs w:val="22"/>
        </w:rPr>
        <w:t xml:space="preserve">As participant information sheets state that potential participants are free to discuss trial participation with whomever they like, some felt that it was up to the patient if he wanted to seek advice from his daughter before making a final decision. It was argued that there was however a risk of coercion and that the decision may be made entirely by the daughter, as opposed to giving an opinion so that the patient could decide. Some attendees felt in this situation it would </w:t>
      </w:r>
      <w:r w:rsidR="00774589">
        <w:rPr>
          <w:rFonts w:ascii="Verdana" w:hAnsi="Verdana"/>
          <w:sz w:val="22"/>
          <w:szCs w:val="22"/>
        </w:rPr>
        <w:t>better not to</w:t>
      </w:r>
      <w:r w:rsidR="00BF4CF3">
        <w:rPr>
          <w:rFonts w:ascii="Verdana" w:hAnsi="Verdana"/>
          <w:sz w:val="22"/>
          <w:szCs w:val="22"/>
        </w:rPr>
        <w:t xml:space="preserve"> </w:t>
      </w:r>
      <w:r w:rsidR="00774589">
        <w:rPr>
          <w:rFonts w:ascii="Verdana" w:hAnsi="Verdana"/>
          <w:sz w:val="22"/>
          <w:szCs w:val="22"/>
        </w:rPr>
        <w:t>enroll</w:t>
      </w:r>
      <w:r w:rsidR="00BF4CF3">
        <w:rPr>
          <w:rFonts w:ascii="Verdana" w:hAnsi="Verdana"/>
          <w:sz w:val="22"/>
          <w:szCs w:val="22"/>
        </w:rPr>
        <w:t xml:space="preserve"> the patient to the trial - as research, the patient’s participation was less important than receiving clinical treatment, and this would circumvent </w:t>
      </w:r>
      <w:r w:rsidR="00E24965">
        <w:rPr>
          <w:rFonts w:ascii="Verdana" w:hAnsi="Verdana"/>
          <w:sz w:val="22"/>
          <w:szCs w:val="22"/>
        </w:rPr>
        <w:t>concerns about potential coercion or the like</w:t>
      </w:r>
      <w:r w:rsidR="00BF4CF3">
        <w:rPr>
          <w:rFonts w:ascii="Verdana" w:hAnsi="Verdana"/>
          <w:sz w:val="22"/>
          <w:szCs w:val="22"/>
        </w:rPr>
        <w:t>. However</w:t>
      </w:r>
      <w:r w:rsidR="00976545">
        <w:rPr>
          <w:rFonts w:ascii="Verdana" w:hAnsi="Verdana"/>
          <w:sz w:val="22"/>
          <w:szCs w:val="22"/>
        </w:rPr>
        <w:t>,</w:t>
      </w:r>
      <w:r w:rsidR="00BF4CF3">
        <w:rPr>
          <w:rFonts w:ascii="Verdana" w:hAnsi="Verdana"/>
          <w:sz w:val="22"/>
          <w:szCs w:val="22"/>
        </w:rPr>
        <w:t xml:space="preserve"> it was also worth considering what type of research this was and the </w:t>
      </w:r>
      <w:r w:rsidR="00976545">
        <w:rPr>
          <w:rFonts w:ascii="Verdana" w:hAnsi="Verdana"/>
          <w:sz w:val="22"/>
          <w:szCs w:val="22"/>
        </w:rPr>
        <w:t xml:space="preserve">actual </w:t>
      </w:r>
      <w:r w:rsidR="00BF4CF3">
        <w:rPr>
          <w:rFonts w:ascii="Verdana" w:hAnsi="Verdana"/>
          <w:sz w:val="22"/>
          <w:szCs w:val="22"/>
        </w:rPr>
        <w:t>risk</w:t>
      </w:r>
      <w:r w:rsidR="00976545">
        <w:rPr>
          <w:rFonts w:ascii="Verdana" w:hAnsi="Verdana"/>
          <w:sz w:val="22"/>
          <w:szCs w:val="22"/>
        </w:rPr>
        <w:t>s of participation; for a qualitative study</w:t>
      </w:r>
      <w:r w:rsidR="007E4612">
        <w:rPr>
          <w:rFonts w:ascii="Verdana" w:hAnsi="Verdana"/>
          <w:sz w:val="22"/>
          <w:szCs w:val="22"/>
        </w:rPr>
        <w:t xml:space="preserve"> </w:t>
      </w:r>
      <w:r w:rsidR="00BF4CF3">
        <w:rPr>
          <w:rFonts w:ascii="Verdana" w:hAnsi="Verdana"/>
          <w:sz w:val="22"/>
          <w:szCs w:val="22"/>
        </w:rPr>
        <w:t xml:space="preserve">with little to no risk, the influence of the daughter might not be as important compared with </w:t>
      </w:r>
      <w:r w:rsidR="007E4612">
        <w:rPr>
          <w:rFonts w:ascii="Verdana" w:hAnsi="Verdana"/>
          <w:sz w:val="22"/>
          <w:szCs w:val="22"/>
        </w:rPr>
        <w:t>deciding to take part in a</w:t>
      </w:r>
      <w:r w:rsidR="00774589">
        <w:rPr>
          <w:rFonts w:ascii="Verdana" w:hAnsi="Verdana"/>
          <w:sz w:val="22"/>
          <w:szCs w:val="22"/>
        </w:rPr>
        <w:t>n inherently</w:t>
      </w:r>
      <w:r w:rsidR="007E4612">
        <w:rPr>
          <w:rFonts w:ascii="Verdana" w:hAnsi="Verdana"/>
          <w:sz w:val="22"/>
          <w:szCs w:val="22"/>
        </w:rPr>
        <w:t xml:space="preserve"> </w:t>
      </w:r>
      <w:r w:rsidR="00774589">
        <w:rPr>
          <w:rFonts w:ascii="Verdana" w:hAnsi="Verdana"/>
          <w:sz w:val="22"/>
          <w:szCs w:val="22"/>
        </w:rPr>
        <w:t>riskier</w:t>
      </w:r>
      <w:r w:rsidR="00BF4CF3">
        <w:rPr>
          <w:rFonts w:ascii="Verdana" w:hAnsi="Verdana"/>
          <w:sz w:val="22"/>
          <w:szCs w:val="22"/>
        </w:rPr>
        <w:t xml:space="preserve"> drug trial. Ultimately it was agreed that if the patient had capacity he </w:t>
      </w:r>
      <w:r w:rsidR="00976545">
        <w:rPr>
          <w:rFonts w:ascii="Verdana" w:hAnsi="Verdana"/>
          <w:sz w:val="22"/>
          <w:szCs w:val="22"/>
        </w:rPr>
        <w:t>c</w:t>
      </w:r>
      <w:r w:rsidR="00BF4CF3">
        <w:rPr>
          <w:rFonts w:ascii="Verdana" w:hAnsi="Verdana"/>
          <w:sz w:val="22"/>
          <w:szCs w:val="22"/>
        </w:rPr>
        <w:t xml:space="preserve">ould not be </w:t>
      </w:r>
      <w:r w:rsidR="00976545">
        <w:rPr>
          <w:rFonts w:ascii="Verdana" w:hAnsi="Verdana"/>
          <w:sz w:val="22"/>
          <w:szCs w:val="22"/>
        </w:rPr>
        <w:t>enrolled unless he was willing to sign the consent form for himself</w:t>
      </w:r>
      <w:r w:rsidR="00BF4CF3">
        <w:rPr>
          <w:rFonts w:ascii="Verdana" w:hAnsi="Verdana"/>
          <w:sz w:val="22"/>
          <w:szCs w:val="22"/>
        </w:rPr>
        <w:t xml:space="preserve">. </w:t>
      </w:r>
    </w:p>
    <w:p w14:paraId="19A11782" w14:textId="77777777" w:rsidR="00B6211C" w:rsidRPr="00B6211C" w:rsidRDefault="00B6211C">
      <w:pPr>
        <w:rPr>
          <w:rFonts w:ascii="Verdana" w:hAnsi="Verdana"/>
          <w:sz w:val="22"/>
          <w:szCs w:val="22"/>
        </w:rPr>
      </w:pPr>
    </w:p>
    <w:sectPr w:rsidR="00B6211C" w:rsidRPr="00B6211C" w:rsidSect="00AA04E3">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ＭＳ 明朝">
    <w:charset w:val="80"/>
    <w:family w:val="auto"/>
    <w:pitch w:val="variable"/>
    <w:sig w:usb0="E00002FF" w:usb1="6AC7FDFB" w:usb2="08000012" w:usb3="00000000" w:csb0="0002009F" w:csb1="00000000"/>
  </w:font>
  <w:font w:name="Verdana">
    <w:panose1 w:val="020B0604030504040204"/>
    <w:charset w:val="00"/>
    <w:family w:val="auto"/>
    <w:pitch w:val="variable"/>
    <w:sig w:usb0="A10006FF" w:usb1="4000205B" w:usb2="00000010" w:usb3="00000000" w:csb0="0000019F" w:csb1="00000000"/>
  </w:font>
  <w:font w:name="ＭＳ ゴシック">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EE28FC"/>
    <w:multiLevelType w:val="hybridMultilevel"/>
    <w:tmpl w:val="1658758C"/>
    <w:lvl w:ilvl="0" w:tplc="06646CDC">
      <w:start w:val="1"/>
      <w:numFmt w:val="bullet"/>
      <w:lvlText w:val="•"/>
      <w:lvlJc w:val="left"/>
      <w:pPr>
        <w:tabs>
          <w:tab w:val="num" w:pos="720"/>
        </w:tabs>
        <w:ind w:left="720" w:hanging="360"/>
      </w:pPr>
      <w:rPr>
        <w:rFonts w:ascii="Arial" w:hAnsi="Arial" w:hint="default"/>
      </w:rPr>
    </w:lvl>
    <w:lvl w:ilvl="1" w:tplc="9A1C91B4" w:tentative="1">
      <w:start w:val="1"/>
      <w:numFmt w:val="bullet"/>
      <w:lvlText w:val="•"/>
      <w:lvlJc w:val="left"/>
      <w:pPr>
        <w:tabs>
          <w:tab w:val="num" w:pos="1440"/>
        </w:tabs>
        <w:ind w:left="1440" w:hanging="360"/>
      </w:pPr>
      <w:rPr>
        <w:rFonts w:ascii="Arial" w:hAnsi="Arial" w:hint="default"/>
      </w:rPr>
    </w:lvl>
    <w:lvl w:ilvl="2" w:tplc="1C22BD26" w:tentative="1">
      <w:start w:val="1"/>
      <w:numFmt w:val="bullet"/>
      <w:lvlText w:val="•"/>
      <w:lvlJc w:val="left"/>
      <w:pPr>
        <w:tabs>
          <w:tab w:val="num" w:pos="2160"/>
        </w:tabs>
        <w:ind w:left="2160" w:hanging="360"/>
      </w:pPr>
      <w:rPr>
        <w:rFonts w:ascii="Arial" w:hAnsi="Arial" w:hint="default"/>
      </w:rPr>
    </w:lvl>
    <w:lvl w:ilvl="3" w:tplc="D64CD2D2" w:tentative="1">
      <w:start w:val="1"/>
      <w:numFmt w:val="bullet"/>
      <w:lvlText w:val="•"/>
      <w:lvlJc w:val="left"/>
      <w:pPr>
        <w:tabs>
          <w:tab w:val="num" w:pos="2880"/>
        </w:tabs>
        <w:ind w:left="2880" w:hanging="360"/>
      </w:pPr>
      <w:rPr>
        <w:rFonts w:ascii="Arial" w:hAnsi="Arial" w:hint="default"/>
      </w:rPr>
    </w:lvl>
    <w:lvl w:ilvl="4" w:tplc="492C87CA" w:tentative="1">
      <w:start w:val="1"/>
      <w:numFmt w:val="bullet"/>
      <w:lvlText w:val="•"/>
      <w:lvlJc w:val="left"/>
      <w:pPr>
        <w:tabs>
          <w:tab w:val="num" w:pos="3600"/>
        </w:tabs>
        <w:ind w:left="3600" w:hanging="360"/>
      </w:pPr>
      <w:rPr>
        <w:rFonts w:ascii="Arial" w:hAnsi="Arial" w:hint="default"/>
      </w:rPr>
    </w:lvl>
    <w:lvl w:ilvl="5" w:tplc="B73E7492" w:tentative="1">
      <w:start w:val="1"/>
      <w:numFmt w:val="bullet"/>
      <w:lvlText w:val="•"/>
      <w:lvlJc w:val="left"/>
      <w:pPr>
        <w:tabs>
          <w:tab w:val="num" w:pos="4320"/>
        </w:tabs>
        <w:ind w:left="4320" w:hanging="360"/>
      </w:pPr>
      <w:rPr>
        <w:rFonts w:ascii="Arial" w:hAnsi="Arial" w:hint="default"/>
      </w:rPr>
    </w:lvl>
    <w:lvl w:ilvl="6" w:tplc="71400B3A" w:tentative="1">
      <w:start w:val="1"/>
      <w:numFmt w:val="bullet"/>
      <w:lvlText w:val="•"/>
      <w:lvlJc w:val="left"/>
      <w:pPr>
        <w:tabs>
          <w:tab w:val="num" w:pos="5040"/>
        </w:tabs>
        <w:ind w:left="5040" w:hanging="360"/>
      </w:pPr>
      <w:rPr>
        <w:rFonts w:ascii="Arial" w:hAnsi="Arial" w:hint="default"/>
      </w:rPr>
    </w:lvl>
    <w:lvl w:ilvl="7" w:tplc="213A10DE" w:tentative="1">
      <w:start w:val="1"/>
      <w:numFmt w:val="bullet"/>
      <w:lvlText w:val="•"/>
      <w:lvlJc w:val="left"/>
      <w:pPr>
        <w:tabs>
          <w:tab w:val="num" w:pos="5760"/>
        </w:tabs>
        <w:ind w:left="5760" w:hanging="360"/>
      </w:pPr>
      <w:rPr>
        <w:rFonts w:ascii="Arial" w:hAnsi="Arial" w:hint="default"/>
      </w:rPr>
    </w:lvl>
    <w:lvl w:ilvl="8" w:tplc="9BF80E70"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5"/>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211C"/>
    <w:rsid w:val="00262175"/>
    <w:rsid w:val="002921BD"/>
    <w:rsid w:val="00352020"/>
    <w:rsid w:val="005877CD"/>
    <w:rsid w:val="00614FE1"/>
    <w:rsid w:val="00665615"/>
    <w:rsid w:val="00774589"/>
    <w:rsid w:val="007C0129"/>
    <w:rsid w:val="007E4612"/>
    <w:rsid w:val="00810D97"/>
    <w:rsid w:val="008513C5"/>
    <w:rsid w:val="008729BC"/>
    <w:rsid w:val="00976545"/>
    <w:rsid w:val="00AA04E3"/>
    <w:rsid w:val="00B6211C"/>
    <w:rsid w:val="00BF4CF3"/>
    <w:rsid w:val="00C13A74"/>
    <w:rsid w:val="00D86FF2"/>
    <w:rsid w:val="00E24965"/>
    <w:rsid w:val="00F0565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73CC33EE"/>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513C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6570290">
      <w:bodyDiv w:val="1"/>
      <w:marLeft w:val="0"/>
      <w:marRight w:val="0"/>
      <w:marTop w:val="0"/>
      <w:marBottom w:val="0"/>
      <w:divBdr>
        <w:top w:val="none" w:sz="0" w:space="0" w:color="auto"/>
        <w:left w:val="none" w:sz="0" w:space="0" w:color="auto"/>
        <w:bottom w:val="none" w:sz="0" w:space="0" w:color="auto"/>
        <w:right w:val="none" w:sz="0" w:space="0" w:color="auto"/>
      </w:divBdr>
    </w:div>
    <w:div w:id="1791240531">
      <w:bodyDiv w:val="1"/>
      <w:marLeft w:val="0"/>
      <w:marRight w:val="0"/>
      <w:marTop w:val="0"/>
      <w:marBottom w:val="0"/>
      <w:divBdr>
        <w:top w:val="none" w:sz="0" w:space="0" w:color="auto"/>
        <w:left w:val="none" w:sz="0" w:space="0" w:color="auto"/>
        <w:bottom w:val="none" w:sz="0" w:space="0" w:color="auto"/>
        <w:right w:val="none" w:sz="0" w:space="0" w:color="auto"/>
      </w:divBdr>
      <w:divsChild>
        <w:div w:id="774323270">
          <w:marLeft w:val="360"/>
          <w:marRight w:val="0"/>
          <w:marTop w:val="20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s://www.hra.nhs.uk/planning-and-improving-research/policies-standards-legislation/mental-capacity-act/" TargetMode="External"/><Relationship Id="rId6" Type="http://schemas.openxmlformats.org/officeDocument/2006/relationships/hyperlink" Target="file:///Users/u1670335/Downloads/informed-consent-in-ctimps.pdf"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833</Words>
  <Characters>4752</Characters>
  <Application>Microsoft Macintosh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Kirstie Shearman</dc:creator>
  <cp:keywords/>
  <dc:description/>
  <cp:lastModifiedBy>Microsoft Office User</cp:lastModifiedBy>
  <cp:revision>2</cp:revision>
  <dcterms:created xsi:type="dcterms:W3CDTF">2018-03-12T12:14:00Z</dcterms:created>
  <dcterms:modified xsi:type="dcterms:W3CDTF">2018-03-12T12:14:00Z</dcterms:modified>
</cp:coreProperties>
</file>