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BD20C1" w14:textId="7E964F13" w:rsidR="00553567" w:rsidRPr="003249D7" w:rsidRDefault="00553567" w:rsidP="003249D7">
      <w:pPr>
        <w:jc w:val="center"/>
        <w:rPr>
          <w:b/>
          <w:u w:val="single"/>
        </w:rPr>
      </w:pPr>
      <w:bookmarkStart w:id="0" w:name="_GoBack"/>
      <w:bookmarkEnd w:id="0"/>
      <w:r w:rsidRPr="003249D7">
        <w:rPr>
          <w:b/>
          <w:u w:val="single"/>
        </w:rPr>
        <w:t>Research Integrity 10</w:t>
      </w:r>
      <w:r w:rsidRPr="003249D7">
        <w:rPr>
          <w:b/>
          <w:u w:val="single"/>
          <w:vertAlign w:val="superscript"/>
        </w:rPr>
        <w:t>th</w:t>
      </w:r>
      <w:r w:rsidRPr="003249D7">
        <w:rPr>
          <w:b/>
          <w:u w:val="single"/>
        </w:rPr>
        <w:t xml:space="preserve"> December 2018</w:t>
      </w:r>
    </w:p>
    <w:p w14:paraId="67649A30" w14:textId="197C213F" w:rsidR="00553567" w:rsidRPr="003249D7" w:rsidRDefault="00553567">
      <w:pPr>
        <w:rPr>
          <w:b/>
        </w:rPr>
      </w:pPr>
    </w:p>
    <w:p w14:paraId="4A142063" w14:textId="6CAF0ED2" w:rsidR="00553567" w:rsidRPr="003249D7" w:rsidRDefault="00553567">
      <w:pPr>
        <w:rPr>
          <w:b/>
          <w:i/>
        </w:rPr>
      </w:pPr>
      <w:r w:rsidRPr="003249D7">
        <w:rPr>
          <w:b/>
          <w:i/>
        </w:rPr>
        <w:t>Scenario 1</w:t>
      </w:r>
    </w:p>
    <w:p w14:paraId="12D887D3" w14:textId="17DF751C" w:rsidR="00553567" w:rsidRDefault="00553567"/>
    <w:p w14:paraId="5EC0AA7E" w14:textId="77777777" w:rsidR="0060227F" w:rsidRPr="00553567" w:rsidRDefault="000F31BD" w:rsidP="00553567">
      <w:r w:rsidRPr="00553567">
        <w:t xml:space="preserve">Two research studies are being conducted with the same research population. One is a big, multi-site project, the other is a smaller PhD project. Both projects are overseen by the same Chief Investigator. </w:t>
      </w:r>
    </w:p>
    <w:p w14:paraId="295A229A" w14:textId="77777777" w:rsidR="00553567" w:rsidRDefault="00553567" w:rsidP="00553567"/>
    <w:p w14:paraId="20598089" w14:textId="4DBEBCB4" w:rsidR="0060227F" w:rsidRPr="00553567" w:rsidRDefault="000F31BD" w:rsidP="00553567">
      <w:r w:rsidRPr="00553567">
        <w:t xml:space="preserve">The PhD student has generously helped out with the big study, and in return has been permitted to approach participants in that study to see if they are interested in taking part in the PhD research. Both studies involve taking baseline measurements from participants, of things like height and weight. Researchers on the large study have done this for every participant, but the PhD student (for reasons unknown) has lots of missing data. </w:t>
      </w:r>
    </w:p>
    <w:p w14:paraId="2D0B3E48" w14:textId="77777777" w:rsidR="00553567" w:rsidRDefault="00553567" w:rsidP="00553567"/>
    <w:p w14:paraId="24A4DCAA" w14:textId="01EE464A" w:rsidR="0060227F" w:rsidRPr="00553567" w:rsidRDefault="000F31BD" w:rsidP="00553567">
      <w:r w:rsidRPr="00553567">
        <w:t>Given that the large study has all the data that is needed to fill in the student’s missing data, the PhD student asks if they can have access to this in order to fill in the blanks. The researcher on the large project is unsure what to do, as they know that they do not have consent to share the information, but doesn’t want to get a very helpful student in trouble with their supervisor. The researcher suggests checking with the Chief Investigator (also the student’s supervisor), at which point the PhD student looks worried, and suggests that they just leave it.</w:t>
      </w:r>
    </w:p>
    <w:p w14:paraId="729C6346" w14:textId="236108E2" w:rsidR="00553567" w:rsidRDefault="00553567"/>
    <w:p w14:paraId="5C9E7D79" w14:textId="27B65D1F" w:rsidR="00553567" w:rsidRPr="003249D7" w:rsidRDefault="00553567">
      <w:pPr>
        <w:rPr>
          <w:b/>
          <w:i/>
        </w:rPr>
      </w:pPr>
      <w:r w:rsidRPr="003249D7">
        <w:rPr>
          <w:b/>
          <w:i/>
        </w:rPr>
        <w:t>Discussion</w:t>
      </w:r>
    </w:p>
    <w:p w14:paraId="7D48462E" w14:textId="56BA8342" w:rsidR="00553567" w:rsidRDefault="00553567"/>
    <w:p w14:paraId="67A61564" w14:textId="72E649C8" w:rsidR="00C42802" w:rsidRDefault="00553567" w:rsidP="00553567">
      <w:r>
        <w:t xml:space="preserve">Firstly, we wondered why participants would need the baseline measurements taken twice. </w:t>
      </w:r>
      <w:r w:rsidR="00C42802">
        <w:t xml:space="preserve">We discussed the possibility that the baseline measurements might </w:t>
      </w:r>
      <w:r w:rsidR="00C42802">
        <w:lastRenderedPageBreak/>
        <w:t xml:space="preserve">have been required at different times for the two studies, and while height wouldn’t change, data such as weight could vary and so using one set of data might not have been possible. If this was not the case and the measurements would have been accurate at the same time for both studies, then </w:t>
      </w:r>
      <w:r>
        <w:t xml:space="preserve">it might have been sensible to have an arrangement in place from the beginning that would facilitate data sharing. </w:t>
      </w:r>
      <w:r w:rsidR="00C42802">
        <w:t xml:space="preserve">Taking measurements once only </w:t>
      </w:r>
      <w:r>
        <w:t xml:space="preserve">would also minimise the burden of participation for patients. </w:t>
      </w:r>
    </w:p>
    <w:p w14:paraId="3FCA548E" w14:textId="501A97A3" w:rsidR="00C42802" w:rsidRDefault="00C42802"/>
    <w:p w14:paraId="27383011" w14:textId="66797D00" w:rsidR="00C42802" w:rsidRDefault="00C42802">
      <w:r>
        <w:t xml:space="preserve">This scenario was made more complex by the relationship that the PhD student had with the researcher. As the student had previously been very helpful, the researcher might have felt a personal obligation to help them out by providing access to the data – we thought it was unlikely anyone would ever find out and so the researcher may feel they should help the student cover their mistake. We agreed however that this would not actually help the student, and instead the researcher should encourage them to be open with the CI about the mistake made in order to find a way forward. It was also agreed that the researcher had legal and ethical obligations to keep the participants’ data secure regardless of any relationship with the student. </w:t>
      </w:r>
    </w:p>
    <w:p w14:paraId="7D50D89F" w14:textId="0AC46477" w:rsidR="00553567" w:rsidRDefault="00553567"/>
    <w:p w14:paraId="0BDA78E7" w14:textId="0CA323CC" w:rsidR="003249D7" w:rsidRDefault="003249D7" w:rsidP="003249D7">
      <w:r>
        <w:t>We decided that as the participants had only consented for the data collected to be used in the large study, without further consent the PhD student could not use it. We considered ways that the student could gain access to the data – it might be appropriate to submit an amendment to the ethics committee to reconsent the patients so that the data collected could be used instead of taking more measurements. It was agreed that ultimately the data should not be used unless participants were reconsented.</w:t>
      </w:r>
    </w:p>
    <w:p w14:paraId="2B4EDF55" w14:textId="69A0EF9F" w:rsidR="003249D7" w:rsidRDefault="003249D7"/>
    <w:p w14:paraId="5E158E89" w14:textId="3184B26B" w:rsidR="003249D7" w:rsidRDefault="003249D7">
      <w:pPr>
        <w:rPr>
          <w:b/>
          <w:i/>
        </w:rPr>
      </w:pPr>
      <w:r>
        <w:rPr>
          <w:b/>
          <w:i/>
        </w:rPr>
        <w:t>Scenario 2</w:t>
      </w:r>
    </w:p>
    <w:p w14:paraId="4ABD8F55" w14:textId="65308F43" w:rsidR="003249D7" w:rsidRDefault="003249D7">
      <w:pPr>
        <w:rPr>
          <w:b/>
          <w:i/>
        </w:rPr>
      </w:pPr>
    </w:p>
    <w:p w14:paraId="0F111C20" w14:textId="73057EAE" w:rsidR="0060227F" w:rsidRPr="003249D7" w:rsidRDefault="000F31BD" w:rsidP="003249D7">
      <w:r w:rsidRPr="003249D7">
        <w:t xml:space="preserve">You send a transcript of a telephone interview to a participant for them to agree. The participant phones you to say that they wish to change some of the things they said, well most of it actually. What should you do? </w:t>
      </w:r>
    </w:p>
    <w:p w14:paraId="34D9DF1C" w14:textId="2550FF6E" w:rsidR="003249D7" w:rsidRPr="003249D7" w:rsidRDefault="003249D7" w:rsidP="003249D7"/>
    <w:p w14:paraId="7404DFFC" w14:textId="77777777" w:rsidR="003249D7" w:rsidRDefault="000F31BD">
      <w:r w:rsidRPr="003249D7">
        <w:t>You send all of your interview participants a summary of your coding and ask for comments. A few email back ‘fine’ (or the like) but one objects to the summary saying that her views have either been distorted or are absent. What should you do?</w:t>
      </w:r>
    </w:p>
    <w:p w14:paraId="1533BA65" w14:textId="77777777" w:rsidR="003249D7" w:rsidRDefault="003249D7">
      <w:pPr>
        <w:rPr>
          <w:b/>
          <w:i/>
        </w:rPr>
      </w:pPr>
    </w:p>
    <w:p w14:paraId="39F4B47C" w14:textId="7C82810A" w:rsidR="003249D7" w:rsidRDefault="003249D7">
      <w:pPr>
        <w:rPr>
          <w:b/>
          <w:i/>
        </w:rPr>
      </w:pPr>
      <w:r>
        <w:rPr>
          <w:b/>
          <w:i/>
        </w:rPr>
        <w:t xml:space="preserve">Discussion </w:t>
      </w:r>
    </w:p>
    <w:p w14:paraId="359D605C" w14:textId="7186697C" w:rsidR="003249D7" w:rsidRDefault="003249D7"/>
    <w:p w14:paraId="4C899F80" w14:textId="708A7EF6" w:rsidR="003249D7" w:rsidRDefault="003249D7">
      <w:r>
        <w:t xml:space="preserve">For the first part of this scenario we considered ethical issues relating to member validation – we agreed that if participants would not be allowed to change the transcript afterwards, there would be little point including this process in the study protocol. If member validation was included and participants were then not allowed to make changes, this would not be fair.  On the other hand, allowing changes to the transcript might pick up a different kind of data; participants might dislike how their views had come across in hindsight. If participants were allowed to then change most of their interview, the data included might be what the participant </w:t>
      </w:r>
      <w:r>
        <w:rPr>
          <w:i/>
        </w:rPr>
        <w:t xml:space="preserve">wants </w:t>
      </w:r>
      <w:r>
        <w:t xml:space="preserve">people to think their view is instead of what they </w:t>
      </w:r>
      <w:r>
        <w:rPr>
          <w:i/>
        </w:rPr>
        <w:t>actually</w:t>
      </w:r>
      <w:r>
        <w:t xml:space="preserve"> think. We agreed that it might depend on the type of research and that if a considered view was the data needed then it might be better to provide a topic guide in advance for the participants to think about. We agreed that if a participant did want to change parts of their interview then it would be appropriate to include a footnote explaining this in the write up. </w:t>
      </w:r>
    </w:p>
    <w:p w14:paraId="0C359077" w14:textId="7DF3EAAF" w:rsidR="003249D7" w:rsidRDefault="003249D7"/>
    <w:p w14:paraId="117F4A64" w14:textId="4DF33392" w:rsidR="003249D7" w:rsidRPr="003249D7" w:rsidRDefault="000F31BD">
      <w:r>
        <w:lastRenderedPageBreak/>
        <w:t xml:space="preserve">When discussing the second part of the scenario we talked about the possibility that some participants would be more outspoken than others and keen to have their views included in the findings, even when their responses are an anomaly overall. In this case it might be sensible to send the transcript with codes to the participant to show them how their interview was interpreted in case they disagree. This suggestion brought us to a discussion around whose interpretation of the interview was most important – we considered that generally it is the researcher’s interpretation of the data that makes up most of research work, and this is stated clearly in methods sections of protocols and papers. The participant should be advised that the coding includes general trends of all participant interviews and so theirs may not have been included. In this case, it would potentially be useful to have a third coder analyse the contentious interview in order to agree an interpretation. </w:t>
      </w:r>
    </w:p>
    <w:sectPr w:rsidR="003249D7" w:rsidRPr="003249D7" w:rsidSect="00F237BD">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C710D"/>
    <w:multiLevelType w:val="hybridMultilevel"/>
    <w:tmpl w:val="7C1A4FE6"/>
    <w:lvl w:ilvl="0" w:tplc="7A1262F0">
      <w:start w:val="1"/>
      <w:numFmt w:val="bullet"/>
      <w:lvlText w:val="•"/>
      <w:lvlJc w:val="left"/>
      <w:pPr>
        <w:tabs>
          <w:tab w:val="num" w:pos="720"/>
        </w:tabs>
        <w:ind w:left="720" w:hanging="360"/>
      </w:pPr>
      <w:rPr>
        <w:rFonts w:ascii="Arial" w:hAnsi="Arial" w:hint="default"/>
      </w:rPr>
    </w:lvl>
    <w:lvl w:ilvl="1" w:tplc="0DC21BF4" w:tentative="1">
      <w:start w:val="1"/>
      <w:numFmt w:val="bullet"/>
      <w:lvlText w:val="•"/>
      <w:lvlJc w:val="left"/>
      <w:pPr>
        <w:tabs>
          <w:tab w:val="num" w:pos="1440"/>
        </w:tabs>
        <w:ind w:left="1440" w:hanging="360"/>
      </w:pPr>
      <w:rPr>
        <w:rFonts w:ascii="Arial" w:hAnsi="Arial" w:hint="default"/>
      </w:rPr>
    </w:lvl>
    <w:lvl w:ilvl="2" w:tplc="A288C708" w:tentative="1">
      <w:start w:val="1"/>
      <w:numFmt w:val="bullet"/>
      <w:lvlText w:val="•"/>
      <w:lvlJc w:val="left"/>
      <w:pPr>
        <w:tabs>
          <w:tab w:val="num" w:pos="2160"/>
        </w:tabs>
        <w:ind w:left="2160" w:hanging="360"/>
      </w:pPr>
      <w:rPr>
        <w:rFonts w:ascii="Arial" w:hAnsi="Arial" w:hint="default"/>
      </w:rPr>
    </w:lvl>
    <w:lvl w:ilvl="3" w:tplc="2F7C2076" w:tentative="1">
      <w:start w:val="1"/>
      <w:numFmt w:val="bullet"/>
      <w:lvlText w:val="•"/>
      <w:lvlJc w:val="left"/>
      <w:pPr>
        <w:tabs>
          <w:tab w:val="num" w:pos="2880"/>
        </w:tabs>
        <w:ind w:left="2880" w:hanging="360"/>
      </w:pPr>
      <w:rPr>
        <w:rFonts w:ascii="Arial" w:hAnsi="Arial" w:hint="default"/>
      </w:rPr>
    </w:lvl>
    <w:lvl w:ilvl="4" w:tplc="C9402518" w:tentative="1">
      <w:start w:val="1"/>
      <w:numFmt w:val="bullet"/>
      <w:lvlText w:val="•"/>
      <w:lvlJc w:val="left"/>
      <w:pPr>
        <w:tabs>
          <w:tab w:val="num" w:pos="3600"/>
        </w:tabs>
        <w:ind w:left="3600" w:hanging="360"/>
      </w:pPr>
      <w:rPr>
        <w:rFonts w:ascii="Arial" w:hAnsi="Arial" w:hint="default"/>
      </w:rPr>
    </w:lvl>
    <w:lvl w:ilvl="5" w:tplc="609CB8A8" w:tentative="1">
      <w:start w:val="1"/>
      <w:numFmt w:val="bullet"/>
      <w:lvlText w:val="•"/>
      <w:lvlJc w:val="left"/>
      <w:pPr>
        <w:tabs>
          <w:tab w:val="num" w:pos="4320"/>
        </w:tabs>
        <w:ind w:left="4320" w:hanging="360"/>
      </w:pPr>
      <w:rPr>
        <w:rFonts w:ascii="Arial" w:hAnsi="Arial" w:hint="default"/>
      </w:rPr>
    </w:lvl>
    <w:lvl w:ilvl="6" w:tplc="74EE3DA6" w:tentative="1">
      <w:start w:val="1"/>
      <w:numFmt w:val="bullet"/>
      <w:lvlText w:val="•"/>
      <w:lvlJc w:val="left"/>
      <w:pPr>
        <w:tabs>
          <w:tab w:val="num" w:pos="5040"/>
        </w:tabs>
        <w:ind w:left="5040" w:hanging="360"/>
      </w:pPr>
      <w:rPr>
        <w:rFonts w:ascii="Arial" w:hAnsi="Arial" w:hint="default"/>
      </w:rPr>
    </w:lvl>
    <w:lvl w:ilvl="7" w:tplc="7C08BA24" w:tentative="1">
      <w:start w:val="1"/>
      <w:numFmt w:val="bullet"/>
      <w:lvlText w:val="•"/>
      <w:lvlJc w:val="left"/>
      <w:pPr>
        <w:tabs>
          <w:tab w:val="num" w:pos="5760"/>
        </w:tabs>
        <w:ind w:left="5760" w:hanging="360"/>
      </w:pPr>
      <w:rPr>
        <w:rFonts w:ascii="Arial" w:hAnsi="Arial" w:hint="default"/>
      </w:rPr>
    </w:lvl>
    <w:lvl w:ilvl="8" w:tplc="9D1A7238"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1D71B14"/>
    <w:multiLevelType w:val="hybridMultilevel"/>
    <w:tmpl w:val="EBE8E808"/>
    <w:lvl w:ilvl="0" w:tplc="156E7BCA">
      <w:start w:val="1"/>
      <w:numFmt w:val="bullet"/>
      <w:lvlText w:val="•"/>
      <w:lvlJc w:val="left"/>
      <w:pPr>
        <w:tabs>
          <w:tab w:val="num" w:pos="720"/>
        </w:tabs>
        <w:ind w:left="720" w:hanging="360"/>
      </w:pPr>
      <w:rPr>
        <w:rFonts w:ascii="Arial" w:hAnsi="Arial" w:hint="default"/>
      </w:rPr>
    </w:lvl>
    <w:lvl w:ilvl="1" w:tplc="6442CA1A" w:tentative="1">
      <w:start w:val="1"/>
      <w:numFmt w:val="bullet"/>
      <w:lvlText w:val="•"/>
      <w:lvlJc w:val="left"/>
      <w:pPr>
        <w:tabs>
          <w:tab w:val="num" w:pos="1440"/>
        </w:tabs>
        <w:ind w:left="1440" w:hanging="360"/>
      </w:pPr>
      <w:rPr>
        <w:rFonts w:ascii="Arial" w:hAnsi="Arial" w:hint="default"/>
      </w:rPr>
    </w:lvl>
    <w:lvl w:ilvl="2" w:tplc="C510B38E" w:tentative="1">
      <w:start w:val="1"/>
      <w:numFmt w:val="bullet"/>
      <w:lvlText w:val="•"/>
      <w:lvlJc w:val="left"/>
      <w:pPr>
        <w:tabs>
          <w:tab w:val="num" w:pos="2160"/>
        </w:tabs>
        <w:ind w:left="2160" w:hanging="360"/>
      </w:pPr>
      <w:rPr>
        <w:rFonts w:ascii="Arial" w:hAnsi="Arial" w:hint="default"/>
      </w:rPr>
    </w:lvl>
    <w:lvl w:ilvl="3" w:tplc="06F09EC2" w:tentative="1">
      <w:start w:val="1"/>
      <w:numFmt w:val="bullet"/>
      <w:lvlText w:val="•"/>
      <w:lvlJc w:val="left"/>
      <w:pPr>
        <w:tabs>
          <w:tab w:val="num" w:pos="2880"/>
        </w:tabs>
        <w:ind w:left="2880" w:hanging="360"/>
      </w:pPr>
      <w:rPr>
        <w:rFonts w:ascii="Arial" w:hAnsi="Arial" w:hint="default"/>
      </w:rPr>
    </w:lvl>
    <w:lvl w:ilvl="4" w:tplc="F5A0833C" w:tentative="1">
      <w:start w:val="1"/>
      <w:numFmt w:val="bullet"/>
      <w:lvlText w:val="•"/>
      <w:lvlJc w:val="left"/>
      <w:pPr>
        <w:tabs>
          <w:tab w:val="num" w:pos="3600"/>
        </w:tabs>
        <w:ind w:left="3600" w:hanging="360"/>
      </w:pPr>
      <w:rPr>
        <w:rFonts w:ascii="Arial" w:hAnsi="Arial" w:hint="default"/>
      </w:rPr>
    </w:lvl>
    <w:lvl w:ilvl="5" w:tplc="13226C54" w:tentative="1">
      <w:start w:val="1"/>
      <w:numFmt w:val="bullet"/>
      <w:lvlText w:val="•"/>
      <w:lvlJc w:val="left"/>
      <w:pPr>
        <w:tabs>
          <w:tab w:val="num" w:pos="4320"/>
        </w:tabs>
        <w:ind w:left="4320" w:hanging="360"/>
      </w:pPr>
      <w:rPr>
        <w:rFonts w:ascii="Arial" w:hAnsi="Arial" w:hint="default"/>
      </w:rPr>
    </w:lvl>
    <w:lvl w:ilvl="6" w:tplc="47F6FED2" w:tentative="1">
      <w:start w:val="1"/>
      <w:numFmt w:val="bullet"/>
      <w:lvlText w:val="•"/>
      <w:lvlJc w:val="left"/>
      <w:pPr>
        <w:tabs>
          <w:tab w:val="num" w:pos="5040"/>
        </w:tabs>
        <w:ind w:left="5040" w:hanging="360"/>
      </w:pPr>
      <w:rPr>
        <w:rFonts w:ascii="Arial" w:hAnsi="Arial" w:hint="default"/>
      </w:rPr>
    </w:lvl>
    <w:lvl w:ilvl="7" w:tplc="557002EE" w:tentative="1">
      <w:start w:val="1"/>
      <w:numFmt w:val="bullet"/>
      <w:lvlText w:val="•"/>
      <w:lvlJc w:val="left"/>
      <w:pPr>
        <w:tabs>
          <w:tab w:val="num" w:pos="5760"/>
        </w:tabs>
        <w:ind w:left="5760" w:hanging="360"/>
      </w:pPr>
      <w:rPr>
        <w:rFonts w:ascii="Arial" w:hAnsi="Arial" w:hint="default"/>
      </w:rPr>
    </w:lvl>
    <w:lvl w:ilvl="8" w:tplc="E7F2CC34"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1F5F"/>
    <w:rsid w:val="0004753A"/>
    <w:rsid w:val="000F31BD"/>
    <w:rsid w:val="003249D7"/>
    <w:rsid w:val="00553567"/>
    <w:rsid w:val="0060227F"/>
    <w:rsid w:val="006049E9"/>
    <w:rsid w:val="00677517"/>
    <w:rsid w:val="008B5B7D"/>
    <w:rsid w:val="009C4D50"/>
    <w:rsid w:val="00C42802"/>
    <w:rsid w:val="00C848B8"/>
    <w:rsid w:val="00CF4D90"/>
    <w:rsid w:val="00D51F5F"/>
    <w:rsid w:val="00F237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39F664"/>
  <w15:chartTrackingRefBased/>
  <w15:docId w15:val="{38D186E7-AA00-114B-A864-0CB4A07191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493781">
      <w:bodyDiv w:val="1"/>
      <w:marLeft w:val="0"/>
      <w:marRight w:val="0"/>
      <w:marTop w:val="0"/>
      <w:marBottom w:val="0"/>
      <w:divBdr>
        <w:top w:val="none" w:sz="0" w:space="0" w:color="auto"/>
        <w:left w:val="none" w:sz="0" w:space="0" w:color="auto"/>
        <w:bottom w:val="none" w:sz="0" w:space="0" w:color="auto"/>
        <w:right w:val="none" w:sz="0" w:space="0" w:color="auto"/>
      </w:divBdr>
      <w:divsChild>
        <w:div w:id="1152407983">
          <w:marLeft w:val="547"/>
          <w:marRight w:val="0"/>
          <w:marTop w:val="86"/>
          <w:marBottom w:val="0"/>
          <w:divBdr>
            <w:top w:val="none" w:sz="0" w:space="0" w:color="auto"/>
            <w:left w:val="none" w:sz="0" w:space="0" w:color="auto"/>
            <w:bottom w:val="none" w:sz="0" w:space="0" w:color="auto"/>
            <w:right w:val="none" w:sz="0" w:space="0" w:color="auto"/>
          </w:divBdr>
        </w:div>
        <w:div w:id="1614551991">
          <w:marLeft w:val="547"/>
          <w:marRight w:val="0"/>
          <w:marTop w:val="86"/>
          <w:marBottom w:val="0"/>
          <w:divBdr>
            <w:top w:val="none" w:sz="0" w:space="0" w:color="auto"/>
            <w:left w:val="none" w:sz="0" w:space="0" w:color="auto"/>
            <w:bottom w:val="none" w:sz="0" w:space="0" w:color="auto"/>
            <w:right w:val="none" w:sz="0" w:space="0" w:color="auto"/>
          </w:divBdr>
        </w:div>
        <w:div w:id="310404193">
          <w:marLeft w:val="547"/>
          <w:marRight w:val="0"/>
          <w:marTop w:val="86"/>
          <w:marBottom w:val="0"/>
          <w:divBdr>
            <w:top w:val="none" w:sz="0" w:space="0" w:color="auto"/>
            <w:left w:val="none" w:sz="0" w:space="0" w:color="auto"/>
            <w:bottom w:val="none" w:sz="0" w:space="0" w:color="auto"/>
            <w:right w:val="none" w:sz="0" w:space="0" w:color="auto"/>
          </w:divBdr>
        </w:div>
      </w:divsChild>
    </w:div>
    <w:div w:id="1351103879">
      <w:bodyDiv w:val="1"/>
      <w:marLeft w:val="0"/>
      <w:marRight w:val="0"/>
      <w:marTop w:val="0"/>
      <w:marBottom w:val="0"/>
      <w:divBdr>
        <w:top w:val="none" w:sz="0" w:space="0" w:color="auto"/>
        <w:left w:val="none" w:sz="0" w:space="0" w:color="auto"/>
        <w:bottom w:val="none" w:sz="0" w:space="0" w:color="auto"/>
        <w:right w:val="none" w:sz="0" w:space="0" w:color="auto"/>
      </w:divBdr>
      <w:divsChild>
        <w:div w:id="1497379473">
          <w:marLeft w:val="547"/>
          <w:marRight w:val="0"/>
          <w:marTop w:val="130"/>
          <w:marBottom w:val="0"/>
          <w:divBdr>
            <w:top w:val="none" w:sz="0" w:space="0" w:color="auto"/>
            <w:left w:val="none" w:sz="0" w:space="0" w:color="auto"/>
            <w:bottom w:val="none" w:sz="0" w:space="0" w:color="auto"/>
            <w:right w:val="none" w:sz="0" w:space="0" w:color="auto"/>
          </w:divBdr>
        </w:div>
        <w:div w:id="1008751277">
          <w:marLeft w:val="547"/>
          <w:marRight w:val="0"/>
          <w:marTop w:val="13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A2597BEC</Template>
  <TotalTime>0</TotalTime>
  <Pages>2</Pages>
  <Words>859</Words>
  <Characters>4902</Characters>
  <Application>Microsoft Office Word</Application>
  <DocSecurity>4</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Shearman, Kirstie</dc:creator>
  <cp:keywords/>
  <dc:description/>
  <cp:lastModifiedBy>Moorlock, Gregory</cp:lastModifiedBy>
  <cp:revision>2</cp:revision>
  <dcterms:created xsi:type="dcterms:W3CDTF">2019-02-01T10:42:00Z</dcterms:created>
  <dcterms:modified xsi:type="dcterms:W3CDTF">2019-02-01T10:42:00Z</dcterms:modified>
</cp:coreProperties>
</file>