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061A" w:rsidRDefault="0046061A" w:rsidP="0046061A">
      <w:pPr>
        <w:rPr>
          <w:rFonts w:ascii="Calibri" w:hAnsi="Calibri"/>
          <w:b/>
          <w:bCs/>
          <w:color w:val="1E4E79"/>
          <w:sz w:val="32"/>
          <w:szCs w:val="32"/>
        </w:rPr>
      </w:pPr>
      <w:r>
        <w:rPr>
          <w:rFonts w:ascii="Calibri" w:hAnsi="Calibri"/>
          <w:b/>
          <w:bCs/>
          <w:color w:val="1E4E79"/>
          <w:sz w:val="32"/>
          <w:szCs w:val="32"/>
        </w:rPr>
        <w:t>Title</w:t>
      </w:r>
    </w:p>
    <w:p w:rsidR="0046061A" w:rsidRDefault="0046061A" w:rsidP="0046061A">
      <w:pPr>
        <w:rPr>
          <w:rFonts w:ascii="Calibri" w:hAnsi="Calibri"/>
          <w:sz w:val="22"/>
          <w:szCs w:val="22"/>
        </w:rPr>
      </w:pPr>
      <w:r>
        <w:rPr>
          <w:rFonts w:ascii="Calibri" w:hAnsi="Calibri"/>
          <w:sz w:val="22"/>
          <w:szCs w:val="22"/>
        </w:rPr>
        <w:t>Care pathways in Traumatic Brain Injury: a review of case reports</w:t>
      </w:r>
    </w:p>
    <w:p w:rsidR="0046061A" w:rsidRDefault="0046061A" w:rsidP="0046061A">
      <w:pPr>
        <w:rPr>
          <w:rFonts w:ascii="Calibri" w:hAnsi="Calibri"/>
          <w:sz w:val="22"/>
          <w:szCs w:val="22"/>
        </w:rPr>
      </w:pPr>
      <w:r>
        <w:rPr>
          <w:rFonts w:ascii="Calibri" w:hAnsi="Calibri"/>
          <w:sz w:val="22"/>
          <w:szCs w:val="22"/>
        </w:rPr>
        <w:t> </w:t>
      </w:r>
    </w:p>
    <w:p w:rsidR="0046061A" w:rsidRDefault="0046061A" w:rsidP="0046061A">
      <w:pPr>
        <w:rPr>
          <w:rFonts w:ascii="Calibri" w:hAnsi="Calibri"/>
          <w:b/>
          <w:bCs/>
          <w:color w:val="1E4E79"/>
          <w:sz w:val="32"/>
          <w:szCs w:val="32"/>
        </w:rPr>
      </w:pPr>
      <w:r>
        <w:rPr>
          <w:rFonts w:ascii="Calibri" w:hAnsi="Calibri"/>
          <w:b/>
          <w:bCs/>
          <w:color w:val="1E4E79"/>
          <w:sz w:val="32"/>
          <w:szCs w:val="32"/>
        </w:rPr>
        <w:t>Abstract</w:t>
      </w:r>
    </w:p>
    <w:p w:rsidR="0046061A" w:rsidRDefault="0046061A" w:rsidP="0046061A">
      <w:pPr>
        <w:rPr>
          <w:rFonts w:ascii="Calibri" w:hAnsi="Calibri"/>
          <w:sz w:val="22"/>
          <w:szCs w:val="22"/>
        </w:rPr>
      </w:pPr>
      <w:r>
        <w:rPr>
          <w:rFonts w:ascii="Calibri" w:hAnsi="Calibri"/>
          <w:b/>
          <w:bCs/>
          <w:sz w:val="22"/>
          <w:szCs w:val="22"/>
        </w:rPr>
        <w:t>Background</w:t>
      </w:r>
      <w:r>
        <w:rPr>
          <w:rFonts w:ascii="Calibri" w:hAnsi="Calibri"/>
          <w:sz w:val="22"/>
          <w:szCs w:val="22"/>
        </w:rPr>
        <w:t>: Traumatic Brain Injury (TBI) is a major public</w:t>
      </w:r>
      <w:bookmarkStart w:id="0" w:name="_GoBack"/>
      <w:bookmarkEnd w:id="0"/>
      <w:r>
        <w:rPr>
          <w:rFonts w:ascii="Calibri" w:hAnsi="Calibri"/>
          <w:sz w:val="22"/>
          <w:szCs w:val="22"/>
        </w:rPr>
        <w:t xml:space="preserve"> health problem worldwide, and affects over 1 million people each year in the UK. While historically considered a discrete self-limiting injury, particularly in its milder form, scientific consensus is now moving towards the appreciation of TBI as a long-term condition. While mild TBI usually resolves within 3 to 6 months, a non-negligible minority of patients experience Post-Concussive Syndrome (PCS): a group of non-specific long-term sequelae that are variable in both nature and severity. Current guidelines for the management of TBI are heavily focused on acute care, and provide little recommendations for medium to long-term rehabilitation. As a consequence, a large group of patients are not able to access the care that could facilitate better management and decreased recovery time.</w:t>
      </w:r>
    </w:p>
    <w:p w:rsidR="0046061A" w:rsidRDefault="0046061A" w:rsidP="0046061A">
      <w:pPr>
        <w:rPr>
          <w:rFonts w:ascii="Calibri" w:hAnsi="Calibri"/>
          <w:sz w:val="22"/>
          <w:szCs w:val="22"/>
        </w:rPr>
      </w:pPr>
      <w:r>
        <w:rPr>
          <w:rFonts w:ascii="Calibri" w:hAnsi="Calibri"/>
          <w:b/>
          <w:bCs/>
          <w:sz w:val="22"/>
          <w:szCs w:val="22"/>
        </w:rPr>
        <w:t>Aim</w:t>
      </w:r>
      <w:r>
        <w:rPr>
          <w:rFonts w:ascii="Calibri" w:hAnsi="Calibri"/>
          <w:sz w:val="22"/>
          <w:szCs w:val="22"/>
        </w:rPr>
        <w:t>: The aim of this review is to investigate care pathways of patients with TBI using underutilized types of qualitative papers.</w:t>
      </w:r>
    </w:p>
    <w:p w:rsidR="0046061A" w:rsidRDefault="0046061A" w:rsidP="0046061A">
      <w:pPr>
        <w:rPr>
          <w:rFonts w:ascii="Calibri" w:hAnsi="Calibri"/>
          <w:sz w:val="22"/>
          <w:szCs w:val="22"/>
        </w:rPr>
      </w:pPr>
      <w:r>
        <w:rPr>
          <w:rFonts w:ascii="Calibri" w:hAnsi="Calibri"/>
          <w:b/>
          <w:bCs/>
          <w:sz w:val="22"/>
          <w:szCs w:val="22"/>
        </w:rPr>
        <w:t>Methods</w:t>
      </w:r>
      <w:r>
        <w:rPr>
          <w:rFonts w:ascii="Calibri" w:hAnsi="Calibri"/>
          <w:sz w:val="22"/>
          <w:szCs w:val="22"/>
        </w:rPr>
        <w:t>: A scoping review investigating care pathways for patients with PCS following TBI was conducted. Case reports selected for inclusion in the scoping review were identified and analysed using a mixed methods approach, including quantitative investigation of factors categorized in the World Health Organisation International Classification of Function, Disability and Health (ICF), and a qualitative analysis of patients' care pathways.</w:t>
      </w:r>
    </w:p>
    <w:p w:rsidR="0046061A" w:rsidRDefault="0046061A" w:rsidP="0046061A">
      <w:pPr>
        <w:rPr>
          <w:rFonts w:ascii="Calibri" w:hAnsi="Calibri"/>
          <w:sz w:val="22"/>
          <w:szCs w:val="22"/>
        </w:rPr>
      </w:pPr>
      <w:r>
        <w:rPr>
          <w:rFonts w:ascii="Calibri" w:hAnsi="Calibri"/>
          <w:b/>
          <w:bCs/>
          <w:sz w:val="22"/>
          <w:szCs w:val="22"/>
        </w:rPr>
        <w:t>Results</w:t>
      </w:r>
      <w:r>
        <w:rPr>
          <w:rFonts w:ascii="Calibri" w:hAnsi="Calibri"/>
          <w:sz w:val="22"/>
          <w:szCs w:val="22"/>
        </w:rPr>
        <w:t>: Analysis of the case reports using the ICF showed a good representation of reported problems with body functions and affected body structures in both the ICF TBI core set and the rehabilitation core set. By contrast, activity and participation as well as environmental factors were generally poorly reported in case reports. Qualitative pathway analysis generally showed non-linear progression through the Royal College of Physicians' "slinky model" of rehabilitation, with most of re-accessing of services occurring in the chronic phase of TBI care.</w:t>
      </w:r>
    </w:p>
    <w:p w:rsidR="0046061A" w:rsidRDefault="0046061A" w:rsidP="0046061A">
      <w:pPr>
        <w:rPr>
          <w:rFonts w:ascii="Calibri" w:hAnsi="Calibri"/>
          <w:sz w:val="22"/>
          <w:szCs w:val="22"/>
        </w:rPr>
      </w:pPr>
      <w:r>
        <w:rPr>
          <w:rFonts w:ascii="Calibri" w:hAnsi="Calibri"/>
          <w:b/>
          <w:bCs/>
          <w:sz w:val="22"/>
          <w:szCs w:val="22"/>
        </w:rPr>
        <w:t>Discussion</w:t>
      </w:r>
      <w:r>
        <w:rPr>
          <w:rFonts w:ascii="Calibri" w:hAnsi="Calibri"/>
          <w:sz w:val="22"/>
          <w:szCs w:val="22"/>
        </w:rPr>
        <w:t xml:space="preserve">: The good representation of reported symptoms in the ICF TBI and rehabilitation core sets reinforces a strong alignment between functional difficulty identified in case reports of patients with TBI and the general consensus reached through a broader range of empirical evidence. While case reports generally highlight marginal cases, the high match between validated outcome scales and the information provided in these case reports suggests that the issues are common ground, and should be addressed in the care of the larger TBI group. The chaotic non-linear care pathway of patients identified in this review is also in line with evidence of a lack of appropriate rehabilitation and follow-up system for this patient group. This set of case reports does not constitute an appropriate representative sample for patients with TBI, due both to their nature as outlier case descriptions and because of the low sample size. However, they are useful in giving insight into care pathways. Looking at the ICF analysis alongside care pathways showed that functional disorders already recognized in the literature as common </w:t>
      </w:r>
      <w:proofErr w:type="spellStart"/>
      <w:r>
        <w:rPr>
          <w:rFonts w:ascii="Calibri" w:hAnsi="Calibri"/>
          <w:sz w:val="22"/>
          <w:szCs w:val="22"/>
        </w:rPr>
        <w:t>sequalae</w:t>
      </w:r>
      <w:proofErr w:type="spellEnd"/>
      <w:r>
        <w:rPr>
          <w:rFonts w:ascii="Calibri" w:hAnsi="Calibri"/>
          <w:sz w:val="22"/>
          <w:szCs w:val="22"/>
        </w:rPr>
        <w:t xml:space="preserve"> of TBI are largely responsible for patient access to services, and perhaps more importantly for re-access to services. </w:t>
      </w:r>
    </w:p>
    <w:p w:rsidR="0046061A" w:rsidRDefault="0046061A" w:rsidP="0046061A">
      <w:pPr>
        <w:rPr>
          <w:rFonts w:ascii="Calibri" w:hAnsi="Calibri"/>
          <w:sz w:val="22"/>
          <w:szCs w:val="22"/>
        </w:rPr>
      </w:pPr>
      <w:r>
        <w:rPr>
          <w:rFonts w:ascii="Calibri" w:hAnsi="Calibri"/>
          <w:b/>
          <w:bCs/>
          <w:sz w:val="22"/>
          <w:szCs w:val="22"/>
        </w:rPr>
        <w:t>Conclusion</w:t>
      </w:r>
      <w:r>
        <w:rPr>
          <w:rFonts w:ascii="Calibri" w:hAnsi="Calibri"/>
          <w:sz w:val="22"/>
          <w:szCs w:val="22"/>
        </w:rPr>
        <w:t xml:space="preserve">: The paucity of rehabilitation guidelines for TBI has a significant impact on access to care, and is a probable cause of resource and time waste in the management of patients experiencing long-term </w:t>
      </w:r>
      <w:proofErr w:type="spellStart"/>
      <w:r>
        <w:rPr>
          <w:rFonts w:ascii="Calibri" w:hAnsi="Calibri"/>
          <w:sz w:val="22"/>
          <w:szCs w:val="22"/>
        </w:rPr>
        <w:t>sequalae</w:t>
      </w:r>
      <w:proofErr w:type="spellEnd"/>
      <w:r>
        <w:rPr>
          <w:rFonts w:ascii="Calibri" w:hAnsi="Calibri"/>
          <w:sz w:val="22"/>
          <w:szCs w:val="22"/>
        </w:rPr>
        <w:t xml:space="preserve"> from their injury. Further research is needed to identify local and national service provision for the rehabilitation of TBI, as well as clinical decision-making processes for the referral of people with TBI to these services.</w:t>
      </w:r>
    </w:p>
    <w:p w:rsidR="009E2871" w:rsidRDefault="0046061A"/>
    <w:sectPr w:rsidR="009E28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61A"/>
    <w:rsid w:val="0046061A"/>
    <w:rsid w:val="00B14726"/>
    <w:rsid w:val="00DF49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31C684-33F7-40E2-A362-29565C637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061A"/>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486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50D6C471</Template>
  <TotalTime>1</TotalTime>
  <Pages>1</Pages>
  <Words>563</Words>
  <Characters>3210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1</cp:revision>
  <dcterms:created xsi:type="dcterms:W3CDTF">2018-04-20T14:23:00Z</dcterms:created>
  <dcterms:modified xsi:type="dcterms:W3CDTF">2018-04-20T14:24:00Z</dcterms:modified>
</cp:coreProperties>
</file>