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83A" w:rsidRDefault="00F11304" w:rsidP="00DE29BB">
      <w:pPr>
        <w:spacing w:after="0" w:line="240" w:lineRule="auto"/>
        <w:jc w:val="center"/>
        <w:rPr>
          <w:rFonts w:ascii="Arial" w:eastAsia="Times New Roman" w:hAnsi="Arial" w:cs="Arial"/>
          <w:b/>
          <w:lang w:val="en-US"/>
        </w:rPr>
      </w:pPr>
      <w:bookmarkStart w:id="0" w:name="_Toc496728473"/>
      <w:r w:rsidRPr="00EA51CD">
        <w:rPr>
          <w:rFonts w:ascii="Arial" w:eastAsia="Times New Roman" w:hAnsi="Arial" w:cs="Arial"/>
          <w:b/>
          <w:lang w:val="en-US"/>
        </w:rPr>
        <w:t>METABOLIC DRIVERS OF DICARBONYL STRESS INDUCED BY HIGH GLUCOSE CONCENTRATION IN HUMAN PROXIMAL TUBULAR EPITHELIAL CELLS IN CULTURE</w:t>
      </w:r>
    </w:p>
    <w:p w:rsidR="00364723" w:rsidRPr="00EA51CD" w:rsidRDefault="00364723" w:rsidP="00DE29BB">
      <w:pPr>
        <w:spacing w:after="0" w:line="240" w:lineRule="auto"/>
        <w:jc w:val="center"/>
        <w:rPr>
          <w:rFonts w:ascii="Arial" w:eastAsia="Times New Roman" w:hAnsi="Arial" w:cs="Arial"/>
          <w:b/>
          <w:lang w:val="en-US"/>
        </w:rPr>
      </w:pPr>
    </w:p>
    <w:p w:rsidR="00F11304" w:rsidRPr="00EA51CD" w:rsidRDefault="004A283A" w:rsidP="00DE29BB">
      <w:pPr>
        <w:pStyle w:val="amalbody"/>
        <w:spacing w:line="240" w:lineRule="auto"/>
        <w:jc w:val="center"/>
        <w:rPr>
          <w:rFonts w:ascii="Arial" w:hAnsi="Arial" w:cs="Arial"/>
          <w:b/>
          <w:bCs/>
          <w:sz w:val="22"/>
          <w:szCs w:val="22"/>
        </w:rPr>
      </w:pPr>
      <w:r w:rsidRPr="00EA51CD">
        <w:rPr>
          <w:rFonts w:ascii="Arial" w:eastAsia="Times New Roman" w:hAnsi="Arial" w:cs="Arial"/>
          <w:sz w:val="22"/>
          <w:szCs w:val="22"/>
        </w:rPr>
        <w:t>Ohoud Al-Ghamdi</w:t>
      </w:r>
      <w:proofErr w:type="gramStart"/>
      <w:r w:rsidR="00B74279" w:rsidRPr="00EA51CD">
        <w:rPr>
          <w:rFonts w:ascii="Arial" w:eastAsia="Times New Roman" w:hAnsi="Arial" w:cs="Arial"/>
          <w:sz w:val="22"/>
          <w:szCs w:val="22"/>
        </w:rPr>
        <w:t>,</w:t>
      </w:r>
      <w:r w:rsidR="00F11304" w:rsidRPr="00EA51CD">
        <w:rPr>
          <w:rFonts w:ascii="Arial" w:eastAsia="Times New Roman" w:hAnsi="Arial" w:cs="Arial"/>
          <w:sz w:val="22"/>
          <w:szCs w:val="22"/>
          <w:vertAlign w:val="superscript"/>
        </w:rPr>
        <w:t>1</w:t>
      </w:r>
      <w:proofErr w:type="gramEnd"/>
      <w:r w:rsidR="00F11304" w:rsidRPr="00EA51CD">
        <w:rPr>
          <w:rFonts w:ascii="Arial" w:eastAsia="Times New Roman" w:hAnsi="Arial" w:cs="Arial"/>
          <w:sz w:val="22"/>
          <w:szCs w:val="22"/>
        </w:rPr>
        <w:t xml:space="preserve"> </w:t>
      </w:r>
      <w:r w:rsidR="00F11304" w:rsidRPr="00EA51CD">
        <w:rPr>
          <w:rFonts w:ascii="Arial" w:hAnsi="Arial" w:cs="Arial"/>
          <w:bCs/>
          <w:sz w:val="22"/>
          <w:szCs w:val="22"/>
        </w:rPr>
        <w:t>Mingzhan Xue,</w:t>
      </w:r>
      <w:r w:rsidR="00F11304" w:rsidRPr="00EA51CD">
        <w:rPr>
          <w:rFonts w:ascii="Arial" w:hAnsi="Arial" w:cs="Arial"/>
          <w:bCs/>
          <w:sz w:val="22"/>
          <w:szCs w:val="22"/>
          <w:vertAlign w:val="superscript"/>
        </w:rPr>
        <w:t>1</w:t>
      </w:r>
      <w:r w:rsidR="00F11304" w:rsidRPr="00EA51CD">
        <w:rPr>
          <w:rFonts w:ascii="Arial" w:hAnsi="Arial" w:cs="Arial"/>
          <w:bCs/>
          <w:sz w:val="22"/>
          <w:szCs w:val="22"/>
        </w:rPr>
        <w:t xml:space="preserve"> Paul J Thornalley</w:t>
      </w:r>
      <w:r w:rsidR="00F11304" w:rsidRPr="00EA51CD">
        <w:rPr>
          <w:rFonts w:ascii="Arial" w:hAnsi="Arial" w:cs="Arial"/>
          <w:bCs/>
          <w:sz w:val="22"/>
          <w:szCs w:val="22"/>
          <w:vertAlign w:val="superscript"/>
        </w:rPr>
        <w:t>1</w:t>
      </w:r>
      <w:r w:rsidR="00F11304" w:rsidRPr="00EA51CD">
        <w:rPr>
          <w:rFonts w:ascii="Arial" w:hAnsi="Arial" w:cs="Arial"/>
          <w:bCs/>
          <w:sz w:val="22"/>
          <w:szCs w:val="22"/>
        </w:rPr>
        <w:t xml:space="preserve"> and Naila Rabbani,</w:t>
      </w:r>
      <w:r w:rsidR="00F11304" w:rsidRPr="00EA51CD">
        <w:rPr>
          <w:rFonts w:ascii="Arial" w:hAnsi="Arial" w:cs="Arial"/>
          <w:bCs/>
          <w:sz w:val="22"/>
          <w:szCs w:val="22"/>
          <w:vertAlign w:val="superscript"/>
        </w:rPr>
        <w:t>1,2</w:t>
      </w:r>
    </w:p>
    <w:p w:rsidR="00F11304" w:rsidRPr="00EA51CD" w:rsidRDefault="00F11304" w:rsidP="00DE29BB">
      <w:pPr>
        <w:pStyle w:val="PlainText"/>
        <w:jc w:val="center"/>
        <w:rPr>
          <w:rFonts w:ascii="Arial" w:hAnsi="Arial" w:cs="Arial"/>
          <w:color w:val="000000" w:themeColor="text1"/>
          <w:sz w:val="22"/>
          <w:szCs w:val="22"/>
        </w:rPr>
      </w:pPr>
      <w:r w:rsidRPr="00EA51CD">
        <w:rPr>
          <w:rFonts w:ascii="Arial" w:hAnsi="Arial" w:cs="Arial"/>
          <w:color w:val="000000" w:themeColor="text1"/>
          <w:sz w:val="22"/>
          <w:szCs w:val="22"/>
          <w:vertAlign w:val="superscript"/>
        </w:rPr>
        <w:t>1</w:t>
      </w:r>
      <w:r w:rsidRPr="00EA51CD">
        <w:rPr>
          <w:rFonts w:ascii="Arial" w:hAnsi="Arial" w:cs="Arial"/>
          <w:color w:val="000000" w:themeColor="text1"/>
          <w:sz w:val="22"/>
          <w:szCs w:val="22"/>
        </w:rPr>
        <w:t>Clinical Sciences Research Laboratories, University of Warwick, University H</w:t>
      </w:r>
      <w:bookmarkStart w:id="1" w:name="addressWOS:000350235900026-7"/>
      <w:r w:rsidRPr="00EA51CD">
        <w:rPr>
          <w:rFonts w:ascii="Arial" w:hAnsi="Arial" w:cs="Arial"/>
          <w:color w:val="000000" w:themeColor="text1"/>
          <w:sz w:val="22"/>
          <w:szCs w:val="22"/>
        </w:rPr>
        <w:t>ospital, Coventry CV2 2DX, UK</w:t>
      </w:r>
      <w:bookmarkEnd w:id="1"/>
      <w:r w:rsidRPr="00EA51CD">
        <w:rPr>
          <w:rFonts w:ascii="Arial" w:hAnsi="Arial" w:cs="Arial"/>
          <w:color w:val="000000" w:themeColor="text1"/>
          <w:sz w:val="22"/>
          <w:szCs w:val="22"/>
        </w:rPr>
        <w:t xml:space="preserve"> and </w:t>
      </w:r>
      <w:r w:rsidRPr="00EA51CD">
        <w:rPr>
          <w:rFonts w:ascii="Arial" w:hAnsi="Arial" w:cs="Arial"/>
          <w:color w:val="000000" w:themeColor="text1"/>
          <w:sz w:val="22"/>
          <w:szCs w:val="22"/>
          <w:vertAlign w:val="superscript"/>
        </w:rPr>
        <w:t>2</w:t>
      </w:r>
      <w:r w:rsidRPr="00EA51CD">
        <w:rPr>
          <w:rFonts w:ascii="Arial" w:hAnsi="Arial" w:cs="Arial"/>
          <w:color w:val="000000" w:themeColor="text1"/>
          <w:sz w:val="22"/>
          <w:szCs w:val="22"/>
        </w:rPr>
        <w:t>Proteomics Research Technology Platform,</w:t>
      </w:r>
    </w:p>
    <w:p w:rsidR="00F11304" w:rsidRPr="00EA51CD" w:rsidRDefault="00F11304" w:rsidP="00DE29BB">
      <w:pPr>
        <w:pStyle w:val="PlainText"/>
        <w:jc w:val="center"/>
        <w:rPr>
          <w:rFonts w:ascii="Arial" w:eastAsia="Times New Roman" w:hAnsi="Arial" w:cs="Arial"/>
          <w:sz w:val="22"/>
          <w:szCs w:val="22"/>
        </w:rPr>
      </w:pPr>
      <w:r w:rsidRPr="00EA51CD">
        <w:rPr>
          <w:rFonts w:ascii="Arial" w:hAnsi="Arial" w:cs="Arial"/>
          <w:color w:val="000000" w:themeColor="text1"/>
          <w:sz w:val="22"/>
          <w:szCs w:val="22"/>
        </w:rPr>
        <w:t>University of Warwick, University Hospital, Coventry CV2 2DX, UK</w:t>
      </w:r>
    </w:p>
    <w:p w:rsidR="004A283A" w:rsidRPr="00EA51CD" w:rsidRDefault="00F11304" w:rsidP="00DE29BB">
      <w:pPr>
        <w:keepNext/>
        <w:keepLines/>
        <w:spacing w:after="0" w:line="240" w:lineRule="auto"/>
        <w:outlineLvl w:val="0"/>
        <w:rPr>
          <w:rFonts w:ascii="Arial" w:hAnsi="Arial" w:cs="Arial"/>
          <w:color w:val="000000" w:themeColor="text1"/>
        </w:rPr>
      </w:pPr>
      <w:r w:rsidRPr="00EA51CD">
        <w:rPr>
          <w:rFonts w:ascii="Arial" w:hAnsi="Arial" w:cs="Arial"/>
          <w:lang w:val="en" w:eastAsia="en-GB"/>
        </w:rPr>
        <w:t xml:space="preserve">Presenting author: </w:t>
      </w:r>
      <w:r w:rsidRPr="00EA51CD">
        <w:rPr>
          <w:rFonts w:ascii="Arial" w:hAnsi="Arial" w:cs="Arial"/>
          <w:bCs/>
        </w:rPr>
        <w:t>Ohoud Al-Ghamdi</w:t>
      </w:r>
      <w:r w:rsidRPr="00EA51CD">
        <w:rPr>
          <w:rFonts w:ascii="Arial" w:hAnsi="Arial" w:cs="Arial"/>
          <w:lang w:val="en" w:eastAsia="en-GB"/>
        </w:rPr>
        <w:t xml:space="preserve">, </w:t>
      </w:r>
      <w:r w:rsidRPr="00EA51CD">
        <w:rPr>
          <w:rFonts w:ascii="Arial" w:hAnsi="Arial" w:cs="Arial"/>
          <w:color w:val="000000" w:themeColor="text1"/>
        </w:rPr>
        <w:t xml:space="preserve">Clinical Sciences Research Laboratories, University of Warwick, University Hospital, </w:t>
      </w:r>
      <w:proofErr w:type="gramStart"/>
      <w:r w:rsidRPr="00EA51CD">
        <w:rPr>
          <w:rFonts w:ascii="Arial" w:hAnsi="Arial" w:cs="Arial"/>
          <w:color w:val="000000" w:themeColor="text1"/>
        </w:rPr>
        <w:t>Coventry</w:t>
      </w:r>
      <w:proofErr w:type="gramEnd"/>
      <w:r w:rsidRPr="00EA51CD">
        <w:rPr>
          <w:rFonts w:ascii="Arial" w:hAnsi="Arial" w:cs="Arial"/>
          <w:color w:val="000000" w:themeColor="text1"/>
        </w:rPr>
        <w:t xml:space="preserve"> CV2 2DX, UK. Email: O.Al-Ghamdi@warwick.ac.uk</w:t>
      </w:r>
    </w:p>
    <w:p w:rsidR="00F11304" w:rsidRPr="00EA51CD" w:rsidRDefault="00F11304" w:rsidP="00DE29BB">
      <w:pPr>
        <w:keepNext/>
        <w:keepLines/>
        <w:spacing w:after="0" w:line="240" w:lineRule="auto"/>
        <w:outlineLvl w:val="0"/>
        <w:rPr>
          <w:rFonts w:ascii="Arial" w:eastAsia="Times New Roman" w:hAnsi="Arial" w:cs="Arial"/>
          <w:bCs/>
          <w:lang w:eastAsia="en-GB"/>
        </w:rPr>
      </w:pPr>
    </w:p>
    <w:p w:rsidR="00F11304" w:rsidRPr="00364723" w:rsidRDefault="00F11304" w:rsidP="00DE29BB">
      <w:pPr>
        <w:keepNext/>
        <w:keepLines/>
        <w:spacing w:after="0" w:line="240" w:lineRule="auto"/>
        <w:outlineLvl w:val="0"/>
        <w:rPr>
          <w:rFonts w:ascii="Arial" w:eastAsia="Times New Roman" w:hAnsi="Arial" w:cs="Arial"/>
          <w:b/>
          <w:lang w:eastAsia="en-GB"/>
        </w:rPr>
      </w:pPr>
      <w:r w:rsidRPr="00364723">
        <w:rPr>
          <w:rFonts w:ascii="Arial" w:eastAsia="Times New Roman" w:hAnsi="Arial" w:cs="Arial"/>
          <w:b/>
          <w:lang w:eastAsia="en-GB"/>
        </w:rPr>
        <w:t>ABSTRACT</w:t>
      </w:r>
      <w:bookmarkStart w:id="2" w:name="_GoBack"/>
      <w:bookmarkEnd w:id="2"/>
    </w:p>
    <w:bookmarkEnd w:id="0"/>
    <w:p w:rsidR="00BE3EEF" w:rsidRDefault="004A283A" w:rsidP="00364723">
      <w:pPr>
        <w:pStyle w:val="amalbody"/>
        <w:spacing w:line="240" w:lineRule="auto"/>
        <w:rPr>
          <w:rStyle w:val="y0nh2b"/>
          <w:rFonts w:ascii="Arial" w:hAnsi="Arial" w:cs="Arial"/>
          <w:color w:val="222222"/>
          <w:sz w:val="22"/>
          <w:szCs w:val="22"/>
        </w:rPr>
      </w:pPr>
      <w:r w:rsidRPr="00EA51CD">
        <w:rPr>
          <w:rFonts w:ascii="Arial" w:eastAsiaTheme="majorEastAsia" w:hAnsi="Arial" w:cs="Arial"/>
          <w:b/>
          <w:bCs/>
          <w:color w:val="auto"/>
          <w:sz w:val="22"/>
          <w:szCs w:val="22"/>
        </w:rPr>
        <w:t>Background and aim</w:t>
      </w:r>
      <w:r w:rsidR="00C87593">
        <w:rPr>
          <w:rFonts w:ascii="Arial" w:eastAsiaTheme="majorEastAsia" w:hAnsi="Arial" w:cs="Arial"/>
          <w:b/>
          <w:bCs/>
          <w:color w:val="auto"/>
          <w:sz w:val="22"/>
          <w:szCs w:val="22"/>
        </w:rPr>
        <w:t>:</w:t>
      </w:r>
      <w:r w:rsidR="00F11304" w:rsidRPr="00EA51CD">
        <w:rPr>
          <w:rFonts w:ascii="Arial" w:eastAsiaTheme="majorEastAsia" w:hAnsi="Arial" w:cs="Arial"/>
          <w:bCs/>
          <w:color w:val="auto"/>
          <w:sz w:val="22"/>
          <w:szCs w:val="22"/>
        </w:rPr>
        <w:t xml:space="preserve"> Dysfunction of renal proximal tubu</w:t>
      </w:r>
      <w:r w:rsidR="00EA51CD" w:rsidRPr="00EA51CD">
        <w:rPr>
          <w:rFonts w:ascii="Arial" w:eastAsiaTheme="majorEastAsia" w:hAnsi="Arial" w:cs="Arial"/>
          <w:bCs/>
          <w:color w:val="auto"/>
          <w:sz w:val="22"/>
          <w:szCs w:val="22"/>
        </w:rPr>
        <w:t>l</w:t>
      </w:r>
      <w:r w:rsidR="00F11304" w:rsidRPr="00EA51CD">
        <w:rPr>
          <w:rFonts w:ascii="Arial" w:eastAsiaTheme="majorEastAsia" w:hAnsi="Arial" w:cs="Arial"/>
          <w:bCs/>
          <w:color w:val="auto"/>
          <w:sz w:val="22"/>
          <w:szCs w:val="22"/>
        </w:rPr>
        <w:t>ar epithelia</w:t>
      </w:r>
      <w:r w:rsidR="0084611F">
        <w:rPr>
          <w:rFonts w:ascii="Arial" w:eastAsiaTheme="majorEastAsia" w:hAnsi="Arial" w:cs="Arial"/>
          <w:bCs/>
          <w:color w:val="auto"/>
          <w:sz w:val="22"/>
          <w:szCs w:val="22"/>
        </w:rPr>
        <w:t>l</w:t>
      </w:r>
      <w:r w:rsidR="00F11304" w:rsidRPr="00EA51CD">
        <w:rPr>
          <w:rFonts w:ascii="Arial" w:eastAsiaTheme="majorEastAsia" w:hAnsi="Arial" w:cs="Arial"/>
          <w:bCs/>
          <w:color w:val="auto"/>
          <w:sz w:val="22"/>
          <w:szCs w:val="22"/>
        </w:rPr>
        <w:t xml:space="preserve"> cells</w:t>
      </w:r>
      <w:r w:rsidR="00DE29BB">
        <w:rPr>
          <w:rFonts w:ascii="Arial" w:eastAsiaTheme="majorEastAsia" w:hAnsi="Arial" w:cs="Arial"/>
          <w:bCs/>
          <w:color w:val="auto"/>
          <w:sz w:val="22"/>
          <w:szCs w:val="22"/>
        </w:rPr>
        <w:t xml:space="preserve"> (PTECs)</w:t>
      </w:r>
      <w:r w:rsidR="00F11304" w:rsidRPr="00EA51CD">
        <w:rPr>
          <w:rFonts w:ascii="Arial" w:eastAsiaTheme="majorEastAsia" w:hAnsi="Arial" w:cs="Arial"/>
          <w:bCs/>
          <w:color w:val="auto"/>
          <w:sz w:val="22"/>
          <w:szCs w:val="22"/>
        </w:rPr>
        <w:t xml:space="preserve"> </w:t>
      </w:r>
      <w:r w:rsidR="00EA51CD" w:rsidRPr="00EA51CD">
        <w:rPr>
          <w:rFonts w:ascii="Arial" w:eastAsiaTheme="majorEastAsia" w:hAnsi="Arial" w:cs="Arial"/>
          <w:bCs/>
          <w:color w:val="auto"/>
          <w:sz w:val="22"/>
          <w:szCs w:val="22"/>
        </w:rPr>
        <w:t>in hyperglycemia in diabetes is associated with dysfunction linked to the development and progression of diabetic kidney disease</w:t>
      </w:r>
      <w:r w:rsidR="0084611F">
        <w:rPr>
          <w:rFonts w:ascii="Arial" w:eastAsiaTheme="majorEastAsia" w:hAnsi="Arial" w:cs="Arial"/>
          <w:bCs/>
          <w:color w:val="auto"/>
          <w:sz w:val="22"/>
          <w:szCs w:val="22"/>
        </w:rPr>
        <w:t xml:space="preserve">. This is characterised by </w:t>
      </w:r>
      <w:r w:rsidR="00EA51CD" w:rsidRPr="00EA51CD">
        <w:rPr>
          <w:rFonts w:ascii="Arial" w:eastAsiaTheme="majorEastAsia" w:hAnsi="Arial" w:cs="Arial"/>
          <w:bCs/>
          <w:color w:val="auto"/>
          <w:sz w:val="22"/>
          <w:szCs w:val="22"/>
        </w:rPr>
        <w:t>increased production of t</w:t>
      </w:r>
      <w:r w:rsidR="00EA51CD" w:rsidRPr="00EA51CD">
        <w:rPr>
          <w:rStyle w:val="y0nh2b"/>
          <w:rFonts w:ascii="Arial" w:hAnsi="Arial" w:cs="Arial"/>
          <w:color w:val="222222"/>
          <w:sz w:val="22"/>
          <w:szCs w:val="22"/>
        </w:rPr>
        <w:t>ransforming growth factor-β</w:t>
      </w:r>
      <w:r w:rsidR="00EA51CD">
        <w:rPr>
          <w:rStyle w:val="y0nh2b"/>
          <w:rFonts w:ascii="Arial" w:hAnsi="Arial" w:cs="Arial"/>
          <w:color w:val="222222"/>
          <w:sz w:val="22"/>
          <w:szCs w:val="22"/>
        </w:rPr>
        <w:t xml:space="preserve"> leading </w:t>
      </w:r>
      <w:r w:rsidR="0084611F">
        <w:rPr>
          <w:rStyle w:val="y0nh2b"/>
          <w:rFonts w:ascii="Arial" w:hAnsi="Arial" w:cs="Arial"/>
          <w:color w:val="222222"/>
          <w:sz w:val="22"/>
          <w:szCs w:val="22"/>
        </w:rPr>
        <w:t xml:space="preserve">to </w:t>
      </w:r>
      <w:r w:rsidR="00EA51CD">
        <w:rPr>
          <w:rStyle w:val="y0nh2b"/>
          <w:rFonts w:ascii="Arial" w:hAnsi="Arial" w:cs="Arial"/>
          <w:color w:val="222222"/>
          <w:sz w:val="22"/>
          <w:szCs w:val="22"/>
        </w:rPr>
        <w:t>tubulointerstitial fibrosis,</w:t>
      </w:r>
      <w:r w:rsidR="00DE29BB">
        <w:rPr>
          <w:rStyle w:val="y0nh2b"/>
          <w:rFonts w:ascii="Arial" w:hAnsi="Arial" w:cs="Arial"/>
          <w:color w:val="222222"/>
          <w:sz w:val="22"/>
          <w:szCs w:val="22"/>
        </w:rPr>
        <w:t xml:space="preserve"> abnormal s</w:t>
      </w:r>
      <w:r w:rsidR="0084611F">
        <w:rPr>
          <w:rStyle w:val="y0nh2b"/>
          <w:rFonts w:ascii="Arial" w:hAnsi="Arial" w:cs="Arial"/>
          <w:color w:val="222222"/>
          <w:sz w:val="22"/>
          <w:szCs w:val="22"/>
        </w:rPr>
        <w:t>a</w:t>
      </w:r>
      <w:r w:rsidR="00DE29BB">
        <w:rPr>
          <w:rStyle w:val="y0nh2b"/>
          <w:rFonts w:ascii="Arial" w:hAnsi="Arial" w:cs="Arial"/>
          <w:color w:val="222222"/>
          <w:sz w:val="22"/>
          <w:szCs w:val="22"/>
        </w:rPr>
        <w:t>lt and glucose transport and</w:t>
      </w:r>
      <w:r w:rsidR="00EA51CD">
        <w:rPr>
          <w:rStyle w:val="y0nh2b"/>
          <w:rFonts w:ascii="Arial" w:hAnsi="Arial" w:cs="Arial"/>
          <w:color w:val="222222"/>
          <w:sz w:val="22"/>
          <w:szCs w:val="22"/>
        </w:rPr>
        <w:t xml:space="preserve"> increased cell senescence</w:t>
      </w:r>
      <w:r w:rsidR="00DE29BB">
        <w:rPr>
          <w:rStyle w:val="y0nh2b"/>
          <w:rFonts w:ascii="Arial" w:hAnsi="Arial" w:cs="Arial"/>
          <w:color w:val="222222"/>
          <w:sz w:val="22"/>
          <w:szCs w:val="22"/>
        </w:rPr>
        <w:t xml:space="preserve">. Glyoxalase 1 (Glo1) catalyses the metabolism of </w:t>
      </w:r>
      <w:r w:rsidR="0084611F">
        <w:rPr>
          <w:rStyle w:val="y0nh2b"/>
          <w:rFonts w:ascii="Arial" w:hAnsi="Arial" w:cs="Arial"/>
          <w:color w:val="222222"/>
          <w:sz w:val="22"/>
          <w:szCs w:val="22"/>
        </w:rPr>
        <w:t xml:space="preserve">the </w:t>
      </w:r>
      <w:r w:rsidR="00DE29BB">
        <w:rPr>
          <w:rStyle w:val="y0nh2b"/>
          <w:rFonts w:ascii="Arial" w:hAnsi="Arial" w:cs="Arial"/>
          <w:color w:val="222222"/>
          <w:sz w:val="22"/>
          <w:szCs w:val="22"/>
        </w:rPr>
        <w:t>reactive glycating metabolite, methylglyoxal</w:t>
      </w:r>
      <w:r w:rsidR="0084611F">
        <w:rPr>
          <w:rStyle w:val="y0nh2b"/>
          <w:rFonts w:ascii="Arial" w:hAnsi="Arial" w:cs="Arial"/>
          <w:color w:val="222222"/>
          <w:sz w:val="22"/>
          <w:szCs w:val="22"/>
        </w:rPr>
        <w:t xml:space="preserve"> (MG)</w:t>
      </w:r>
      <w:r w:rsidR="00DE29BB">
        <w:rPr>
          <w:rStyle w:val="y0nh2b"/>
          <w:rFonts w:ascii="Arial" w:hAnsi="Arial" w:cs="Arial"/>
          <w:color w:val="222222"/>
          <w:sz w:val="22"/>
          <w:szCs w:val="22"/>
        </w:rPr>
        <w:t xml:space="preserve">. Overexpression of Glo1 prevented the development of </w:t>
      </w:r>
      <w:r w:rsidR="00C87593">
        <w:rPr>
          <w:rStyle w:val="y0nh2b"/>
          <w:rFonts w:ascii="Arial" w:hAnsi="Arial" w:cs="Arial"/>
          <w:color w:val="222222"/>
          <w:sz w:val="22"/>
          <w:szCs w:val="22"/>
        </w:rPr>
        <w:t xml:space="preserve">experimental </w:t>
      </w:r>
      <w:r w:rsidR="00DE29BB">
        <w:rPr>
          <w:rStyle w:val="y0nh2b"/>
          <w:rFonts w:ascii="Arial" w:hAnsi="Arial" w:cs="Arial"/>
          <w:color w:val="222222"/>
          <w:sz w:val="22"/>
          <w:szCs w:val="22"/>
        </w:rPr>
        <w:t>diabetic kidney disease</w:t>
      </w:r>
      <w:r w:rsidR="00C87593">
        <w:rPr>
          <w:rStyle w:val="y0nh2b"/>
          <w:rFonts w:ascii="Arial" w:hAnsi="Arial" w:cs="Arial"/>
          <w:color w:val="222222"/>
          <w:sz w:val="22"/>
          <w:szCs w:val="22"/>
        </w:rPr>
        <w:t xml:space="preserve"> </w:t>
      </w:r>
      <w:r w:rsidR="00DE29BB">
        <w:rPr>
          <w:rStyle w:val="y0nh2b"/>
          <w:rFonts w:ascii="Arial" w:hAnsi="Arial" w:cs="Arial"/>
          <w:color w:val="222222"/>
          <w:sz w:val="22"/>
          <w:szCs w:val="22"/>
        </w:rPr>
        <w:t>in mice, even when limited to PTECs and vascular endothelial cells. It therefore appear</w:t>
      </w:r>
      <w:r w:rsidR="00C87593">
        <w:rPr>
          <w:rStyle w:val="y0nh2b"/>
          <w:rFonts w:ascii="Arial" w:hAnsi="Arial" w:cs="Arial"/>
          <w:color w:val="222222"/>
          <w:sz w:val="22"/>
          <w:szCs w:val="22"/>
        </w:rPr>
        <w:t>s</w:t>
      </w:r>
      <w:r w:rsidR="00DE29BB">
        <w:rPr>
          <w:rStyle w:val="y0nh2b"/>
          <w:rFonts w:ascii="Arial" w:hAnsi="Arial" w:cs="Arial"/>
          <w:color w:val="222222"/>
          <w:sz w:val="22"/>
          <w:szCs w:val="22"/>
        </w:rPr>
        <w:t xml:space="preserve"> that dicarbonyl stress induced by hyperglycemia in PTECs may be influential in development of diabetic kidney disease. In this study we sought to investigate the metabolic drivers of increased MG, </w:t>
      </w:r>
      <w:r w:rsidR="00C87593">
        <w:rPr>
          <w:rStyle w:val="y0nh2b"/>
          <w:rFonts w:ascii="Arial" w:hAnsi="Arial" w:cs="Arial"/>
          <w:color w:val="222222"/>
          <w:sz w:val="22"/>
          <w:szCs w:val="22"/>
        </w:rPr>
        <w:t>p</w:t>
      </w:r>
      <w:r w:rsidR="00DE29BB">
        <w:rPr>
          <w:rStyle w:val="y0nh2b"/>
          <w:rFonts w:ascii="Arial" w:hAnsi="Arial" w:cs="Arial"/>
          <w:color w:val="222222"/>
          <w:sz w:val="22"/>
          <w:szCs w:val="22"/>
        </w:rPr>
        <w:t xml:space="preserve">recursor of major increased advanced glycation endproducts (AGEs) in </w:t>
      </w:r>
      <w:r w:rsidR="00BE3EEF">
        <w:rPr>
          <w:rStyle w:val="y0nh2b"/>
          <w:rFonts w:ascii="Arial" w:hAnsi="Arial" w:cs="Arial"/>
          <w:color w:val="222222"/>
          <w:sz w:val="22"/>
          <w:szCs w:val="22"/>
        </w:rPr>
        <w:t>diabetic kidney disease, by study</w:t>
      </w:r>
      <w:r w:rsidR="00C87593">
        <w:rPr>
          <w:rStyle w:val="y0nh2b"/>
          <w:rFonts w:ascii="Arial" w:hAnsi="Arial" w:cs="Arial"/>
          <w:color w:val="222222"/>
          <w:sz w:val="22"/>
          <w:szCs w:val="22"/>
        </w:rPr>
        <w:t>ing</w:t>
      </w:r>
      <w:r w:rsidR="00BE3EEF">
        <w:rPr>
          <w:rStyle w:val="y0nh2b"/>
          <w:rFonts w:ascii="Arial" w:hAnsi="Arial" w:cs="Arial"/>
          <w:color w:val="222222"/>
          <w:sz w:val="22"/>
          <w:szCs w:val="22"/>
        </w:rPr>
        <w:t xml:space="preserve"> human PTECs in primary culture in low and high glucose concentrations.</w:t>
      </w:r>
    </w:p>
    <w:p w:rsidR="00364723" w:rsidRDefault="00364723" w:rsidP="00364723">
      <w:pPr>
        <w:pStyle w:val="amalbody"/>
        <w:spacing w:line="240" w:lineRule="auto"/>
        <w:rPr>
          <w:rStyle w:val="y0nh2b"/>
          <w:rFonts w:ascii="Arial" w:hAnsi="Arial" w:cs="Arial"/>
          <w:color w:val="222222"/>
          <w:sz w:val="22"/>
          <w:szCs w:val="22"/>
        </w:rPr>
      </w:pPr>
    </w:p>
    <w:p w:rsidR="00364723" w:rsidRDefault="006A4E02" w:rsidP="00C87593">
      <w:pPr>
        <w:pStyle w:val="amalbody"/>
        <w:spacing w:line="240" w:lineRule="auto"/>
        <w:rPr>
          <w:rFonts w:ascii="Arial" w:hAnsi="Arial" w:cs="Arial"/>
          <w:color w:val="auto"/>
          <w:sz w:val="22"/>
          <w:szCs w:val="22"/>
          <w:lang w:eastAsia="en-GB"/>
        </w:rPr>
      </w:pPr>
      <w:r w:rsidRPr="00EA51CD">
        <w:rPr>
          <w:rFonts w:ascii="Arial" w:hAnsi="Arial" w:cs="Arial"/>
          <w:b/>
          <w:bCs/>
          <w:color w:val="auto"/>
          <w:sz w:val="22"/>
          <w:szCs w:val="22"/>
          <w:lang w:eastAsia="en-GB"/>
        </w:rPr>
        <w:t>Materials and methods</w:t>
      </w:r>
      <w:r w:rsidR="00C87593">
        <w:rPr>
          <w:rFonts w:ascii="Arial" w:hAnsi="Arial" w:cs="Arial"/>
          <w:b/>
          <w:bCs/>
          <w:color w:val="auto"/>
          <w:sz w:val="22"/>
          <w:szCs w:val="22"/>
          <w:lang w:eastAsia="en-GB"/>
        </w:rPr>
        <w:t xml:space="preserve">: </w:t>
      </w:r>
      <w:r w:rsidR="00BE3EEF" w:rsidRPr="0084611F">
        <w:rPr>
          <w:rFonts w:ascii="Arial" w:hAnsi="Arial" w:cs="Arial"/>
          <w:sz w:val="22"/>
          <w:szCs w:val="22"/>
        </w:rPr>
        <w:t xml:space="preserve">Human PTECs were incubated in primary culture with </w:t>
      </w:r>
      <w:r w:rsidR="00112DB3" w:rsidRPr="0084611F">
        <w:rPr>
          <w:rFonts w:ascii="Arial" w:hAnsi="Arial" w:cs="Arial"/>
          <w:sz w:val="22"/>
          <w:szCs w:val="22"/>
        </w:rPr>
        <w:t>7</w:t>
      </w:r>
      <w:r w:rsidR="00BE3EEF" w:rsidRPr="0084611F">
        <w:rPr>
          <w:rFonts w:ascii="Arial" w:hAnsi="Arial" w:cs="Arial"/>
          <w:sz w:val="22"/>
          <w:szCs w:val="22"/>
        </w:rPr>
        <w:t xml:space="preserve"> mM (model normoglycemia) or 25 mM glucose (model hyperglycemia) for 4 days</w:t>
      </w:r>
      <w:r w:rsidR="00C71A3B" w:rsidRPr="0084611F">
        <w:rPr>
          <w:rFonts w:ascii="Arial" w:hAnsi="Arial" w:cs="Arial"/>
          <w:sz w:val="22"/>
          <w:szCs w:val="22"/>
        </w:rPr>
        <w:t xml:space="preserve"> in quadruplicate</w:t>
      </w:r>
      <w:r w:rsidR="00BE3EEF" w:rsidRPr="0084611F">
        <w:rPr>
          <w:rFonts w:ascii="Arial" w:hAnsi="Arial" w:cs="Arial"/>
          <w:sz w:val="22"/>
          <w:szCs w:val="22"/>
        </w:rPr>
        <w:t xml:space="preserve">, changing medium after 2 days. Glucose consumption and flux of formation of L-lactate </w:t>
      </w:r>
      <w:r w:rsidR="0084611F">
        <w:rPr>
          <w:rFonts w:ascii="Arial" w:hAnsi="Arial" w:cs="Arial"/>
          <w:sz w:val="22"/>
          <w:szCs w:val="22"/>
        </w:rPr>
        <w:t xml:space="preserve">and D-lactate </w:t>
      </w:r>
      <w:r w:rsidR="00BE3EEF" w:rsidRPr="0084611F">
        <w:rPr>
          <w:rFonts w:ascii="Arial" w:hAnsi="Arial" w:cs="Arial"/>
          <w:sz w:val="22"/>
          <w:szCs w:val="22"/>
        </w:rPr>
        <w:t>were measured by enzymatic assays</w:t>
      </w:r>
      <w:r w:rsidR="00C71A3B" w:rsidRPr="0084611F">
        <w:rPr>
          <w:rFonts w:ascii="Arial" w:hAnsi="Arial" w:cs="Arial"/>
          <w:sz w:val="22"/>
          <w:szCs w:val="22"/>
        </w:rPr>
        <w:t xml:space="preserve"> over the initial 2 days of culture</w:t>
      </w:r>
      <w:r w:rsidR="0084611F">
        <w:rPr>
          <w:rFonts w:ascii="Arial" w:hAnsi="Arial" w:cs="Arial"/>
          <w:sz w:val="22"/>
          <w:szCs w:val="22"/>
        </w:rPr>
        <w:t xml:space="preserve">; the latter </w:t>
      </w:r>
      <w:r w:rsidR="00C87593">
        <w:rPr>
          <w:rFonts w:ascii="Arial" w:hAnsi="Arial" w:cs="Arial"/>
          <w:sz w:val="22"/>
          <w:szCs w:val="22"/>
        </w:rPr>
        <w:t xml:space="preserve">is </w:t>
      </w:r>
      <w:r w:rsidR="0084611F">
        <w:rPr>
          <w:rFonts w:ascii="Arial" w:hAnsi="Arial" w:cs="Arial"/>
          <w:sz w:val="22"/>
          <w:szCs w:val="22"/>
        </w:rPr>
        <w:t xml:space="preserve">a measure of </w:t>
      </w:r>
      <w:r w:rsidR="0084611F" w:rsidRPr="0084611F">
        <w:rPr>
          <w:rFonts w:ascii="Arial" w:hAnsi="Arial" w:cs="Arial"/>
          <w:sz w:val="22"/>
          <w:szCs w:val="22"/>
        </w:rPr>
        <w:t xml:space="preserve">flux of MG formation. </w:t>
      </w:r>
      <w:r w:rsidRPr="0084611F">
        <w:rPr>
          <w:rFonts w:ascii="Arial" w:hAnsi="Arial" w:cs="Arial"/>
          <w:color w:val="auto"/>
          <w:sz w:val="22"/>
          <w:szCs w:val="22"/>
          <w:lang w:eastAsia="en-GB"/>
        </w:rPr>
        <w:t>The activit</w:t>
      </w:r>
      <w:r w:rsidR="00BE3EEF" w:rsidRPr="0084611F">
        <w:rPr>
          <w:rFonts w:ascii="Arial" w:hAnsi="Arial" w:cs="Arial"/>
          <w:color w:val="auto"/>
          <w:sz w:val="22"/>
          <w:szCs w:val="22"/>
          <w:lang w:eastAsia="en-GB"/>
        </w:rPr>
        <w:t>ies</w:t>
      </w:r>
      <w:r w:rsidRPr="0084611F">
        <w:rPr>
          <w:rFonts w:ascii="Arial" w:hAnsi="Arial" w:cs="Arial"/>
          <w:color w:val="auto"/>
          <w:sz w:val="22"/>
          <w:szCs w:val="22"/>
          <w:lang w:eastAsia="en-GB"/>
        </w:rPr>
        <w:t xml:space="preserve"> of Glo1</w:t>
      </w:r>
      <w:r w:rsidR="00BE3EEF" w:rsidRPr="0084611F">
        <w:rPr>
          <w:rFonts w:ascii="Arial" w:hAnsi="Arial" w:cs="Arial"/>
          <w:color w:val="auto"/>
          <w:sz w:val="22"/>
          <w:szCs w:val="22"/>
          <w:lang w:eastAsia="en-GB"/>
        </w:rPr>
        <w:t xml:space="preserve"> and glyoxalase 2 (Glo2) were assayed by spectrophotometric assay</w:t>
      </w:r>
      <w:r w:rsidR="00C71A3B" w:rsidRPr="0084611F">
        <w:rPr>
          <w:rFonts w:ascii="Arial" w:hAnsi="Arial" w:cs="Arial"/>
          <w:color w:val="auto"/>
          <w:sz w:val="22"/>
          <w:szCs w:val="22"/>
          <w:lang w:eastAsia="en-GB"/>
        </w:rPr>
        <w:t xml:space="preserve"> after 4 days.</w:t>
      </w:r>
    </w:p>
    <w:p w:rsidR="006A4E02" w:rsidRPr="0084611F" w:rsidRDefault="006A4E02" w:rsidP="00C87593">
      <w:pPr>
        <w:pStyle w:val="amalbody"/>
        <w:spacing w:line="240" w:lineRule="auto"/>
        <w:rPr>
          <w:rFonts w:ascii="Arial" w:hAnsi="Arial" w:cs="Arial"/>
          <w:color w:val="auto"/>
          <w:sz w:val="22"/>
          <w:szCs w:val="22"/>
          <w:lang w:eastAsia="en-GB"/>
        </w:rPr>
      </w:pPr>
      <w:r w:rsidRPr="0084611F">
        <w:rPr>
          <w:rFonts w:ascii="Arial" w:hAnsi="Arial" w:cs="Arial"/>
          <w:color w:val="auto"/>
          <w:sz w:val="22"/>
          <w:szCs w:val="22"/>
          <w:lang w:eastAsia="en-GB"/>
        </w:rPr>
        <w:t xml:space="preserve"> </w:t>
      </w:r>
    </w:p>
    <w:p w:rsidR="0084611F" w:rsidRDefault="004A283A" w:rsidP="00364723">
      <w:pPr>
        <w:spacing w:after="0" w:line="240" w:lineRule="auto"/>
        <w:jc w:val="both"/>
        <w:rPr>
          <w:rFonts w:ascii="Arial" w:hAnsi="Arial" w:cs="Arial"/>
          <w:lang w:eastAsia="en-GB"/>
        </w:rPr>
      </w:pPr>
      <w:r w:rsidRPr="00EA51CD">
        <w:rPr>
          <w:rFonts w:ascii="Arial" w:eastAsia="Times New Roman" w:hAnsi="Arial" w:cs="Arial"/>
          <w:b/>
          <w:bCs/>
          <w:lang w:eastAsia="en-GB"/>
        </w:rPr>
        <w:t>Results:</w:t>
      </w:r>
      <w:r w:rsidR="0084611F">
        <w:rPr>
          <w:rFonts w:ascii="Arial" w:eastAsia="Times New Roman" w:hAnsi="Arial" w:cs="Arial"/>
          <w:b/>
          <w:bCs/>
          <w:lang w:eastAsia="en-GB"/>
        </w:rPr>
        <w:t xml:space="preserve"> </w:t>
      </w:r>
      <w:r w:rsidRPr="00EA51CD">
        <w:rPr>
          <w:rFonts w:ascii="Arial" w:hAnsi="Arial" w:cs="Arial"/>
          <w:lang w:eastAsia="en-GB"/>
        </w:rPr>
        <w:t xml:space="preserve">When </w:t>
      </w:r>
      <w:r w:rsidR="00C87593">
        <w:rPr>
          <w:rFonts w:ascii="Arial" w:hAnsi="Arial" w:cs="Arial"/>
          <w:lang w:eastAsia="en-GB"/>
        </w:rPr>
        <w:t xml:space="preserve">human </w:t>
      </w:r>
      <w:r w:rsidRPr="00EA51CD">
        <w:rPr>
          <w:rFonts w:ascii="Arial" w:hAnsi="Arial" w:cs="Arial"/>
          <w:lang w:eastAsia="en-GB"/>
        </w:rPr>
        <w:t>PTECs</w:t>
      </w:r>
      <w:r w:rsidR="00E74C4A" w:rsidRPr="00EA51CD">
        <w:rPr>
          <w:rFonts w:ascii="Arial" w:hAnsi="Arial" w:cs="Arial"/>
          <w:lang w:eastAsia="en-GB"/>
        </w:rPr>
        <w:t xml:space="preserve"> </w:t>
      </w:r>
      <w:r w:rsidRPr="00EA51CD">
        <w:rPr>
          <w:rFonts w:ascii="Arial" w:hAnsi="Arial" w:cs="Arial"/>
          <w:lang w:eastAsia="en-GB"/>
        </w:rPr>
        <w:t xml:space="preserve">were incubated with high glucose concentration </w:t>
      </w:r>
      <w:r w:rsidRPr="00BE3EEF">
        <w:rPr>
          <w:rFonts w:ascii="Arial" w:hAnsi="Arial" w:cs="Arial"/>
          <w:i/>
          <w:lang w:eastAsia="en-GB"/>
        </w:rPr>
        <w:t>in vitro</w:t>
      </w:r>
      <w:r w:rsidRPr="00EA51CD">
        <w:rPr>
          <w:rFonts w:ascii="Arial" w:hAnsi="Arial" w:cs="Arial"/>
          <w:lang w:eastAsia="en-GB"/>
        </w:rPr>
        <w:t xml:space="preserve"> </w:t>
      </w:r>
      <w:r w:rsidR="00BE3EEF">
        <w:rPr>
          <w:rFonts w:ascii="Arial" w:hAnsi="Arial" w:cs="Arial"/>
          <w:lang w:eastAsia="en-GB"/>
        </w:rPr>
        <w:t xml:space="preserve">for 4 days </w:t>
      </w:r>
      <w:r w:rsidRPr="00EA51CD">
        <w:rPr>
          <w:rFonts w:ascii="Arial" w:hAnsi="Arial" w:cs="Arial"/>
          <w:lang w:eastAsia="en-GB"/>
        </w:rPr>
        <w:t xml:space="preserve">there was a </w:t>
      </w:r>
      <w:r w:rsidR="00E74C4A" w:rsidRPr="00EA51CD">
        <w:rPr>
          <w:rFonts w:ascii="Arial" w:hAnsi="Arial" w:cs="Arial"/>
          <w:lang w:eastAsia="en-GB"/>
        </w:rPr>
        <w:t xml:space="preserve">decrease </w:t>
      </w:r>
      <w:r w:rsidR="00BE3EEF">
        <w:rPr>
          <w:rFonts w:ascii="Arial" w:hAnsi="Arial" w:cs="Arial"/>
          <w:lang w:eastAsia="en-GB"/>
        </w:rPr>
        <w:t xml:space="preserve">of </w:t>
      </w:r>
      <w:r w:rsidRPr="00EA51CD">
        <w:rPr>
          <w:rFonts w:ascii="Arial" w:hAnsi="Arial" w:cs="Arial"/>
          <w:lang w:eastAsia="en-GB"/>
        </w:rPr>
        <w:t>G</w:t>
      </w:r>
      <w:r w:rsidR="00D24001" w:rsidRPr="00EA51CD">
        <w:rPr>
          <w:rFonts w:ascii="Arial" w:hAnsi="Arial" w:cs="Arial"/>
          <w:lang w:eastAsia="en-GB"/>
        </w:rPr>
        <w:t>lo</w:t>
      </w:r>
      <w:r w:rsidRPr="00EA51CD">
        <w:rPr>
          <w:rFonts w:ascii="Arial" w:hAnsi="Arial" w:cs="Arial"/>
          <w:lang w:eastAsia="en-GB"/>
        </w:rPr>
        <w:t>1 activity</w:t>
      </w:r>
      <w:r w:rsidR="00BE3EEF">
        <w:rPr>
          <w:rFonts w:ascii="Arial" w:hAnsi="Arial" w:cs="Arial"/>
          <w:lang w:eastAsia="en-GB"/>
        </w:rPr>
        <w:t xml:space="preserve">, </w:t>
      </w:r>
      <w:r w:rsidR="00C87593">
        <w:rPr>
          <w:rFonts w:ascii="Arial" w:hAnsi="Arial" w:cs="Arial"/>
          <w:lang w:eastAsia="en-GB"/>
        </w:rPr>
        <w:t>with respect to</w:t>
      </w:r>
      <w:r w:rsidR="00BE3EEF">
        <w:rPr>
          <w:rFonts w:ascii="Arial" w:hAnsi="Arial" w:cs="Arial"/>
          <w:lang w:eastAsia="en-GB"/>
        </w:rPr>
        <w:t xml:space="preserve"> low glucose control: </w:t>
      </w:r>
      <w:r w:rsidR="00112DB3">
        <w:rPr>
          <w:rFonts w:ascii="Arial" w:hAnsi="Arial" w:cs="Arial"/>
          <w:lang w:eastAsia="en-GB"/>
        </w:rPr>
        <w:t xml:space="preserve">350 ± 19 versus 249 ± 19 </w:t>
      </w:r>
      <w:proofErr w:type="spellStart"/>
      <w:r w:rsidR="00112DB3">
        <w:rPr>
          <w:rFonts w:ascii="Arial" w:hAnsi="Arial" w:cs="Arial"/>
          <w:lang w:eastAsia="en-GB"/>
        </w:rPr>
        <w:t>mU</w:t>
      </w:r>
      <w:proofErr w:type="spellEnd"/>
      <w:r w:rsidR="00112DB3">
        <w:rPr>
          <w:rFonts w:ascii="Arial" w:hAnsi="Arial" w:cs="Arial"/>
          <w:lang w:eastAsia="en-GB"/>
        </w:rPr>
        <w:t xml:space="preserve">/mg protein; - 29%, </w:t>
      </w:r>
      <w:r w:rsidR="00E74C4A" w:rsidRPr="00EA51CD">
        <w:rPr>
          <w:rFonts w:ascii="Arial" w:hAnsi="Arial" w:cs="Arial"/>
          <w:lang w:eastAsia="en-GB"/>
        </w:rPr>
        <w:t xml:space="preserve">P&lt;0.01. </w:t>
      </w:r>
      <w:r w:rsidR="00112DB3">
        <w:rPr>
          <w:rFonts w:ascii="Arial" w:hAnsi="Arial" w:cs="Arial"/>
          <w:lang w:eastAsia="en-GB"/>
        </w:rPr>
        <w:t xml:space="preserve">Glo2 activity was unchanged: 39.3 ± 12.3 versus 39.3 ± 2.2 </w:t>
      </w:r>
      <w:proofErr w:type="spellStart"/>
      <w:r w:rsidR="00112DB3">
        <w:rPr>
          <w:rFonts w:ascii="Arial" w:hAnsi="Arial" w:cs="Arial"/>
          <w:lang w:eastAsia="en-GB"/>
        </w:rPr>
        <w:t>mU</w:t>
      </w:r>
      <w:proofErr w:type="spellEnd"/>
      <w:r w:rsidR="00112DB3">
        <w:rPr>
          <w:rFonts w:ascii="Arial" w:hAnsi="Arial" w:cs="Arial"/>
          <w:lang w:eastAsia="en-GB"/>
        </w:rPr>
        <w:t>/mg protein</w:t>
      </w:r>
      <w:r w:rsidR="00112DB3" w:rsidRPr="00EA51CD">
        <w:rPr>
          <w:rFonts w:ascii="Arial" w:hAnsi="Arial" w:cs="Arial"/>
          <w:lang w:eastAsia="en-GB"/>
        </w:rPr>
        <w:t>.</w:t>
      </w:r>
      <w:r w:rsidR="00112DB3">
        <w:rPr>
          <w:rFonts w:ascii="Arial" w:hAnsi="Arial" w:cs="Arial"/>
          <w:lang w:eastAsia="en-GB"/>
        </w:rPr>
        <w:t xml:space="preserve"> There was a 3-fold increase in glucose consumption by PTECs in high glucose cultures: glucose consumption (nmol/day/10</w:t>
      </w:r>
      <w:r w:rsidR="00112DB3" w:rsidRPr="00C71A3B">
        <w:rPr>
          <w:rFonts w:ascii="Arial" w:hAnsi="Arial" w:cs="Arial"/>
          <w:vertAlign w:val="superscript"/>
          <w:lang w:eastAsia="en-GB"/>
        </w:rPr>
        <w:t>6</w:t>
      </w:r>
      <w:r w:rsidR="00112DB3">
        <w:rPr>
          <w:rFonts w:ascii="Arial" w:hAnsi="Arial" w:cs="Arial"/>
          <w:lang w:eastAsia="en-GB"/>
        </w:rPr>
        <w:t xml:space="preserve"> cells) </w:t>
      </w:r>
      <w:r w:rsidR="00C71A3B">
        <w:rPr>
          <w:rFonts w:ascii="Arial" w:hAnsi="Arial" w:cs="Arial"/>
          <w:lang w:eastAsia="en-GB"/>
        </w:rPr>
        <w:t xml:space="preserve">– 18.2 ± 1.4 versus 5.7 ± 1.0; P&lt;0.001. This was associated with an increase in flux of formation of </w:t>
      </w:r>
      <w:r w:rsidR="00123843">
        <w:rPr>
          <w:rFonts w:ascii="Arial" w:hAnsi="Arial" w:cs="Arial"/>
          <w:lang w:eastAsia="en-GB"/>
        </w:rPr>
        <w:t>D</w:t>
      </w:r>
      <w:r w:rsidR="00C71A3B">
        <w:rPr>
          <w:rFonts w:ascii="Arial" w:hAnsi="Arial" w:cs="Arial"/>
          <w:lang w:eastAsia="en-GB"/>
        </w:rPr>
        <w:t xml:space="preserve">-lactate – 2.70 ± 0.12 versus 2.21 ± 0.32; </w:t>
      </w:r>
      <w:r w:rsidR="00123843">
        <w:rPr>
          <w:rFonts w:ascii="Arial" w:hAnsi="Arial" w:cs="Arial"/>
          <w:lang w:eastAsia="en-GB"/>
        </w:rPr>
        <w:t xml:space="preserve">+ 22%, </w:t>
      </w:r>
      <w:r w:rsidR="00C71A3B">
        <w:rPr>
          <w:rFonts w:ascii="Arial" w:hAnsi="Arial" w:cs="Arial"/>
          <w:lang w:eastAsia="en-GB"/>
        </w:rPr>
        <w:t>P&lt;0.05</w:t>
      </w:r>
      <w:r w:rsidR="00123843">
        <w:rPr>
          <w:rFonts w:ascii="Arial" w:hAnsi="Arial" w:cs="Arial"/>
          <w:lang w:eastAsia="en-GB"/>
        </w:rPr>
        <w:t xml:space="preserve"> – and </w:t>
      </w:r>
      <w:r w:rsidR="0084611F">
        <w:rPr>
          <w:rFonts w:ascii="Arial" w:hAnsi="Arial" w:cs="Arial"/>
          <w:lang w:eastAsia="en-GB"/>
        </w:rPr>
        <w:t xml:space="preserve">increase in </w:t>
      </w:r>
      <w:r w:rsidR="00C87593">
        <w:rPr>
          <w:rFonts w:ascii="Arial" w:hAnsi="Arial" w:cs="Arial"/>
          <w:lang w:eastAsia="en-GB"/>
        </w:rPr>
        <w:t xml:space="preserve">net </w:t>
      </w:r>
      <w:r w:rsidR="0084611F">
        <w:rPr>
          <w:rFonts w:ascii="Arial" w:hAnsi="Arial" w:cs="Arial"/>
          <w:lang w:eastAsia="en-GB"/>
        </w:rPr>
        <w:t>flux of formation of L-lactate - 293 ± 12 versus 260 ± 0.12; + 13%, P&lt;0.05.</w:t>
      </w:r>
    </w:p>
    <w:p w:rsidR="00364723" w:rsidRPr="00EA51CD" w:rsidRDefault="00364723" w:rsidP="00364723">
      <w:pPr>
        <w:spacing w:after="0" w:line="240" w:lineRule="auto"/>
        <w:jc w:val="both"/>
        <w:rPr>
          <w:rFonts w:ascii="Arial" w:hAnsi="Arial" w:cs="Arial"/>
          <w:lang w:eastAsia="en-GB"/>
        </w:rPr>
      </w:pPr>
    </w:p>
    <w:p w:rsidR="00D24001" w:rsidRPr="00EA51CD" w:rsidRDefault="00D24001" w:rsidP="00DE29BB">
      <w:pPr>
        <w:pStyle w:val="amalbody"/>
        <w:spacing w:line="240" w:lineRule="auto"/>
        <w:rPr>
          <w:rFonts w:ascii="Arial" w:hAnsi="Arial" w:cs="Arial"/>
          <w:color w:val="auto"/>
          <w:sz w:val="22"/>
          <w:szCs w:val="22"/>
          <w:lang w:eastAsia="en-GB"/>
        </w:rPr>
      </w:pPr>
      <w:r w:rsidRPr="00EA51CD">
        <w:rPr>
          <w:rFonts w:ascii="Arial" w:hAnsi="Arial" w:cs="Arial"/>
          <w:b/>
          <w:color w:val="auto"/>
          <w:sz w:val="22"/>
          <w:szCs w:val="22"/>
          <w:lang w:eastAsia="en-GB"/>
        </w:rPr>
        <w:t>Conclusion</w:t>
      </w:r>
      <w:r w:rsidR="0084611F">
        <w:rPr>
          <w:rFonts w:ascii="Arial" w:hAnsi="Arial" w:cs="Arial"/>
          <w:b/>
          <w:color w:val="auto"/>
          <w:sz w:val="22"/>
          <w:szCs w:val="22"/>
          <w:lang w:eastAsia="en-GB"/>
        </w:rPr>
        <w:t xml:space="preserve">: </w:t>
      </w:r>
      <w:r w:rsidR="0084611F" w:rsidRPr="00C87593">
        <w:rPr>
          <w:rFonts w:ascii="Arial" w:hAnsi="Arial" w:cs="Arial"/>
          <w:color w:val="auto"/>
          <w:sz w:val="22"/>
          <w:szCs w:val="22"/>
          <w:lang w:eastAsia="en-GB"/>
        </w:rPr>
        <w:t>H</w:t>
      </w:r>
      <w:r w:rsidR="0084611F">
        <w:rPr>
          <w:rFonts w:ascii="Arial" w:hAnsi="Arial" w:cs="Arial"/>
          <w:color w:val="auto"/>
          <w:sz w:val="22"/>
          <w:szCs w:val="22"/>
          <w:lang w:eastAsia="en-GB"/>
        </w:rPr>
        <w:t xml:space="preserve">uman </w:t>
      </w:r>
      <w:r w:rsidRPr="00EA51CD">
        <w:rPr>
          <w:rFonts w:ascii="Arial" w:eastAsia="Times New Roman" w:hAnsi="Arial" w:cs="Arial"/>
          <w:sz w:val="22"/>
          <w:szCs w:val="22"/>
          <w:lang w:eastAsia="en-GB"/>
        </w:rPr>
        <w:t>PTECs</w:t>
      </w:r>
      <w:r w:rsidRPr="00EA51CD">
        <w:rPr>
          <w:rFonts w:ascii="Arial" w:hAnsi="Arial" w:cs="Arial"/>
          <w:color w:val="auto"/>
          <w:sz w:val="22"/>
          <w:szCs w:val="22"/>
          <w:lang w:eastAsia="en-GB"/>
        </w:rPr>
        <w:t xml:space="preserve"> suffer </w:t>
      </w:r>
      <w:r w:rsidR="0084611F">
        <w:rPr>
          <w:rFonts w:ascii="Arial" w:hAnsi="Arial" w:cs="Arial"/>
          <w:color w:val="auto"/>
          <w:sz w:val="22"/>
          <w:szCs w:val="22"/>
          <w:lang w:eastAsia="en-GB"/>
        </w:rPr>
        <w:t>down regulation of Glo1 activity and increased in flux of MG formation in model hyperglycemia in primary culture. These are likely metabolic drivers synergising to increase the concentration of MG in PTECs in diabetes. Overexpression or Glo1 inducer therapeutics may correct this and prevent and alleviate diabetic kidney disease.</w:t>
      </w:r>
    </w:p>
    <w:p w:rsidR="00BD6DC2" w:rsidRDefault="00364723" w:rsidP="00E74C4A">
      <w:pPr>
        <w:pStyle w:val="amalbody"/>
        <w:spacing w:line="276" w:lineRule="auto"/>
        <w:rPr>
          <w:rFonts w:ascii="Arial" w:hAnsi="Arial" w:cs="Arial"/>
          <w:color w:val="auto"/>
          <w:sz w:val="22"/>
          <w:szCs w:val="22"/>
          <w:lang w:eastAsia="en-GB"/>
        </w:rPr>
      </w:pPr>
    </w:p>
    <w:p w:rsidR="00C87593" w:rsidRPr="00F11304" w:rsidRDefault="00C87593" w:rsidP="00E74C4A">
      <w:pPr>
        <w:pStyle w:val="amalbody"/>
        <w:spacing w:line="276" w:lineRule="auto"/>
        <w:rPr>
          <w:rFonts w:ascii="Arial" w:hAnsi="Arial" w:cs="Arial"/>
          <w:color w:val="auto"/>
          <w:sz w:val="22"/>
          <w:szCs w:val="22"/>
          <w:lang w:eastAsia="en-GB"/>
        </w:rPr>
      </w:pPr>
      <w:r w:rsidRPr="00C87593">
        <w:rPr>
          <w:rFonts w:ascii="Arial" w:hAnsi="Arial" w:cs="Arial"/>
          <w:b/>
          <w:color w:val="auto"/>
          <w:sz w:val="22"/>
          <w:szCs w:val="22"/>
          <w:lang w:eastAsia="en-GB"/>
        </w:rPr>
        <w:t>Word count:</w:t>
      </w:r>
      <w:r>
        <w:rPr>
          <w:rFonts w:ascii="Arial" w:hAnsi="Arial" w:cs="Arial"/>
          <w:color w:val="auto"/>
          <w:sz w:val="22"/>
          <w:szCs w:val="22"/>
          <w:lang w:eastAsia="en-GB"/>
        </w:rPr>
        <w:t xml:space="preserve"> 398</w:t>
      </w:r>
    </w:p>
    <w:sectPr w:rsidR="00C87593" w:rsidRPr="00F11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3A"/>
    <w:rsid w:val="000F64B8"/>
    <w:rsid w:val="00112DB3"/>
    <w:rsid w:val="00123843"/>
    <w:rsid w:val="00136557"/>
    <w:rsid w:val="002936E7"/>
    <w:rsid w:val="00364723"/>
    <w:rsid w:val="004A283A"/>
    <w:rsid w:val="00500E79"/>
    <w:rsid w:val="006A4E02"/>
    <w:rsid w:val="007776F0"/>
    <w:rsid w:val="007E0F75"/>
    <w:rsid w:val="0084611F"/>
    <w:rsid w:val="008702FB"/>
    <w:rsid w:val="009B6C14"/>
    <w:rsid w:val="00B74279"/>
    <w:rsid w:val="00BE3EEF"/>
    <w:rsid w:val="00C71A3B"/>
    <w:rsid w:val="00C87593"/>
    <w:rsid w:val="00D24001"/>
    <w:rsid w:val="00DB4B53"/>
    <w:rsid w:val="00DE29BB"/>
    <w:rsid w:val="00E74C4A"/>
    <w:rsid w:val="00EA51CD"/>
    <w:rsid w:val="00F113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5CC17-4D24-4D80-B0AB-E0B811FE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lbody">
    <w:name w:val="amal body"/>
    <w:basedOn w:val="Normal"/>
    <w:qFormat/>
    <w:rsid w:val="004A283A"/>
    <w:pPr>
      <w:autoSpaceDE w:val="0"/>
      <w:autoSpaceDN w:val="0"/>
      <w:adjustRightInd w:val="0"/>
      <w:spacing w:after="0" w:line="360" w:lineRule="auto"/>
      <w:jc w:val="both"/>
    </w:pPr>
    <w:rPr>
      <w:rFonts w:ascii="Times New Roman" w:hAnsi="Times New Roman" w:cstheme="minorHAnsi"/>
      <w:color w:val="000000" w:themeColor="text1"/>
      <w:sz w:val="24"/>
      <w:szCs w:val="24"/>
    </w:rPr>
  </w:style>
  <w:style w:type="character" w:styleId="Hyperlink">
    <w:name w:val="Hyperlink"/>
    <w:basedOn w:val="DefaultParagraphFont"/>
    <w:uiPriority w:val="99"/>
    <w:unhideWhenUsed/>
    <w:rsid w:val="00F11304"/>
    <w:rPr>
      <w:color w:val="0563C1" w:themeColor="hyperlink"/>
      <w:u w:val="single"/>
    </w:rPr>
  </w:style>
  <w:style w:type="paragraph" w:styleId="PlainText">
    <w:name w:val="Plain Text"/>
    <w:basedOn w:val="Normal"/>
    <w:link w:val="PlainTextChar"/>
    <w:uiPriority w:val="99"/>
    <w:unhideWhenUsed/>
    <w:rsid w:val="00F11304"/>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rsid w:val="00F11304"/>
    <w:rPr>
      <w:rFonts w:ascii="Calibri" w:hAnsi="Calibri"/>
      <w:sz w:val="24"/>
      <w:szCs w:val="21"/>
    </w:rPr>
  </w:style>
  <w:style w:type="character" w:customStyle="1" w:styleId="y0nh2b">
    <w:name w:val="y0nh2b"/>
    <w:basedOn w:val="DefaultParagraphFont"/>
    <w:rsid w:val="00EA51CD"/>
  </w:style>
  <w:style w:type="paragraph" w:styleId="EnvelopeAddress">
    <w:name w:val="envelope address"/>
    <w:basedOn w:val="Normal"/>
    <w:uiPriority w:val="99"/>
    <w:unhideWhenUsed/>
    <w:rsid w:val="0084611F"/>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433">
      <w:bodyDiv w:val="1"/>
      <w:marLeft w:val="0"/>
      <w:marRight w:val="0"/>
      <w:marTop w:val="0"/>
      <w:marBottom w:val="0"/>
      <w:divBdr>
        <w:top w:val="none" w:sz="0" w:space="0" w:color="auto"/>
        <w:left w:val="none" w:sz="0" w:space="0" w:color="auto"/>
        <w:bottom w:val="none" w:sz="0" w:space="0" w:color="auto"/>
        <w:right w:val="none" w:sz="0" w:space="0" w:color="auto"/>
      </w:divBdr>
    </w:div>
    <w:div w:id="931625950">
      <w:bodyDiv w:val="1"/>
      <w:marLeft w:val="0"/>
      <w:marRight w:val="0"/>
      <w:marTop w:val="0"/>
      <w:marBottom w:val="0"/>
      <w:divBdr>
        <w:top w:val="none" w:sz="0" w:space="0" w:color="auto"/>
        <w:left w:val="none" w:sz="0" w:space="0" w:color="auto"/>
        <w:bottom w:val="none" w:sz="0" w:space="0" w:color="auto"/>
        <w:right w:val="none" w:sz="0" w:space="0" w:color="auto"/>
      </w:divBdr>
      <w:divsChild>
        <w:div w:id="296187470">
          <w:marLeft w:val="0"/>
          <w:marRight w:val="0"/>
          <w:marTop w:val="0"/>
          <w:marBottom w:val="0"/>
          <w:divBdr>
            <w:top w:val="none" w:sz="0" w:space="0" w:color="auto"/>
            <w:left w:val="none" w:sz="0" w:space="0" w:color="auto"/>
            <w:bottom w:val="none" w:sz="0" w:space="0" w:color="auto"/>
            <w:right w:val="none" w:sz="0" w:space="0" w:color="auto"/>
          </w:divBdr>
          <w:divsChild>
            <w:div w:id="1783962386">
              <w:marLeft w:val="0"/>
              <w:marRight w:val="0"/>
              <w:marTop w:val="0"/>
              <w:marBottom w:val="0"/>
              <w:divBdr>
                <w:top w:val="none" w:sz="0" w:space="0" w:color="auto"/>
                <w:left w:val="none" w:sz="0" w:space="0" w:color="auto"/>
                <w:bottom w:val="none" w:sz="0" w:space="0" w:color="auto"/>
                <w:right w:val="none" w:sz="0" w:space="0" w:color="auto"/>
              </w:divBdr>
              <w:divsChild>
                <w:div w:id="1953631142">
                  <w:marLeft w:val="0"/>
                  <w:marRight w:val="0"/>
                  <w:marTop w:val="0"/>
                  <w:marBottom w:val="0"/>
                  <w:divBdr>
                    <w:top w:val="none" w:sz="0" w:space="0" w:color="auto"/>
                    <w:left w:val="none" w:sz="0" w:space="0" w:color="auto"/>
                    <w:bottom w:val="none" w:sz="0" w:space="0" w:color="auto"/>
                    <w:right w:val="none" w:sz="0" w:space="0" w:color="auto"/>
                  </w:divBdr>
                  <w:divsChild>
                    <w:div w:id="1200126157">
                      <w:marLeft w:val="0"/>
                      <w:marRight w:val="0"/>
                      <w:marTop w:val="0"/>
                      <w:marBottom w:val="0"/>
                      <w:divBdr>
                        <w:top w:val="none" w:sz="0" w:space="0" w:color="auto"/>
                        <w:left w:val="none" w:sz="0" w:space="0" w:color="auto"/>
                        <w:bottom w:val="none" w:sz="0" w:space="0" w:color="auto"/>
                        <w:right w:val="none" w:sz="0" w:space="0" w:color="auto"/>
                      </w:divBdr>
                      <w:divsChild>
                        <w:div w:id="2144762607">
                          <w:marLeft w:val="0"/>
                          <w:marRight w:val="0"/>
                          <w:marTop w:val="0"/>
                          <w:marBottom w:val="0"/>
                          <w:divBdr>
                            <w:top w:val="none" w:sz="0" w:space="0" w:color="auto"/>
                            <w:left w:val="none" w:sz="0" w:space="0" w:color="auto"/>
                            <w:bottom w:val="none" w:sz="0" w:space="0" w:color="auto"/>
                            <w:right w:val="none" w:sz="0" w:space="0" w:color="auto"/>
                          </w:divBdr>
                          <w:divsChild>
                            <w:div w:id="1679238557">
                              <w:marLeft w:val="0"/>
                              <w:marRight w:val="0"/>
                              <w:marTop w:val="0"/>
                              <w:marBottom w:val="0"/>
                              <w:divBdr>
                                <w:top w:val="none" w:sz="0" w:space="0" w:color="auto"/>
                                <w:left w:val="none" w:sz="0" w:space="0" w:color="auto"/>
                                <w:bottom w:val="none" w:sz="0" w:space="0" w:color="auto"/>
                                <w:right w:val="none" w:sz="0" w:space="0" w:color="auto"/>
                              </w:divBdr>
                              <w:divsChild>
                                <w:div w:id="159006770">
                                  <w:marLeft w:val="0"/>
                                  <w:marRight w:val="0"/>
                                  <w:marTop w:val="0"/>
                                  <w:marBottom w:val="0"/>
                                  <w:divBdr>
                                    <w:top w:val="none" w:sz="0" w:space="0" w:color="auto"/>
                                    <w:left w:val="none" w:sz="0" w:space="0" w:color="auto"/>
                                    <w:bottom w:val="none" w:sz="0" w:space="0" w:color="auto"/>
                                    <w:right w:val="none" w:sz="0" w:space="0" w:color="auto"/>
                                  </w:divBdr>
                                  <w:divsChild>
                                    <w:div w:id="1346205654">
                                      <w:marLeft w:val="0"/>
                                      <w:marRight w:val="60"/>
                                      <w:marTop w:val="0"/>
                                      <w:marBottom w:val="0"/>
                                      <w:divBdr>
                                        <w:top w:val="none" w:sz="0" w:space="0" w:color="auto"/>
                                        <w:left w:val="none" w:sz="0" w:space="0" w:color="auto"/>
                                        <w:bottom w:val="none" w:sz="0" w:space="0" w:color="auto"/>
                                        <w:right w:val="none" w:sz="0" w:space="0" w:color="auto"/>
                                      </w:divBdr>
                                      <w:divsChild>
                                        <w:div w:id="1922911586">
                                          <w:marLeft w:val="0"/>
                                          <w:marRight w:val="0"/>
                                          <w:marTop w:val="0"/>
                                          <w:marBottom w:val="0"/>
                                          <w:divBdr>
                                            <w:top w:val="none" w:sz="0" w:space="0" w:color="auto"/>
                                            <w:left w:val="none" w:sz="0" w:space="0" w:color="auto"/>
                                            <w:bottom w:val="none" w:sz="0" w:space="0" w:color="auto"/>
                                            <w:right w:val="none" w:sz="0" w:space="0" w:color="auto"/>
                                          </w:divBdr>
                                          <w:divsChild>
                                            <w:div w:id="1373463245">
                                              <w:marLeft w:val="0"/>
                                              <w:marRight w:val="0"/>
                                              <w:marTop w:val="0"/>
                                              <w:marBottom w:val="120"/>
                                              <w:divBdr>
                                                <w:top w:val="single" w:sz="6" w:space="0" w:color="F5F5F5"/>
                                                <w:left w:val="single" w:sz="6" w:space="0" w:color="F5F5F5"/>
                                                <w:bottom w:val="single" w:sz="6" w:space="0" w:color="F5F5F5"/>
                                                <w:right w:val="single" w:sz="6" w:space="0" w:color="F5F5F5"/>
                                              </w:divBdr>
                                              <w:divsChild>
                                                <w:div w:id="1577858127">
                                                  <w:marLeft w:val="0"/>
                                                  <w:marRight w:val="0"/>
                                                  <w:marTop w:val="0"/>
                                                  <w:marBottom w:val="0"/>
                                                  <w:divBdr>
                                                    <w:top w:val="none" w:sz="0" w:space="0" w:color="auto"/>
                                                    <w:left w:val="none" w:sz="0" w:space="0" w:color="auto"/>
                                                    <w:bottom w:val="none" w:sz="0" w:space="0" w:color="auto"/>
                                                    <w:right w:val="none" w:sz="0" w:space="0" w:color="auto"/>
                                                  </w:divBdr>
                                                  <w:divsChild>
                                                    <w:div w:id="10916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288984">
      <w:bodyDiv w:val="1"/>
      <w:marLeft w:val="0"/>
      <w:marRight w:val="0"/>
      <w:marTop w:val="0"/>
      <w:marBottom w:val="0"/>
      <w:divBdr>
        <w:top w:val="none" w:sz="0" w:space="0" w:color="auto"/>
        <w:left w:val="none" w:sz="0" w:space="0" w:color="auto"/>
        <w:bottom w:val="none" w:sz="0" w:space="0" w:color="auto"/>
        <w:right w:val="none" w:sz="0" w:space="0" w:color="auto"/>
      </w:divBdr>
    </w:div>
    <w:div w:id="1216040743">
      <w:bodyDiv w:val="1"/>
      <w:marLeft w:val="0"/>
      <w:marRight w:val="0"/>
      <w:marTop w:val="0"/>
      <w:marBottom w:val="0"/>
      <w:divBdr>
        <w:top w:val="none" w:sz="0" w:space="0" w:color="auto"/>
        <w:left w:val="none" w:sz="0" w:space="0" w:color="auto"/>
        <w:bottom w:val="none" w:sz="0" w:space="0" w:color="auto"/>
        <w:right w:val="none" w:sz="0" w:space="0" w:color="auto"/>
      </w:divBdr>
    </w:div>
    <w:div w:id="1426532307">
      <w:bodyDiv w:val="1"/>
      <w:marLeft w:val="0"/>
      <w:marRight w:val="0"/>
      <w:marTop w:val="0"/>
      <w:marBottom w:val="0"/>
      <w:divBdr>
        <w:top w:val="none" w:sz="0" w:space="0" w:color="auto"/>
        <w:left w:val="none" w:sz="0" w:space="0" w:color="auto"/>
        <w:bottom w:val="none" w:sz="0" w:space="0" w:color="auto"/>
        <w:right w:val="none" w:sz="0" w:space="0" w:color="auto"/>
      </w:divBdr>
    </w:div>
    <w:div w:id="2125609401">
      <w:bodyDiv w:val="1"/>
      <w:marLeft w:val="0"/>
      <w:marRight w:val="0"/>
      <w:marTop w:val="0"/>
      <w:marBottom w:val="0"/>
      <w:divBdr>
        <w:top w:val="none" w:sz="0" w:space="0" w:color="auto"/>
        <w:left w:val="none" w:sz="0" w:space="0" w:color="auto"/>
        <w:bottom w:val="none" w:sz="0" w:space="0" w:color="auto"/>
        <w:right w:val="none" w:sz="0" w:space="0" w:color="auto"/>
      </w:divBdr>
    </w:div>
    <w:div w:id="21379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66F7980C</Template>
  <TotalTime>2</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 Al-Ghamdi, Ohoud</dc:creator>
  <cp:keywords/>
  <dc:description/>
  <cp:lastModifiedBy>Al-Ghamdi, Ohoud</cp:lastModifiedBy>
  <cp:revision>3</cp:revision>
  <dcterms:created xsi:type="dcterms:W3CDTF">2018-05-02T13:43:00Z</dcterms:created>
  <dcterms:modified xsi:type="dcterms:W3CDTF">2018-05-02T14:50:00Z</dcterms:modified>
</cp:coreProperties>
</file>