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7F3C35" w14:textId="77777777" w:rsidR="009B182D" w:rsidRPr="00E61510" w:rsidRDefault="009B182D" w:rsidP="009B182D">
      <w:pPr>
        <w:jc w:val="center"/>
        <w:rPr>
          <w:rFonts w:ascii="Arial" w:hAnsi="Arial" w:cs="Arial"/>
          <w:b/>
          <w:sz w:val="22"/>
          <w:szCs w:val="22"/>
        </w:rPr>
      </w:pPr>
      <w:r w:rsidRPr="00E61510">
        <w:rPr>
          <w:rFonts w:ascii="Arial" w:hAnsi="Arial" w:cs="Arial"/>
          <w:b/>
          <w:sz w:val="22"/>
          <w:szCs w:val="22"/>
        </w:rPr>
        <w:t xml:space="preserve">Characterisation of </w:t>
      </w:r>
      <w:r w:rsidRPr="00E61510">
        <w:rPr>
          <w:rFonts w:ascii="Arial" w:hAnsi="Arial" w:cs="Arial"/>
          <w:b/>
          <w:i/>
          <w:sz w:val="22"/>
          <w:szCs w:val="22"/>
        </w:rPr>
        <w:t>cis-</w:t>
      </w:r>
      <w:r w:rsidRPr="00E61510">
        <w:rPr>
          <w:rFonts w:ascii="Arial" w:hAnsi="Arial" w:cs="Arial"/>
          <w:b/>
          <w:sz w:val="22"/>
          <w:szCs w:val="22"/>
        </w:rPr>
        <w:t xml:space="preserve">regulatory modules controlling gene expression within </w:t>
      </w:r>
      <w:r w:rsidRPr="00E61510">
        <w:rPr>
          <w:rFonts w:ascii="Arial" w:hAnsi="Arial" w:cs="Arial"/>
          <w:b/>
          <w:i/>
          <w:sz w:val="22"/>
          <w:szCs w:val="22"/>
        </w:rPr>
        <w:t>sox17+</w:t>
      </w:r>
      <w:r w:rsidRPr="00E61510">
        <w:rPr>
          <w:rFonts w:ascii="Arial" w:hAnsi="Arial" w:cs="Arial"/>
          <w:b/>
          <w:sz w:val="22"/>
          <w:szCs w:val="22"/>
        </w:rPr>
        <w:t xml:space="preserve"> lineages during zebrafish embryonic development</w:t>
      </w:r>
    </w:p>
    <w:p w14:paraId="27359320" w14:textId="77777777" w:rsidR="009B182D" w:rsidRPr="00E61510" w:rsidRDefault="009B182D" w:rsidP="009B182D">
      <w:pPr>
        <w:jc w:val="center"/>
        <w:rPr>
          <w:rFonts w:ascii="Arial" w:hAnsi="Arial" w:cs="Arial"/>
          <w:sz w:val="22"/>
          <w:szCs w:val="22"/>
        </w:rPr>
      </w:pPr>
    </w:p>
    <w:p w14:paraId="4D59EC3F" w14:textId="77777777" w:rsidR="009B182D" w:rsidRPr="00E61510" w:rsidRDefault="009B182D" w:rsidP="009B182D">
      <w:pPr>
        <w:jc w:val="center"/>
        <w:rPr>
          <w:rFonts w:ascii="Arial" w:hAnsi="Arial" w:cs="Arial"/>
          <w:sz w:val="22"/>
          <w:szCs w:val="22"/>
        </w:rPr>
      </w:pPr>
      <w:r w:rsidRPr="00E61510">
        <w:rPr>
          <w:rFonts w:ascii="Arial" w:hAnsi="Arial" w:cs="Arial"/>
          <w:sz w:val="22"/>
          <w:szCs w:val="22"/>
        </w:rPr>
        <w:t>Randa Elsayed</w:t>
      </w:r>
      <w:r w:rsidRPr="00E61510">
        <w:rPr>
          <w:rFonts w:ascii="Arial" w:hAnsi="Arial" w:cs="Arial"/>
          <w:sz w:val="22"/>
          <w:szCs w:val="22"/>
          <w:vertAlign w:val="superscript"/>
        </w:rPr>
        <w:t>1</w:t>
      </w:r>
      <w:r w:rsidRPr="00E61510">
        <w:rPr>
          <w:rFonts w:ascii="Arial" w:hAnsi="Arial" w:cs="Arial"/>
          <w:sz w:val="22"/>
          <w:szCs w:val="22"/>
        </w:rPr>
        <w:t>, Sascha Ott</w:t>
      </w:r>
      <w:r w:rsidRPr="00E61510">
        <w:rPr>
          <w:rFonts w:ascii="Arial" w:hAnsi="Arial" w:cs="Arial"/>
          <w:sz w:val="22"/>
          <w:szCs w:val="22"/>
          <w:vertAlign w:val="superscript"/>
        </w:rPr>
        <w:t>2</w:t>
      </w:r>
      <w:r w:rsidRPr="00E61510">
        <w:rPr>
          <w:rFonts w:ascii="Arial" w:hAnsi="Arial" w:cs="Arial"/>
          <w:sz w:val="22"/>
          <w:szCs w:val="22"/>
        </w:rPr>
        <w:t>, Andrew Nelson</w:t>
      </w:r>
      <w:r w:rsidRPr="00E61510">
        <w:rPr>
          <w:rFonts w:ascii="Arial" w:hAnsi="Arial" w:cs="Arial"/>
          <w:sz w:val="22"/>
          <w:szCs w:val="22"/>
          <w:vertAlign w:val="superscript"/>
        </w:rPr>
        <w:t>3</w:t>
      </w:r>
    </w:p>
    <w:p w14:paraId="0DC8FA84" w14:textId="77777777" w:rsidR="009B182D" w:rsidRPr="00E61510" w:rsidRDefault="009B182D" w:rsidP="009B182D">
      <w:pPr>
        <w:jc w:val="center"/>
        <w:rPr>
          <w:rFonts w:ascii="Arial" w:hAnsi="Arial" w:cs="Arial"/>
          <w:sz w:val="22"/>
          <w:szCs w:val="22"/>
        </w:rPr>
      </w:pPr>
      <w:r w:rsidRPr="00E61510">
        <w:rPr>
          <w:rFonts w:ascii="Arial" w:hAnsi="Arial" w:cs="Arial"/>
          <w:sz w:val="22"/>
          <w:szCs w:val="22"/>
          <w:vertAlign w:val="superscript"/>
        </w:rPr>
        <w:t>1</w:t>
      </w:r>
      <w:r w:rsidRPr="00E61510">
        <w:rPr>
          <w:rFonts w:ascii="Arial" w:hAnsi="Arial" w:cs="Arial"/>
          <w:sz w:val="22"/>
          <w:szCs w:val="22"/>
        </w:rPr>
        <w:t xml:space="preserve">Warwick Medical School, </w:t>
      </w:r>
      <w:r w:rsidRPr="00E61510">
        <w:rPr>
          <w:rFonts w:ascii="Arial" w:hAnsi="Arial" w:cs="Arial"/>
          <w:sz w:val="22"/>
          <w:szCs w:val="22"/>
          <w:vertAlign w:val="superscript"/>
        </w:rPr>
        <w:t>2</w:t>
      </w:r>
      <w:r w:rsidRPr="00E61510">
        <w:rPr>
          <w:rFonts w:ascii="Arial" w:hAnsi="Arial" w:cs="Arial"/>
          <w:sz w:val="22"/>
          <w:szCs w:val="22"/>
        </w:rPr>
        <w:t xml:space="preserve"> Department of Computer Science, </w:t>
      </w:r>
      <w:r w:rsidRPr="00E61510">
        <w:rPr>
          <w:rFonts w:ascii="Arial" w:hAnsi="Arial" w:cs="Arial"/>
          <w:sz w:val="22"/>
          <w:szCs w:val="22"/>
          <w:vertAlign w:val="superscript"/>
        </w:rPr>
        <w:t>3</w:t>
      </w:r>
      <w:r w:rsidRPr="00E61510">
        <w:rPr>
          <w:rFonts w:ascii="Arial" w:hAnsi="Arial" w:cs="Arial"/>
          <w:sz w:val="22"/>
          <w:szCs w:val="22"/>
        </w:rPr>
        <w:t>School of Life Sciences, University of Warwick</w:t>
      </w:r>
    </w:p>
    <w:p w14:paraId="723F5452" w14:textId="77777777" w:rsidR="009B182D" w:rsidRPr="00E61510" w:rsidRDefault="009B182D" w:rsidP="009B182D">
      <w:pPr>
        <w:jc w:val="both"/>
        <w:rPr>
          <w:rFonts w:ascii="Arial" w:hAnsi="Arial" w:cs="Arial"/>
          <w:sz w:val="22"/>
          <w:szCs w:val="22"/>
        </w:rPr>
      </w:pPr>
    </w:p>
    <w:p w14:paraId="0292BABD" w14:textId="77777777" w:rsidR="009B182D" w:rsidRPr="00E61510" w:rsidRDefault="009B182D" w:rsidP="009B182D">
      <w:pPr>
        <w:jc w:val="both"/>
        <w:rPr>
          <w:rFonts w:ascii="Arial" w:hAnsi="Arial" w:cs="Arial"/>
          <w:sz w:val="22"/>
          <w:szCs w:val="22"/>
        </w:rPr>
      </w:pPr>
      <w:r w:rsidRPr="00E61510">
        <w:rPr>
          <w:rFonts w:ascii="Arial" w:hAnsi="Arial" w:cs="Arial"/>
          <w:sz w:val="22"/>
          <w:szCs w:val="22"/>
        </w:rPr>
        <w:t xml:space="preserve">All tissues and organs in the human body are derived from the three primary germ layers; endoderm, mesoderm and ectoderm. The endoderm gives rise to highly specialized epithelial cells that line the respiratory and gastrointestinal tracts and contributes to the development of associated organs including liver and pancreas, as well as the thyroid and thymus </w:t>
      </w:r>
      <w:r w:rsidRPr="00E61510">
        <w:rPr>
          <w:rFonts w:ascii="Arial" w:hAnsi="Arial" w:cs="Arial"/>
          <w:sz w:val="22"/>
          <w:szCs w:val="22"/>
        </w:rPr>
        <w:fldChar w:fldCharType="begin" w:fldLock="1"/>
      </w:r>
      <w:r w:rsidRPr="00E61510">
        <w:rPr>
          <w:rFonts w:ascii="Arial" w:hAnsi="Arial" w:cs="Arial"/>
          <w:sz w:val="22"/>
          <w:szCs w:val="22"/>
        </w:rPr>
        <w:instrText>ADDIN CSL_CITATION { "citationItems" : [ { "id" : "ITEM-1", "itemData" : { "DOI" : "10.1016/B978-0-12-405945-0.00013-2", "ISBN" : "9780124059450", "abstract" : "The embryonic endoderm contributes to the epithelial lining of the digestive and respiratory system and associated organs such as the liver and pancreas. Data from a number of animal models demonstrate that a conserved gene regulatory network (GRN) controls endoderm germ layer specification during gastrulation in vertebrates. The transforming growth factor (TGF)-\u03b2 signaling ligand Nodal induces this endoderm GRN by activating the expression of a key group of transcription factors including Sox17, FoxA, and Mix-like proteins. These transcription factors interact in a complex auto-regulatory loop; with both distinct and overlapping downstream target genes they regulate the segregation of the endoderm and mesoderm lineages from a transient mesendoderm progenitor. Other signaling pathways including Wnt, Notch, and FGF modulate the activity of the Nodal endoderm GRN but their relative importance appears to vary in different species. Our understanding of endoderm development in animal models has been translated into robust protocols to differentiate human endoderm in vitro from pluripotent stem cells. In addition to providing the possibility of regenerative medicine and a means of modeling human disease of endoderm tissues, the in vitro differentiation of endoderm from stem cells now provides a powerful model to further interrogate the molecular basis of human endoderm formation.", "author" : [ { "dropping-particle" : "", "family" : "Wlizla", "given" : "Marcin", "non-dropping-particle" : "", "parse-names" : false, "suffix" : "" }, { "dropping-particle" : "", "family" : "Zorn", "given" : "Aaron M.", "non-dropping-particle" : "", "parse-names" : false, "suffix" : "" } ], "container-title" : "Principles of Developmental Genetics: Second Edition", "id" : "ITEM-1", "issued" : { "date-parts" : [ [ "2014" ] ] }, "page" : "237-253", "title" : "Vertebrate Endoderm Formation", "type" : "chapter" }, "uris" : [ "http://www.mendeley.com/documents/?uuid=90a608b3-428d-35f7-a8b3-bff73fa8bdb1" ] } ], "mendeley" : { "formattedCitation" : "(Wlizla and Zorn, 2014)", "plainTextFormattedCitation" : "(Wlizla and Zorn, 2014)", "previouslyFormattedCitation" : "(Wlizla and Zorn, 2014)" }, "properties" : { "noteIndex" : 0 }, "schema" : "https://github.com/citation-style-language/schema/raw/master/csl-citation.json" }</w:instrText>
      </w:r>
      <w:r w:rsidRPr="00E61510">
        <w:rPr>
          <w:rFonts w:ascii="Arial" w:hAnsi="Arial" w:cs="Arial"/>
          <w:sz w:val="22"/>
          <w:szCs w:val="22"/>
        </w:rPr>
        <w:fldChar w:fldCharType="separate"/>
      </w:r>
      <w:r w:rsidRPr="00E61510">
        <w:rPr>
          <w:rFonts w:ascii="Arial" w:hAnsi="Arial" w:cs="Arial"/>
          <w:noProof/>
          <w:sz w:val="22"/>
          <w:szCs w:val="22"/>
        </w:rPr>
        <w:t>(Wlizla and Zorn, 2014)</w:t>
      </w:r>
      <w:r w:rsidRPr="00E61510">
        <w:rPr>
          <w:rFonts w:ascii="Arial" w:hAnsi="Arial" w:cs="Arial"/>
          <w:sz w:val="22"/>
          <w:szCs w:val="22"/>
        </w:rPr>
        <w:fldChar w:fldCharType="end"/>
      </w:r>
      <w:r w:rsidRPr="00E61510">
        <w:rPr>
          <w:rFonts w:ascii="Arial" w:hAnsi="Arial" w:cs="Arial"/>
          <w:sz w:val="22"/>
          <w:szCs w:val="22"/>
        </w:rPr>
        <w:t xml:space="preserve">. However, the gene regulatory control mechanisms and </w:t>
      </w:r>
      <w:r w:rsidRPr="00E61510">
        <w:rPr>
          <w:rFonts w:ascii="Arial" w:hAnsi="Arial" w:cs="Arial"/>
          <w:i/>
          <w:sz w:val="22"/>
          <w:szCs w:val="22"/>
        </w:rPr>
        <w:t>cis-</w:t>
      </w:r>
      <w:r w:rsidRPr="00E61510">
        <w:rPr>
          <w:rFonts w:ascii="Arial" w:hAnsi="Arial" w:cs="Arial"/>
          <w:sz w:val="22"/>
          <w:szCs w:val="22"/>
        </w:rPr>
        <w:t xml:space="preserve">regulatory modules (CRMs) that govern endoderm development are not well understood. My project aims to exploit the </w:t>
      </w:r>
      <w:r w:rsidRPr="00E61510">
        <w:rPr>
          <w:rFonts w:ascii="Arial" w:hAnsi="Arial" w:cs="Arial"/>
          <w:i/>
          <w:sz w:val="22"/>
          <w:szCs w:val="22"/>
        </w:rPr>
        <w:t xml:space="preserve">Tg(sox17:EGFP) </w:t>
      </w:r>
      <w:r w:rsidRPr="00E61510">
        <w:rPr>
          <w:rFonts w:ascii="Arial" w:hAnsi="Arial" w:cs="Arial"/>
          <w:sz w:val="22"/>
          <w:szCs w:val="22"/>
        </w:rPr>
        <w:t xml:space="preserve">pan-endodermal reporter line </w:t>
      </w:r>
      <w:r w:rsidRPr="00E61510">
        <w:rPr>
          <w:rFonts w:ascii="Arial" w:hAnsi="Arial" w:cs="Arial"/>
          <w:sz w:val="22"/>
          <w:szCs w:val="22"/>
        </w:rPr>
        <w:fldChar w:fldCharType="begin" w:fldLock="1"/>
      </w:r>
      <w:r w:rsidRPr="00E61510">
        <w:rPr>
          <w:rFonts w:ascii="Arial" w:hAnsi="Arial" w:cs="Arial"/>
          <w:sz w:val="22"/>
          <w:szCs w:val="22"/>
        </w:rPr>
        <w:instrText>ADDIN CSL_CITATION { "citationItems" : [ { "id" : "ITEM-1", "itemData" : { "ISBN" : "0950-1991 (Print)\\r0950-1991 (Linking)", "ISSN" : "0950-1991", "PMID" : "18579679", "abstract" : "During vertebrate gastrulation, both mesodermal and endodermal cells internalize through the blastopore beneath the ectoderm. In zebrafish, the internalized mesodermal cells move towards the dorsal side of the gastrula and, at the same time, they extend anteriorly by convergence and extension (C&amp;E) movements. Endodermal cells showing characteristic filopodia then migrate into the inner layer within the hypoblast next to the yolk syncytial layer (YSL). However, little is known about how the movement of endodermal cells is regulated during gastrulation. Here we show that sdf1a- and sdf1b-expressing mesodermal cells control the movements of the cxcr4a-expressing endodermal cells. The directional migration of endodermal cells during gastrulation is inhibited by knockdown of either cxcr4a or sdf1a/sdf1b (sdf1). We also show that misexpressed Sdf1 acts as a chemoattractant for cxcr4a-expressing endodermal cells. We further found, using the endoderm-specific transgenic line Tg(sox17:EGFP), that Sdf1/Cxcr4 signaling regulates both the formation and orientation of filopodial processes in endodermal cells. Moreover, the accumulation of phosphoinositide 3,4,5-trisphosphate (PIP(3)), which is known to occur at the leading edge of migrating cells, is not observed at the filopodia of endodermal cells. Based on our results, we propose that sdf1-expressing mesodermal cells, which overlie the endodermal layer, guide the cxcr4a-expressing endodermal cells to the dorsal side of the embryo during gastrulation, possibly through a PIP(3)-independent pathway.", "author" : [ { "dropping-particle" : "", "family" : "Mizoguchi", "given" : "T.", "non-dropping-particle" : "", "parse-names" : false, "suffix" : "" }, { "dropping-particle" : "", "family" : "Verkade", "given" : "H.", "non-dropping-particle" : "", "parse-names" : false, "suffix" : "" }, { "dropping-particle" : "", "family" : "Heath", "given" : "J. K.", "non-dropping-particle" : "", "parse-names" : false, "suffix" : "" }, { "dropping-particle" : "", "family" : "Kuroiwa", "given" : "A.", "non-dropping-particle" : "", "parse-names" : false, "suffix" : "" }, { "dropping-particle" : "", "family" : "Kikuchi", "given" : "Y.", "non-dropping-particle" : "", "parse-names" : false, "suffix" : "" } ], "container-title" : "Development", "id" : "ITEM-1", "issue" : "15", "issued" : { "date-parts" : [ [ "2008", "6", "25" ] ] }, "page" : "2521-2529", "title" : "Sdf1/Cxcr4 signaling controls the dorsal migration of endodermal cells during zebrafish gastrulation", "type" : "article-journal", "volume" : "135" }, "uris" : [ "http://www.mendeley.com/documents/?uuid=32d750bf-44a2-3d05-a048-49e2d9ec1646" ] } ], "mendeley" : { "formattedCitation" : "(Mizoguchi &lt;i&gt;et al.&lt;/i&gt;, 2008)", "plainTextFormattedCitation" : "(Mizoguchi et al., 2008)", "previouslyFormattedCitation" : "(Mizoguchi &lt;i&gt;et al.&lt;/i&gt;, 2008)" }, "properties" : { "noteIndex" : 0 }, "schema" : "https://github.com/citation-style-language/schema/raw/master/csl-citation.json" }</w:instrText>
      </w:r>
      <w:r w:rsidRPr="00E61510">
        <w:rPr>
          <w:rFonts w:ascii="Arial" w:hAnsi="Arial" w:cs="Arial"/>
          <w:sz w:val="22"/>
          <w:szCs w:val="22"/>
        </w:rPr>
        <w:fldChar w:fldCharType="separate"/>
      </w:r>
      <w:r w:rsidRPr="00E61510">
        <w:rPr>
          <w:rFonts w:ascii="Arial" w:hAnsi="Arial" w:cs="Arial"/>
          <w:noProof/>
          <w:sz w:val="22"/>
          <w:szCs w:val="22"/>
        </w:rPr>
        <w:t xml:space="preserve">(Mizoguchi </w:t>
      </w:r>
      <w:r w:rsidRPr="00E61510">
        <w:rPr>
          <w:rFonts w:ascii="Arial" w:hAnsi="Arial" w:cs="Arial"/>
          <w:i/>
          <w:noProof/>
          <w:sz w:val="22"/>
          <w:szCs w:val="22"/>
        </w:rPr>
        <w:t>et al.</w:t>
      </w:r>
      <w:r w:rsidRPr="00E61510">
        <w:rPr>
          <w:rFonts w:ascii="Arial" w:hAnsi="Arial" w:cs="Arial"/>
          <w:noProof/>
          <w:sz w:val="22"/>
          <w:szCs w:val="22"/>
        </w:rPr>
        <w:t>, 2008)</w:t>
      </w:r>
      <w:r w:rsidRPr="00E61510">
        <w:rPr>
          <w:rFonts w:ascii="Arial" w:hAnsi="Arial" w:cs="Arial"/>
          <w:sz w:val="22"/>
          <w:szCs w:val="22"/>
        </w:rPr>
        <w:fldChar w:fldCharType="end"/>
      </w:r>
      <w:r w:rsidRPr="00E61510">
        <w:rPr>
          <w:rFonts w:ascii="Arial" w:hAnsi="Arial" w:cs="Arial"/>
          <w:sz w:val="22"/>
          <w:szCs w:val="22"/>
        </w:rPr>
        <w:t xml:space="preserve"> to study changes in the chromatin landscape and CRM usage during zebrafish embryogenesis. This will allow us to both understand the gene regulatory mechanisms governing development of endoderm in contrast to non-endodermal cells, and also how gene regulation and CRM use in the endoderm changes over developmental time.   </w:t>
      </w:r>
    </w:p>
    <w:p w14:paraId="52129C55" w14:textId="77777777" w:rsidR="009B182D" w:rsidRPr="00E61510" w:rsidRDefault="009B182D" w:rsidP="009B182D">
      <w:pPr>
        <w:rPr>
          <w:rFonts w:ascii="Arial" w:hAnsi="Arial" w:cs="Arial"/>
          <w:sz w:val="22"/>
          <w:szCs w:val="22"/>
        </w:rPr>
      </w:pPr>
    </w:p>
    <w:p w14:paraId="2F044126" w14:textId="77777777" w:rsidR="009B182D" w:rsidRPr="00E61510" w:rsidRDefault="009B182D" w:rsidP="009B182D">
      <w:pPr>
        <w:jc w:val="both"/>
        <w:rPr>
          <w:rFonts w:ascii="Arial" w:hAnsi="Arial" w:cs="Arial"/>
          <w:sz w:val="22"/>
          <w:szCs w:val="22"/>
        </w:rPr>
      </w:pPr>
      <w:r w:rsidRPr="00E61510">
        <w:rPr>
          <w:rFonts w:ascii="Arial" w:hAnsi="Arial" w:cs="Arial"/>
          <w:sz w:val="22"/>
          <w:szCs w:val="22"/>
        </w:rPr>
        <w:t xml:space="preserve">To understand gene regulation in the endoderm, </w:t>
      </w:r>
      <w:r w:rsidRPr="00E61510">
        <w:rPr>
          <w:rFonts w:ascii="Arial" w:hAnsi="Arial" w:cs="Arial"/>
          <w:i/>
          <w:sz w:val="22"/>
          <w:szCs w:val="22"/>
        </w:rPr>
        <w:t>sox17+</w:t>
      </w:r>
      <w:r w:rsidRPr="00E61510">
        <w:rPr>
          <w:rFonts w:ascii="Arial" w:hAnsi="Arial" w:cs="Arial"/>
          <w:sz w:val="22"/>
          <w:szCs w:val="22"/>
        </w:rPr>
        <w:t xml:space="preserve"> cells and their progeny were characterised through a combination of fluorescent imaging and functional genomics. Firstly, the GFP expression pattern was analysed in control and genetically perturbed </w:t>
      </w:r>
      <w:r w:rsidRPr="00E61510">
        <w:rPr>
          <w:rFonts w:ascii="Arial" w:hAnsi="Arial" w:cs="Arial"/>
          <w:i/>
          <w:sz w:val="22"/>
          <w:szCs w:val="22"/>
        </w:rPr>
        <w:t>Tg(sox</w:t>
      </w:r>
      <w:proofErr w:type="gramStart"/>
      <w:r w:rsidRPr="00E61510">
        <w:rPr>
          <w:rFonts w:ascii="Arial" w:hAnsi="Arial" w:cs="Arial"/>
          <w:i/>
          <w:sz w:val="22"/>
          <w:szCs w:val="22"/>
        </w:rPr>
        <w:t>17:EGFP</w:t>
      </w:r>
      <w:proofErr w:type="gramEnd"/>
      <w:r w:rsidRPr="00E61510">
        <w:rPr>
          <w:rFonts w:ascii="Arial" w:hAnsi="Arial" w:cs="Arial"/>
          <w:i/>
          <w:sz w:val="22"/>
          <w:szCs w:val="22"/>
        </w:rPr>
        <w:t xml:space="preserve">) </w:t>
      </w:r>
      <w:r w:rsidRPr="00E61510">
        <w:rPr>
          <w:rFonts w:ascii="Arial" w:hAnsi="Arial" w:cs="Arial"/>
          <w:sz w:val="22"/>
          <w:szCs w:val="22"/>
        </w:rPr>
        <w:t xml:space="preserve">embryos to distinguish between GFP+ endoderm from GFP+ mesoderm. This was coupled with whole embryo dissociation, FACS and Assay for Transposase-Accessible Chromatin with high-throughput sequencing (ATAC-seq) </w:t>
      </w:r>
      <w:r w:rsidRPr="00E61510">
        <w:rPr>
          <w:rFonts w:ascii="Arial" w:hAnsi="Arial" w:cs="Arial"/>
          <w:sz w:val="22"/>
          <w:szCs w:val="22"/>
        </w:rPr>
        <w:fldChar w:fldCharType="begin" w:fldLock="1"/>
      </w:r>
      <w:r w:rsidRPr="00E61510">
        <w:rPr>
          <w:rFonts w:ascii="Arial" w:hAnsi="Arial" w:cs="Arial"/>
          <w:sz w:val="22"/>
          <w:szCs w:val="22"/>
        </w:rPr>
        <w:instrText>ADDIN CSL_CITATION { "citationItems" : [ { "id" : "ITEM-1", "itemData" : { "ISBN" : "1934-3647 (Electronic)\\r1934-3647 (Linking)", "ISSN" : "19343647", "PMID" : "25559105", "abstract" : "This unit describes Assay for Transposase-Accessible Chromatin with high-throughput sequencing (ATAC-seq), a method for mapping chromatin accessibility genome-wide. This method probes DNA accessibility with hyperactive Tn5 transposase, which inserts sequencing adapters into accessible regions of chromatin. Sequencing reads can then be used to infer regions of increased accessibility, as well as to map regions of transcription-factor binding and nucleosome position. The method is a fast and sensitive alternative to DNase-seq for assaying chromatin accessibility genome-wide, or to MNase-seq for assaying nucleosome positions in accessible regions of the genome. (c) 2015 by John Wiley &amp; Sons, Inc.", "author" : [ { "dropping-particle" : "", "family" : "Buenrostro", "given" : "Jason D.", "non-dropping-particle" : "", "parse-names" : false, "suffix" : "" }, { "dropping-particle" : "", "family" : "Wu", "given" : "Beijing", "non-dropping-particle" : "", "parse-names" : false, "suffix" : "" }, { "dropping-particle" : "", "family" : "Chang", "given" : "Howard Y.", "non-dropping-particle" : "", "parse-names" : false, "suffix" : "" }, { "dropping-particle" : "", "family" : "Greenleaf", "given" : "William J.", "non-dropping-particle" : "", "parse-names" : false, "suffix" : "" } ], "container-title" : "Current Protocols in Molecular Biology", "id" : "ITEM-1", "issued" : { "date-parts" : [ [ "2015" ] ] }, "page" : "21.29.1-21.29.9", "title" : "ATAC-seq: A method for assaying chromatin accessibility genome-wide", "type" : "article-journal", "volume" : "2015" }, "uris" : [ "http://www.mendeley.com/documents/?uuid=d7a8cbe5-2add-34c0-b963-1358b3113391" ] } ], "mendeley" : { "formattedCitation" : "(Buenrostro &lt;i&gt;et al.&lt;/i&gt;, 2015)", "manualFormatting" : "(Buenrostro et al., 2015)", "plainTextFormattedCitation" : "(Buenrostro et al., 2015)", "previouslyFormattedCitation" : "(Buenrostro &lt;i&gt;et al.&lt;/i&gt;, 2015)" }, "properties" : { "noteIndex" : 0 }, "schema" : "https://github.com/citation-style-language/schema/raw/master/csl-citation.json" }</w:instrText>
      </w:r>
      <w:r w:rsidRPr="00E61510">
        <w:rPr>
          <w:rFonts w:ascii="Arial" w:hAnsi="Arial" w:cs="Arial"/>
          <w:sz w:val="22"/>
          <w:szCs w:val="22"/>
        </w:rPr>
        <w:fldChar w:fldCharType="separate"/>
      </w:r>
      <w:r w:rsidRPr="00E61510">
        <w:rPr>
          <w:rFonts w:ascii="Arial" w:hAnsi="Arial" w:cs="Arial"/>
          <w:noProof/>
          <w:sz w:val="22"/>
          <w:szCs w:val="22"/>
        </w:rPr>
        <w:t xml:space="preserve">(Buenrostro </w:t>
      </w:r>
      <w:r w:rsidRPr="00E61510">
        <w:rPr>
          <w:rFonts w:ascii="Arial" w:hAnsi="Arial" w:cs="Arial"/>
          <w:i/>
          <w:noProof/>
          <w:sz w:val="22"/>
          <w:szCs w:val="22"/>
        </w:rPr>
        <w:t>et al.</w:t>
      </w:r>
      <w:r w:rsidRPr="00E61510">
        <w:rPr>
          <w:rFonts w:ascii="Arial" w:hAnsi="Arial" w:cs="Arial"/>
          <w:noProof/>
          <w:sz w:val="22"/>
          <w:szCs w:val="22"/>
        </w:rPr>
        <w:t>, 2015)</w:t>
      </w:r>
      <w:r w:rsidRPr="00E61510">
        <w:rPr>
          <w:rFonts w:ascii="Arial" w:hAnsi="Arial" w:cs="Arial"/>
          <w:sz w:val="22"/>
          <w:szCs w:val="22"/>
        </w:rPr>
        <w:fldChar w:fldCharType="end"/>
      </w:r>
      <w:r w:rsidRPr="00E61510">
        <w:rPr>
          <w:rFonts w:ascii="Arial" w:hAnsi="Arial" w:cs="Arial"/>
          <w:sz w:val="22"/>
          <w:szCs w:val="22"/>
        </w:rPr>
        <w:t xml:space="preserve"> to identify CRMs by investigating chromatin accessibility throughout the genome.  Using ATAC-seq, we identified 66,838 differentially accessible putative CRMs at 24 </w:t>
      </w:r>
      <w:proofErr w:type="gramStart"/>
      <w:r w:rsidRPr="00E61510">
        <w:rPr>
          <w:rFonts w:ascii="Arial" w:hAnsi="Arial" w:cs="Arial"/>
          <w:sz w:val="22"/>
          <w:szCs w:val="22"/>
        </w:rPr>
        <w:t>hours</w:t>
      </w:r>
      <w:proofErr w:type="gramEnd"/>
      <w:r w:rsidRPr="00E61510">
        <w:rPr>
          <w:rFonts w:ascii="Arial" w:hAnsi="Arial" w:cs="Arial"/>
          <w:sz w:val="22"/>
          <w:szCs w:val="22"/>
        </w:rPr>
        <w:t xml:space="preserve"> post-fertilisation, many of which are found near genes encoding transcription factors that are expressed in endodermal tissues. The activity of these CRM will be investigated using a Tol2 based transgenic reporter assay </w:t>
      </w:r>
      <w:r w:rsidRPr="00E61510">
        <w:rPr>
          <w:rFonts w:ascii="Arial" w:hAnsi="Arial" w:cs="Arial"/>
          <w:sz w:val="22"/>
          <w:szCs w:val="22"/>
        </w:rPr>
        <w:fldChar w:fldCharType="begin" w:fldLock="1"/>
      </w:r>
      <w:r w:rsidRPr="00E61510">
        <w:rPr>
          <w:rFonts w:ascii="Arial" w:hAnsi="Arial" w:cs="Arial"/>
          <w:sz w:val="22"/>
          <w:szCs w:val="22"/>
        </w:rPr>
        <w:instrText>ADDIN CSL_CITATION { "citationItems" : [ { "id" : "ITEM-1", "itemData" : { "DOI" : "10.1186/gb-2007-8-s1-s7", "ISBN" : "1465-6906", "ISSN" : "14747596", "PMID" : "18047699", "abstract" : "The medaka fish Tol2 element is an autonomous transposon that encodes a fully functional transposase. The transposase protein can catalyze transposition of a transposon construct that has 200 and 150 base pairs of DNA from the left and right ends of the Tol2 sequence, respectively. These sequences contain essential terminal inverted repeats and subterminal sequences. DNA inserts of fairly large sizes (as large as 11 kilobases) can be cloned between these sequences without reducing transpositional activity. The Tol2 transposon system has been shown to be active in all vertebrate cells tested thus far, including zebrafish, Xenopus, chicken, mouse, and human. In this review I describe and discuss how the Tol2 transposon is being applied to transgenic studies in these vertebrates, and possible future applications.", "author" : [ { "dropping-particle" : "", "family" : "Kawakami", "given" : "Koichi", "non-dropping-particle" : "", "parse-names" : false, "suffix" : "" } ], "container-title" : "Genome Biology", "id" : "ITEM-1", "issue" : "SUPPL. 1", "issued" : { "date-parts" : [ [ "2007" ] ] }, "page" : "S7", "title" : "Tol2: A versatile gene transfer vector in vertebrates", "type" : "article-journal", "volume" : "8" }, "uris" : [ "http://www.mendeley.com/documents/?uuid=70179d41-935e-30a7-b5a1-dc394f750165" ] }, { "id" : "ITEM-2", "itemData" : { "DOI" : "10.1002/dvdy.21354.Gateway", "author" : [ { "dropping-particle" : "", "family" : "Villefranc", "given" : "Jacques A", "non-dropping-particle" : "", "parse-names" : false, "suffix" : "" }, { "dropping-particle" : "", "family" : "Amigo", "given" : "Julio", "non-dropping-particle" : "", "parse-names" : false, "suffix" : "" }, { "dropping-particle" : "", "family" : "Lawson", "given" : "Nathan D", "non-dropping-particle" : "", "parse-names" : false, "suffix" : "" } ], "id" : "ITEM-2", "issue" : "11", "issued" : { "date-parts" : [ [ "2015" ] ] }, "page" : "3077-3087", "title" : "Gateway Compatible Vectors for Analysis of Gene Function in the Zebrafish", "type" : "article-journal", "volume" : "236" }, "uris" : [ "http://www.mendeley.com/documents/?uuid=94ca5eb7-5337-49cb-be3d-523b7041636f" ] } ], "mendeley" : { "formattedCitation" : "(Kawakami, 2007; Villefranc, Amigo and Lawson, 2015)", "plainTextFormattedCitation" : "(Kawakami, 2007; Villefranc, Amigo and Lawson, 2015)", "previouslyFormattedCitation" : "(Kawakami, 2007; Villefranc, Amigo and Lawson, 2015)" }, "properties" : { "noteIndex" : 0 }, "schema" : "https://github.com/citation-style-language/schema/raw/master/csl-citation.json" }</w:instrText>
      </w:r>
      <w:r w:rsidRPr="00E61510">
        <w:rPr>
          <w:rFonts w:ascii="Arial" w:hAnsi="Arial" w:cs="Arial"/>
          <w:sz w:val="22"/>
          <w:szCs w:val="22"/>
        </w:rPr>
        <w:fldChar w:fldCharType="separate"/>
      </w:r>
      <w:r w:rsidRPr="00E61510">
        <w:rPr>
          <w:rFonts w:ascii="Arial" w:hAnsi="Arial" w:cs="Arial"/>
          <w:noProof/>
          <w:sz w:val="22"/>
          <w:szCs w:val="22"/>
        </w:rPr>
        <w:t>(Kawakami, 2007; Villefranc, Amigo and Lawson, 2015)</w:t>
      </w:r>
      <w:r w:rsidRPr="00E61510">
        <w:rPr>
          <w:rFonts w:ascii="Arial" w:hAnsi="Arial" w:cs="Arial"/>
          <w:sz w:val="22"/>
          <w:szCs w:val="22"/>
        </w:rPr>
        <w:fldChar w:fldCharType="end"/>
      </w:r>
      <w:r w:rsidRPr="00E61510">
        <w:rPr>
          <w:rFonts w:ascii="Arial" w:hAnsi="Arial" w:cs="Arial"/>
          <w:sz w:val="22"/>
          <w:szCs w:val="22"/>
        </w:rPr>
        <w:t xml:space="preserve"> as well as </w:t>
      </w:r>
      <w:r w:rsidRPr="00E61510">
        <w:rPr>
          <w:rFonts w:ascii="Arial" w:eastAsiaTheme="minorEastAsia" w:hAnsi="Arial" w:cs="Arial"/>
          <w:sz w:val="22"/>
          <w:szCs w:val="22"/>
        </w:rPr>
        <w:t xml:space="preserve">CRISPR interference </w:t>
      </w:r>
      <w:r w:rsidRPr="00E61510">
        <w:rPr>
          <w:rFonts w:ascii="Arial" w:eastAsiaTheme="minorEastAsia" w:hAnsi="Arial" w:cs="Arial"/>
          <w:sz w:val="22"/>
          <w:szCs w:val="22"/>
        </w:rPr>
        <w:fldChar w:fldCharType="begin" w:fldLock="1"/>
      </w:r>
      <w:r w:rsidRPr="00E61510">
        <w:rPr>
          <w:rFonts w:ascii="Arial" w:eastAsiaTheme="minorEastAsia" w:hAnsi="Arial" w:cs="Arial"/>
          <w:sz w:val="22"/>
          <w:szCs w:val="22"/>
        </w:rPr>
        <w:instrText>ADDIN CSL_CITATION { "citationItems" : [ { "id" : "ITEM-1", "itemData" : { "DOI" : "10.1038/cr.2015.35", "ISBN" : "1748-7838 (Electronic)\\r1001-0602 (Linking)", "ISSN" : "17487838", "PMID" : "25849246", "abstract" : "\\nSupplementary information available for this article at http://www.nature.com/cr/journal/v25/n5/suppinfo/cr201535s1.html", "author" : [ { "dropping-particle" : "", "family" : "Long", "given" : "Lijiang", "non-dropping-particle" : "", "parse-names" : false, "suffix" : "" }, { "dropping-particle" : "", "family" : "Guo", "given" : "Hong", "non-dropping-particle" : "", "parse-names" : false, "suffix" : "" }, { "dropping-particle" : "", "family" : "Yao", "given" : "Di", "non-dropping-particle" : "", "parse-names" : false, "suffix" : "" }, { "dropping-particle" : "", "family" : "Xiong", "given" : "Kai", "non-dropping-particle" : "", "parse-names" : false, "suffix" : "" }, { "dropping-particle" : "", "family" : "Li", "given" : "Yongjun", "non-dropping-particle" : "", "parse-names" : false, "suffix" : "" }, { "dropping-particle" : "", "family" : "Liu", "given" : "Pengpeng", "non-dropping-particle" : "", "parse-names" : false, "suffix" : "" }, { "dropping-particle" : "", "family" : "Zhu", "given" : "Zuoyan", "non-dropping-particle" : "", "parse-names" : false, "suffix" : "" }, { "dropping-particle" : "", "family" : "Liu", "given" : "Dong", "non-dropping-particle" : "", "parse-names" : false, "suffix" : "" } ], "container-title" : "Cell Research", "id" : "ITEM-1", "issue" : "5", "issued" : { "date-parts" : [ [ "2015", "5" ] ] }, "page" : "638-641", "publisher" : "Nature Publishing Group", "title" : "Regulation of transcriptionally active genes via the catalytically inactive Cas9 in C. elegans and D. rerio", "type" : "article-journal", "volume" : "25" }, "uris" : [ "http://www.mendeley.com/documents/?uuid=cb556f66-60a2-3255-af93-a2542c899908" ] }, { "id" : "ITEM-2", "itemData" : { "DOI" : "10.1016/j.cell.2013.06.044", "ISBN" : "1097-4172 (Electronic)\\r0092-8674 (Linking)", "ISSN" : "00928674", "PMID" : "23849981", "abstract" : "The genetic interrogation and reprogramming of cells requires methods for robust and precise targeting of genes for expression or repression. The CRISPR-associated catalytically inactive dCas9 protein offers a general platform for RNA-guided DNA targeting. Here, we show that fusion of dCas9 to effector domains with distinct regulatory functions enables stable and efficient transcriptional repression or activation in human and yeast cells, with the site of delivery determined solely by a coexpressed short guide (sg)RNA. Coupling of dCas9 to a transcriptional repressor domain can robustly silence expression of multiple endogenous genes. RNA-seq analysis indicates that CRISPR interference (CRISPRi)-mediated transcriptional repression is highly specific. Our results establish that the CRISPR system can be used as a modular and flexible DNA-binding platform for the recruitment of proteins to a target DNA sequence, revealing the potential of CRISPRi as a general tool for the precise regulation of gene expression in eukaryotic cells. \u00a9 2013 Elsevier Inc.", "author" : [ { "dropping-particle" : "", "family" : "Gilbert", "given" : "Luke A.", "non-dropping-particle" : "", "parse-names" : false, "suffix" : "" }, { "dropping-particle" : "", "family" : "Larson", "given" : "Matthew H.", "non-dropping-particle" : "", "parse-names" : false, "suffix" : "" }, { "dropping-particle" : "", "family" : "Morsut", "given" : "Leonardo", "non-dropping-particle" : "", "parse-names" : false, "suffix" : "" }, { "dropping-particle" : "", "family" : "Liu", "given" : "Zairan", "non-dropping-particle" : "", "parse-names" : false, "suffix" : "" }, { "dropping-particle" : "", "family" : "Brar", "given" : "Gloria A.", "non-dropping-particle" : "", "parse-names" : false, "suffix" : "" }, { "dropping-particle" : "", "family" : "Torres", "given" : "Sandra E.", "non-dropping-particle" : "", "parse-names" : false, "suffix" : "" }, { "dropping-particle" : "", "family" : "Stern-Ginossar", "given" : "Noam", "non-dropping-particle" : "", "parse-names" : false, "suffix" : "" }, { "dropping-particle" : "", "family" : "Brandman", "given" : "Onn", "non-dropping-particle" : "", "parse-names" : false, "suffix" : "" }, { "dropping-particle" : "", "family" : "Whitehead", "given" : "Evan H.", "non-dropping-particle" : "", "parse-names" : false, "suffix" : "" }, { "dropping-particle" : "", "family" : "Doudna", "given" : "Jennifer A.", "non-dropping-particle" : "", "parse-names" : false, "suffix" : "" }, { "dropping-particle" : "", "family" : "Lim", "given" : "Wendell A.", "non-dropping-particle" : "", "parse-names" : false, "suffix" : "" }, { "dropping-particle" : "", "family" : "Weissman", "given" : "Jonathan S.", "non-dropping-particle" : "", "parse-names" : false, "suffix" : "" }, { "dropping-particle" : "", "family" : "Qi", "given" : "Lei S.", "non-dropping-particle" : "", "parse-names" : false, "suffix" : "" } ], "container-title" : "Cell", "id" : "ITEM-2", "issue" : "2", "issued" : { "date-parts" : [ [ "2013", "7", "18" ] ] }, "page" : "442-51", "publisher" : "NIH Public Access", "title" : "XCRISPR-mediated modular RNA-guided regulation of transcription in eukaryotes", "type" : "article-journal", "volume" : "154" }, "uris" : [ "http://www.mendeley.com/documents/?uuid=d512ecc9-4d0e-3dcb-ab2a-2e1d5ac21db1" ] } ], "mendeley" : { "formattedCitation" : "(Gilbert &lt;i&gt;et al.&lt;/i&gt;, 2013; Long &lt;i&gt;et al.&lt;/i&gt;, 2015)", "plainTextFormattedCitation" : "(Gilbert et al., 2013; Long et al., 2015)", "previouslyFormattedCitation" : "(Gilbert &lt;i&gt;et al.&lt;/i&gt;, 2013; Long &lt;i&gt;et al.&lt;/i&gt;, 2015)" }, "properties" : { "noteIndex" : 0 }, "schema" : "https://github.com/citation-style-language/schema/raw/master/csl-citation.json" }</w:instrText>
      </w:r>
      <w:r w:rsidRPr="00E61510">
        <w:rPr>
          <w:rFonts w:ascii="Arial" w:eastAsiaTheme="minorEastAsia" w:hAnsi="Arial" w:cs="Arial"/>
          <w:sz w:val="22"/>
          <w:szCs w:val="22"/>
        </w:rPr>
        <w:fldChar w:fldCharType="separate"/>
      </w:r>
      <w:r w:rsidRPr="00E61510">
        <w:rPr>
          <w:rFonts w:ascii="Arial" w:eastAsiaTheme="minorEastAsia" w:hAnsi="Arial" w:cs="Arial"/>
          <w:noProof/>
          <w:sz w:val="22"/>
          <w:szCs w:val="22"/>
        </w:rPr>
        <w:t xml:space="preserve">(Gilbert </w:t>
      </w:r>
      <w:r w:rsidRPr="00E61510">
        <w:rPr>
          <w:rFonts w:ascii="Arial" w:eastAsiaTheme="minorEastAsia" w:hAnsi="Arial" w:cs="Arial"/>
          <w:i/>
          <w:noProof/>
          <w:sz w:val="22"/>
          <w:szCs w:val="22"/>
        </w:rPr>
        <w:t>et al.</w:t>
      </w:r>
      <w:r w:rsidRPr="00E61510">
        <w:rPr>
          <w:rFonts w:ascii="Arial" w:eastAsiaTheme="minorEastAsia" w:hAnsi="Arial" w:cs="Arial"/>
          <w:noProof/>
          <w:sz w:val="22"/>
          <w:szCs w:val="22"/>
        </w:rPr>
        <w:t xml:space="preserve">, 2013; Long </w:t>
      </w:r>
      <w:r w:rsidRPr="00E61510">
        <w:rPr>
          <w:rFonts w:ascii="Arial" w:eastAsiaTheme="minorEastAsia" w:hAnsi="Arial" w:cs="Arial"/>
          <w:i/>
          <w:noProof/>
          <w:sz w:val="22"/>
          <w:szCs w:val="22"/>
        </w:rPr>
        <w:t>et al.</w:t>
      </w:r>
      <w:r w:rsidRPr="00E61510">
        <w:rPr>
          <w:rFonts w:ascii="Arial" w:eastAsiaTheme="minorEastAsia" w:hAnsi="Arial" w:cs="Arial"/>
          <w:noProof/>
          <w:sz w:val="22"/>
          <w:szCs w:val="22"/>
        </w:rPr>
        <w:t>, 2015)</w:t>
      </w:r>
      <w:r w:rsidRPr="00E61510">
        <w:rPr>
          <w:rFonts w:ascii="Arial" w:eastAsiaTheme="minorEastAsia" w:hAnsi="Arial" w:cs="Arial"/>
          <w:sz w:val="22"/>
          <w:szCs w:val="22"/>
        </w:rPr>
        <w:fldChar w:fldCharType="end"/>
      </w:r>
      <w:r w:rsidRPr="00E61510">
        <w:rPr>
          <w:rFonts w:ascii="Arial" w:eastAsiaTheme="minorEastAsia" w:hAnsi="Arial" w:cs="Arial"/>
          <w:sz w:val="22"/>
          <w:szCs w:val="22"/>
        </w:rPr>
        <w:t xml:space="preserve"> in zebrafish.</w:t>
      </w:r>
      <w:r w:rsidRPr="00E61510">
        <w:rPr>
          <w:rFonts w:ascii="Arial" w:hAnsi="Arial" w:cs="Arial"/>
          <w:sz w:val="22"/>
          <w:szCs w:val="22"/>
        </w:rPr>
        <w:t xml:space="preserve"> These experiments will likely aid in the understanding of endoderm gene regulation and consequently, organ formation. </w:t>
      </w:r>
    </w:p>
    <w:p w14:paraId="5144183C" w14:textId="77777777" w:rsidR="009B182D" w:rsidRPr="00E61510" w:rsidRDefault="009B182D" w:rsidP="009B182D">
      <w:pPr>
        <w:rPr>
          <w:rFonts w:ascii="Arial" w:hAnsi="Arial" w:cs="Arial"/>
          <w:sz w:val="22"/>
          <w:szCs w:val="22"/>
        </w:rPr>
      </w:pPr>
    </w:p>
    <w:p w14:paraId="3C628FF0" w14:textId="77777777" w:rsidR="009B182D" w:rsidRPr="00E61510" w:rsidRDefault="009B182D" w:rsidP="009B182D">
      <w:pPr>
        <w:rPr>
          <w:rFonts w:ascii="Arial" w:hAnsi="Arial" w:cs="Arial"/>
          <w:b/>
          <w:sz w:val="22"/>
          <w:szCs w:val="22"/>
        </w:rPr>
      </w:pPr>
      <w:r w:rsidRPr="00E61510">
        <w:rPr>
          <w:rFonts w:ascii="Arial" w:hAnsi="Arial" w:cs="Arial"/>
          <w:b/>
          <w:sz w:val="22"/>
          <w:szCs w:val="22"/>
        </w:rPr>
        <w:t>References</w:t>
      </w:r>
    </w:p>
    <w:p w14:paraId="2C38B15F" w14:textId="77777777" w:rsidR="009B182D" w:rsidRPr="00E61510" w:rsidRDefault="009B182D" w:rsidP="009B182D">
      <w:pPr>
        <w:widowControl w:val="0"/>
        <w:autoSpaceDE w:val="0"/>
        <w:autoSpaceDN w:val="0"/>
        <w:adjustRightInd w:val="0"/>
        <w:jc w:val="both"/>
        <w:rPr>
          <w:rFonts w:ascii="Arial" w:eastAsia="Times New Roman" w:hAnsi="Arial" w:cs="Arial"/>
          <w:noProof/>
          <w:sz w:val="22"/>
          <w:szCs w:val="22"/>
        </w:rPr>
      </w:pPr>
      <w:r w:rsidRPr="00E61510">
        <w:rPr>
          <w:rFonts w:ascii="Arial" w:hAnsi="Arial" w:cs="Arial"/>
          <w:sz w:val="22"/>
          <w:szCs w:val="22"/>
        </w:rPr>
        <w:fldChar w:fldCharType="begin" w:fldLock="1"/>
      </w:r>
      <w:r w:rsidRPr="00E61510">
        <w:rPr>
          <w:rFonts w:ascii="Arial" w:hAnsi="Arial" w:cs="Arial"/>
          <w:sz w:val="22"/>
          <w:szCs w:val="22"/>
        </w:rPr>
        <w:instrText xml:space="preserve">ADDIN Mendeley Bibliography CSL_BIBLIOGRAPHY </w:instrText>
      </w:r>
      <w:r w:rsidRPr="00E61510">
        <w:rPr>
          <w:rFonts w:ascii="Arial" w:hAnsi="Arial" w:cs="Arial"/>
          <w:sz w:val="22"/>
          <w:szCs w:val="22"/>
        </w:rPr>
        <w:fldChar w:fldCharType="separate"/>
      </w:r>
      <w:r w:rsidRPr="00E61510">
        <w:rPr>
          <w:rFonts w:ascii="Arial" w:eastAsia="Times New Roman" w:hAnsi="Arial" w:cs="Arial"/>
          <w:noProof/>
          <w:sz w:val="22"/>
          <w:szCs w:val="22"/>
        </w:rPr>
        <w:t xml:space="preserve">Buenrostro, J. D. </w:t>
      </w:r>
      <w:r w:rsidRPr="00E61510">
        <w:rPr>
          <w:rFonts w:ascii="Arial" w:eastAsia="Times New Roman" w:hAnsi="Arial" w:cs="Arial"/>
          <w:i/>
          <w:iCs/>
          <w:noProof/>
          <w:sz w:val="22"/>
          <w:szCs w:val="22"/>
        </w:rPr>
        <w:t>et al.</w:t>
      </w:r>
      <w:r w:rsidRPr="00E61510">
        <w:rPr>
          <w:rFonts w:ascii="Arial" w:eastAsia="Times New Roman" w:hAnsi="Arial" w:cs="Arial"/>
          <w:noProof/>
          <w:sz w:val="22"/>
          <w:szCs w:val="22"/>
        </w:rPr>
        <w:t xml:space="preserve"> (2015) ‘ATAC-seq: A method for assaying chromatin accessibility genome-wide’, </w:t>
      </w:r>
      <w:r w:rsidRPr="00E61510">
        <w:rPr>
          <w:rFonts w:ascii="Arial" w:eastAsia="Times New Roman" w:hAnsi="Arial" w:cs="Arial"/>
          <w:i/>
          <w:iCs/>
          <w:noProof/>
          <w:sz w:val="22"/>
          <w:szCs w:val="22"/>
        </w:rPr>
        <w:t>Current Protocols in Molecular Biology</w:t>
      </w:r>
      <w:r w:rsidRPr="00E61510">
        <w:rPr>
          <w:rFonts w:ascii="Arial" w:eastAsia="Times New Roman" w:hAnsi="Arial" w:cs="Arial"/>
          <w:noProof/>
          <w:sz w:val="22"/>
          <w:szCs w:val="22"/>
        </w:rPr>
        <w:t>, 2015, p. 21.29.1-21.29.9.</w:t>
      </w:r>
    </w:p>
    <w:p w14:paraId="15F9526B" w14:textId="77777777" w:rsidR="009B182D" w:rsidRPr="00E61510" w:rsidRDefault="009B182D" w:rsidP="009B182D">
      <w:pPr>
        <w:widowControl w:val="0"/>
        <w:autoSpaceDE w:val="0"/>
        <w:autoSpaceDN w:val="0"/>
        <w:adjustRightInd w:val="0"/>
        <w:jc w:val="both"/>
        <w:rPr>
          <w:rFonts w:ascii="Arial" w:eastAsia="Times New Roman" w:hAnsi="Arial" w:cs="Arial"/>
          <w:noProof/>
          <w:sz w:val="22"/>
          <w:szCs w:val="22"/>
        </w:rPr>
      </w:pPr>
      <w:r w:rsidRPr="00E61510">
        <w:rPr>
          <w:rFonts w:ascii="Arial" w:eastAsia="Times New Roman" w:hAnsi="Arial" w:cs="Arial"/>
          <w:noProof/>
          <w:sz w:val="22"/>
          <w:szCs w:val="22"/>
        </w:rPr>
        <w:t xml:space="preserve">Gilbert, L. A. </w:t>
      </w:r>
      <w:r w:rsidRPr="00E61510">
        <w:rPr>
          <w:rFonts w:ascii="Arial" w:eastAsia="Times New Roman" w:hAnsi="Arial" w:cs="Arial"/>
          <w:i/>
          <w:iCs/>
          <w:noProof/>
          <w:sz w:val="22"/>
          <w:szCs w:val="22"/>
        </w:rPr>
        <w:t>et al.</w:t>
      </w:r>
      <w:r w:rsidRPr="00E61510">
        <w:rPr>
          <w:rFonts w:ascii="Arial" w:eastAsia="Times New Roman" w:hAnsi="Arial" w:cs="Arial"/>
          <w:noProof/>
          <w:sz w:val="22"/>
          <w:szCs w:val="22"/>
        </w:rPr>
        <w:t xml:space="preserve"> (2013) ‘XCRISPR-mediated modular RNA-guided regulation of transcription in eukaryotes’, </w:t>
      </w:r>
      <w:r w:rsidRPr="00E61510">
        <w:rPr>
          <w:rFonts w:ascii="Arial" w:eastAsia="Times New Roman" w:hAnsi="Arial" w:cs="Arial"/>
          <w:i/>
          <w:iCs/>
          <w:noProof/>
          <w:sz w:val="22"/>
          <w:szCs w:val="22"/>
        </w:rPr>
        <w:t>Cell</w:t>
      </w:r>
      <w:r w:rsidRPr="00E61510">
        <w:rPr>
          <w:rFonts w:ascii="Arial" w:eastAsia="Times New Roman" w:hAnsi="Arial" w:cs="Arial"/>
          <w:noProof/>
          <w:sz w:val="22"/>
          <w:szCs w:val="22"/>
        </w:rPr>
        <w:t xml:space="preserve">. NIH Public Access, 154(2), pp. 442–51. </w:t>
      </w:r>
    </w:p>
    <w:p w14:paraId="18DBA299" w14:textId="77777777" w:rsidR="009B182D" w:rsidRPr="00E61510" w:rsidRDefault="009B182D" w:rsidP="009B182D">
      <w:pPr>
        <w:widowControl w:val="0"/>
        <w:autoSpaceDE w:val="0"/>
        <w:autoSpaceDN w:val="0"/>
        <w:adjustRightInd w:val="0"/>
        <w:jc w:val="both"/>
        <w:rPr>
          <w:rFonts w:ascii="Arial" w:eastAsia="Times New Roman" w:hAnsi="Arial" w:cs="Arial"/>
          <w:noProof/>
          <w:sz w:val="22"/>
          <w:szCs w:val="22"/>
        </w:rPr>
      </w:pPr>
      <w:r w:rsidRPr="00E61510">
        <w:rPr>
          <w:rFonts w:ascii="Arial" w:eastAsia="Times New Roman" w:hAnsi="Arial" w:cs="Arial"/>
          <w:noProof/>
          <w:sz w:val="22"/>
          <w:szCs w:val="22"/>
        </w:rPr>
        <w:t xml:space="preserve">Kawakami, K. (2007) ‘Tol2: A versatile gene transfer vector in vertebrates’, </w:t>
      </w:r>
      <w:r w:rsidRPr="00E61510">
        <w:rPr>
          <w:rFonts w:ascii="Arial" w:eastAsia="Times New Roman" w:hAnsi="Arial" w:cs="Arial"/>
          <w:i/>
          <w:iCs/>
          <w:noProof/>
          <w:sz w:val="22"/>
          <w:szCs w:val="22"/>
        </w:rPr>
        <w:t>Genome Biology</w:t>
      </w:r>
      <w:r w:rsidRPr="00E61510">
        <w:rPr>
          <w:rFonts w:ascii="Arial" w:eastAsia="Times New Roman" w:hAnsi="Arial" w:cs="Arial"/>
          <w:noProof/>
          <w:sz w:val="22"/>
          <w:szCs w:val="22"/>
        </w:rPr>
        <w:t>, 8(SUPPL. 1), p. S7. doi: 10.1186/gb-2007-8-s1-s7.</w:t>
      </w:r>
    </w:p>
    <w:p w14:paraId="3CF98540" w14:textId="77777777" w:rsidR="009B182D" w:rsidRPr="00E61510" w:rsidRDefault="009B182D" w:rsidP="009B182D">
      <w:pPr>
        <w:widowControl w:val="0"/>
        <w:autoSpaceDE w:val="0"/>
        <w:autoSpaceDN w:val="0"/>
        <w:adjustRightInd w:val="0"/>
        <w:jc w:val="both"/>
        <w:rPr>
          <w:rFonts w:ascii="Arial" w:eastAsia="Times New Roman" w:hAnsi="Arial" w:cs="Arial"/>
          <w:noProof/>
          <w:sz w:val="22"/>
          <w:szCs w:val="22"/>
        </w:rPr>
      </w:pPr>
      <w:r w:rsidRPr="00E61510">
        <w:rPr>
          <w:rFonts w:ascii="Arial" w:eastAsia="Times New Roman" w:hAnsi="Arial" w:cs="Arial"/>
          <w:noProof/>
          <w:sz w:val="22"/>
          <w:szCs w:val="22"/>
        </w:rPr>
        <w:t xml:space="preserve">Long, L. </w:t>
      </w:r>
      <w:r w:rsidRPr="00E61510">
        <w:rPr>
          <w:rFonts w:ascii="Arial" w:eastAsia="Times New Roman" w:hAnsi="Arial" w:cs="Arial"/>
          <w:i/>
          <w:iCs/>
          <w:noProof/>
          <w:sz w:val="22"/>
          <w:szCs w:val="22"/>
        </w:rPr>
        <w:t>et al.</w:t>
      </w:r>
      <w:r w:rsidRPr="00E61510">
        <w:rPr>
          <w:rFonts w:ascii="Arial" w:eastAsia="Times New Roman" w:hAnsi="Arial" w:cs="Arial"/>
          <w:noProof/>
          <w:sz w:val="22"/>
          <w:szCs w:val="22"/>
        </w:rPr>
        <w:t xml:space="preserve"> (2015) ‘Regulation of transcriptionally active genes via the catalytically inactive Cas9 in C. elegans and D. rerio’, </w:t>
      </w:r>
      <w:r w:rsidRPr="00E61510">
        <w:rPr>
          <w:rFonts w:ascii="Arial" w:eastAsia="Times New Roman" w:hAnsi="Arial" w:cs="Arial"/>
          <w:i/>
          <w:iCs/>
          <w:noProof/>
          <w:sz w:val="22"/>
          <w:szCs w:val="22"/>
        </w:rPr>
        <w:t>Cell Research</w:t>
      </w:r>
      <w:r w:rsidRPr="00E61510">
        <w:rPr>
          <w:rFonts w:ascii="Arial" w:eastAsia="Times New Roman" w:hAnsi="Arial" w:cs="Arial"/>
          <w:noProof/>
          <w:sz w:val="22"/>
          <w:szCs w:val="22"/>
        </w:rPr>
        <w:t xml:space="preserve">. Nature Publishing Group, 25(5), pp. 638–641. </w:t>
      </w:r>
    </w:p>
    <w:p w14:paraId="4B79AE88" w14:textId="77777777" w:rsidR="009B182D" w:rsidRPr="00E61510" w:rsidRDefault="009B182D" w:rsidP="009B182D">
      <w:pPr>
        <w:widowControl w:val="0"/>
        <w:autoSpaceDE w:val="0"/>
        <w:autoSpaceDN w:val="0"/>
        <w:adjustRightInd w:val="0"/>
        <w:jc w:val="both"/>
        <w:rPr>
          <w:rFonts w:ascii="Arial" w:eastAsia="Times New Roman" w:hAnsi="Arial" w:cs="Arial"/>
          <w:noProof/>
          <w:sz w:val="22"/>
          <w:szCs w:val="22"/>
        </w:rPr>
      </w:pPr>
      <w:r w:rsidRPr="00E61510">
        <w:rPr>
          <w:rFonts w:ascii="Arial" w:eastAsia="Times New Roman" w:hAnsi="Arial" w:cs="Arial"/>
          <w:noProof/>
          <w:sz w:val="22"/>
          <w:szCs w:val="22"/>
        </w:rPr>
        <w:t xml:space="preserve">Mizoguchi, T. </w:t>
      </w:r>
      <w:r w:rsidRPr="00E61510">
        <w:rPr>
          <w:rFonts w:ascii="Arial" w:eastAsia="Times New Roman" w:hAnsi="Arial" w:cs="Arial"/>
          <w:i/>
          <w:iCs/>
          <w:noProof/>
          <w:sz w:val="22"/>
          <w:szCs w:val="22"/>
        </w:rPr>
        <w:t>et al.</w:t>
      </w:r>
      <w:r w:rsidRPr="00E61510">
        <w:rPr>
          <w:rFonts w:ascii="Arial" w:eastAsia="Times New Roman" w:hAnsi="Arial" w:cs="Arial"/>
          <w:noProof/>
          <w:sz w:val="22"/>
          <w:szCs w:val="22"/>
        </w:rPr>
        <w:t xml:space="preserve"> (2008) ‘Sdf1/Cxcr4 signaling controls the dorsal migration of endodermal cells during zebrafish gastrulation’, </w:t>
      </w:r>
      <w:r w:rsidRPr="00E61510">
        <w:rPr>
          <w:rFonts w:ascii="Arial" w:eastAsia="Times New Roman" w:hAnsi="Arial" w:cs="Arial"/>
          <w:i/>
          <w:iCs/>
          <w:noProof/>
          <w:sz w:val="22"/>
          <w:szCs w:val="22"/>
        </w:rPr>
        <w:t>Development</w:t>
      </w:r>
      <w:r w:rsidRPr="00E61510">
        <w:rPr>
          <w:rFonts w:ascii="Arial" w:eastAsia="Times New Roman" w:hAnsi="Arial" w:cs="Arial"/>
          <w:noProof/>
          <w:sz w:val="22"/>
          <w:szCs w:val="22"/>
        </w:rPr>
        <w:t>, 135(15), pp. 2521–2529.</w:t>
      </w:r>
    </w:p>
    <w:p w14:paraId="16297FC9" w14:textId="77777777" w:rsidR="009B182D" w:rsidRPr="00E61510" w:rsidRDefault="009B182D" w:rsidP="009B182D">
      <w:pPr>
        <w:widowControl w:val="0"/>
        <w:autoSpaceDE w:val="0"/>
        <w:autoSpaceDN w:val="0"/>
        <w:adjustRightInd w:val="0"/>
        <w:jc w:val="both"/>
        <w:rPr>
          <w:rFonts w:ascii="Arial" w:eastAsia="Times New Roman" w:hAnsi="Arial" w:cs="Arial"/>
          <w:noProof/>
          <w:sz w:val="22"/>
          <w:szCs w:val="22"/>
        </w:rPr>
      </w:pPr>
      <w:r w:rsidRPr="00E61510">
        <w:rPr>
          <w:rFonts w:ascii="Arial" w:eastAsia="Times New Roman" w:hAnsi="Arial" w:cs="Arial"/>
          <w:noProof/>
          <w:sz w:val="22"/>
          <w:szCs w:val="22"/>
        </w:rPr>
        <w:t xml:space="preserve">Villefranc, J. A., Amigo, J. and Lawson, N. D. (2015) ‘Gateway Compatible Vectors for Analysis of Gene Function in the Zebrafish’, 236(11), pp. 3077–3087. </w:t>
      </w:r>
    </w:p>
    <w:p w14:paraId="5117F678" w14:textId="77777777" w:rsidR="009B182D" w:rsidRPr="00E61510" w:rsidRDefault="009B182D" w:rsidP="009B182D">
      <w:pPr>
        <w:widowControl w:val="0"/>
        <w:autoSpaceDE w:val="0"/>
        <w:autoSpaceDN w:val="0"/>
        <w:adjustRightInd w:val="0"/>
        <w:jc w:val="both"/>
        <w:rPr>
          <w:rFonts w:ascii="Arial" w:hAnsi="Arial" w:cs="Arial"/>
          <w:noProof/>
          <w:sz w:val="22"/>
          <w:szCs w:val="22"/>
        </w:rPr>
      </w:pPr>
      <w:r w:rsidRPr="00E61510">
        <w:rPr>
          <w:rFonts w:ascii="Arial" w:eastAsia="Times New Roman" w:hAnsi="Arial" w:cs="Arial"/>
          <w:noProof/>
          <w:sz w:val="22"/>
          <w:szCs w:val="22"/>
        </w:rPr>
        <w:t xml:space="preserve">Wlizla, M. and Zorn, A. M. (2014) ‘Vertebrate Endoderm Formation’, in </w:t>
      </w:r>
      <w:r w:rsidRPr="00E61510">
        <w:rPr>
          <w:rFonts w:ascii="Arial" w:eastAsia="Times New Roman" w:hAnsi="Arial" w:cs="Arial"/>
          <w:i/>
          <w:iCs/>
          <w:noProof/>
          <w:sz w:val="22"/>
          <w:szCs w:val="22"/>
        </w:rPr>
        <w:t>Principles of Developmental Genetics: Second Edition</w:t>
      </w:r>
      <w:r w:rsidRPr="00E61510">
        <w:rPr>
          <w:rFonts w:ascii="Arial" w:eastAsia="Times New Roman" w:hAnsi="Arial" w:cs="Arial"/>
          <w:noProof/>
          <w:sz w:val="22"/>
          <w:szCs w:val="22"/>
        </w:rPr>
        <w:t>, pp. 237–253. doi: 10.1016/B978-0-12-405945-0.00013-2.</w:t>
      </w:r>
    </w:p>
    <w:p w14:paraId="1F573921" w14:textId="77777777" w:rsidR="009B182D" w:rsidRPr="00E61510" w:rsidRDefault="009B182D" w:rsidP="009B182D">
      <w:pPr>
        <w:jc w:val="both"/>
        <w:rPr>
          <w:rFonts w:ascii="Arial" w:hAnsi="Arial" w:cs="Arial"/>
          <w:sz w:val="22"/>
          <w:szCs w:val="22"/>
        </w:rPr>
      </w:pPr>
      <w:r w:rsidRPr="00E61510">
        <w:rPr>
          <w:rFonts w:ascii="Arial" w:hAnsi="Arial" w:cs="Arial"/>
          <w:sz w:val="22"/>
          <w:szCs w:val="22"/>
        </w:rPr>
        <w:fldChar w:fldCharType="end"/>
      </w:r>
    </w:p>
    <w:p w14:paraId="7037712A" w14:textId="77777777" w:rsidR="0069437C" w:rsidRDefault="009B182D">
      <w:bookmarkStart w:id="0" w:name="_GoBack"/>
      <w:bookmarkEnd w:id="0"/>
    </w:p>
    <w:sectPr w:rsidR="0069437C" w:rsidSect="00040831">
      <w:pgSz w:w="11900" w:h="16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auto"/>
    <w:pitch w:val="variable"/>
    <w:sig w:usb0="E00002FF" w:usb1="4000ACFF" w:usb2="00000001" w:usb3="00000000" w:csb0="0000019F" w:csb1="00000000"/>
  </w:font>
  <w:font w:name="Times New Roman">
    <w:panose1 w:val="02020603050405020304"/>
    <w:charset w:val="00"/>
    <w:family w:val="auto"/>
    <w:pitch w:val="variable"/>
    <w:sig w:usb0="E0002AE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proofState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B182D"/>
    <w:rsid w:val="00040831"/>
    <w:rsid w:val="00614927"/>
    <w:rsid w:val="009B18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5A5C743C"/>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B182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4" Type="http://schemas.openxmlformats.org/officeDocument/2006/relationships/fontTable" Target="fontTable.xml"/><Relationship Id="rId5" Type="http://schemas.openxmlformats.org/officeDocument/2006/relationships/theme" Target="theme/theme1.xml"/><Relationship Id="rId1" Type="http://schemas.openxmlformats.org/officeDocument/2006/relationships/styles" Target="styles.xml"/><Relationship Id="rId2"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2998</Words>
  <Characters>17092</Characters>
  <Application>Microsoft Macintosh Word</Application>
  <DocSecurity>0</DocSecurity>
  <Lines>142</Lines>
  <Paragraphs>40</Paragraphs>
  <ScaleCrop>false</ScaleCrop>
  <LinksUpToDate>false</LinksUpToDate>
  <CharactersWithSpaces>20050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Elsayed, Randa</dc:creator>
  <cp:keywords/>
  <dc:description/>
  <cp:lastModifiedBy>Elsayed, Randa</cp:lastModifiedBy>
  <cp:revision>1</cp:revision>
  <dcterms:created xsi:type="dcterms:W3CDTF">2019-02-14T11:59:00Z</dcterms:created>
  <dcterms:modified xsi:type="dcterms:W3CDTF">2019-02-14T11:59:00Z</dcterms:modified>
</cp:coreProperties>
</file>