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7A83" w:rsidRDefault="00FF7A83" w:rsidP="00FF7A83">
      <w:pPr>
        <w:pStyle w:val="NormalWeb"/>
        <w:spacing w:after="160" w:line="254" w:lineRule="auto"/>
        <w:jc w:val="center"/>
        <w:rPr>
          <w:rFonts w:ascii="Calibri" w:hAnsi="Calibri" w:cs="Calibri"/>
          <w:b/>
          <w:bCs/>
          <w:color w:val="000000"/>
          <w:sz w:val="22"/>
          <w:szCs w:val="22"/>
        </w:rPr>
      </w:pPr>
      <w:r>
        <w:rPr>
          <w:rFonts w:ascii="Calibri" w:hAnsi="Calibri" w:cs="Calibri"/>
          <w:b/>
          <w:bCs/>
          <w:color w:val="000000"/>
          <w:sz w:val="22"/>
          <w:szCs w:val="22"/>
        </w:rPr>
        <w:t>Sarah Harden – Poster Abstract</w:t>
      </w:r>
    </w:p>
    <w:p w:rsidR="00FF7A83" w:rsidRDefault="00FF7A83" w:rsidP="00FF7A83">
      <w:pPr>
        <w:pStyle w:val="NormalWeb"/>
        <w:spacing w:after="160" w:line="254" w:lineRule="auto"/>
        <w:rPr>
          <w:rFonts w:ascii="Calibri" w:hAnsi="Calibri" w:cs="Calibri"/>
          <w:b/>
          <w:bCs/>
          <w:color w:val="000000"/>
          <w:sz w:val="22"/>
          <w:szCs w:val="22"/>
        </w:rPr>
      </w:pPr>
    </w:p>
    <w:p w:rsidR="00FE68AC" w:rsidRDefault="00FE68AC" w:rsidP="00FE68AC">
      <w:pPr>
        <w:pStyle w:val="NormalWeb"/>
        <w:spacing w:after="160" w:line="254" w:lineRule="auto"/>
        <w:jc w:val="center"/>
        <w:rPr>
          <w:rFonts w:ascii="Calibri" w:eastAsia="Times New Roman" w:hAnsi="Calibri" w:cs="Calibri"/>
          <w:color w:val="000000"/>
          <w:sz w:val="22"/>
          <w:szCs w:val="22"/>
        </w:rPr>
      </w:pPr>
      <w:r>
        <w:rPr>
          <w:rFonts w:ascii="Calibri" w:eastAsia="Times New Roman" w:hAnsi="Calibri" w:cs="Calibri"/>
          <w:b/>
          <w:bCs/>
          <w:color w:val="000000"/>
          <w:sz w:val="22"/>
          <w:szCs w:val="22"/>
        </w:rPr>
        <w:t>Methionine metabolism and epigenetic regulation in preparation for pregnancy:</w:t>
      </w:r>
      <w:bookmarkStart w:id="0" w:name="_GoBack"/>
      <w:bookmarkEnd w:id="0"/>
    </w:p>
    <w:p w:rsidR="00FE68AC" w:rsidRDefault="00FE68AC" w:rsidP="00FF7A83">
      <w:pPr>
        <w:pStyle w:val="NormalWeb"/>
        <w:spacing w:after="160" w:line="254" w:lineRule="auto"/>
        <w:rPr>
          <w:rFonts w:ascii="Calibri" w:eastAsia="Times New Roman" w:hAnsi="Calibri" w:cs="Calibri"/>
          <w:color w:val="000000"/>
          <w:sz w:val="22"/>
          <w:szCs w:val="22"/>
        </w:rPr>
      </w:pPr>
    </w:p>
    <w:p w:rsidR="00FF7A83" w:rsidRDefault="00FF7A83" w:rsidP="00FF7A83">
      <w:pPr>
        <w:pStyle w:val="NormalWeb"/>
        <w:spacing w:after="160" w:line="254" w:lineRule="auto"/>
        <w:rPr>
          <w:rFonts w:ascii="Calibri" w:hAnsi="Calibri" w:cs="Calibri"/>
          <w:color w:val="000000"/>
          <w:sz w:val="22"/>
          <w:szCs w:val="22"/>
        </w:rPr>
      </w:pPr>
      <w:r>
        <w:rPr>
          <w:rFonts w:ascii="Calibri" w:hAnsi="Calibri" w:cs="Calibri"/>
          <w:color w:val="000000"/>
          <w:sz w:val="22"/>
          <w:szCs w:val="22"/>
        </w:rPr>
        <w:t xml:space="preserve">The endometrium, a highly specialised lining of the uterus, is altered in response to the cyclic patterns in oestrogen and progesterone signalling during the ovarian menstrual cycle. During the window of implantation, endometrial stromal fibroblasts transform into specialised </w:t>
      </w:r>
      <w:proofErr w:type="spellStart"/>
      <w:r>
        <w:rPr>
          <w:rFonts w:ascii="Calibri" w:hAnsi="Calibri" w:cs="Calibri"/>
          <w:color w:val="000000"/>
          <w:sz w:val="22"/>
          <w:szCs w:val="22"/>
        </w:rPr>
        <w:t>decidual</w:t>
      </w:r>
      <w:proofErr w:type="spellEnd"/>
      <w:r>
        <w:rPr>
          <w:rFonts w:ascii="Calibri" w:hAnsi="Calibri" w:cs="Calibri"/>
          <w:color w:val="000000"/>
          <w:sz w:val="22"/>
          <w:szCs w:val="22"/>
        </w:rPr>
        <w:t xml:space="preserve"> cells in preparation for pregnancy. The alteration in stromal cell fate is regulated by transcriptional pathways that are controlled by epigenetic signalling in association with metabolism. The methionine cycle incorporates folate, purine and amino acid metabolism in a process that produces the universal methyl donor S-</w:t>
      </w:r>
      <w:proofErr w:type="spellStart"/>
      <w:r>
        <w:rPr>
          <w:rFonts w:ascii="Calibri" w:hAnsi="Calibri" w:cs="Calibri"/>
          <w:color w:val="000000"/>
          <w:sz w:val="22"/>
          <w:szCs w:val="22"/>
        </w:rPr>
        <w:t>adenosylmethionine</w:t>
      </w:r>
      <w:proofErr w:type="spellEnd"/>
      <w:r>
        <w:rPr>
          <w:rFonts w:ascii="Calibri" w:hAnsi="Calibri" w:cs="Calibri"/>
          <w:color w:val="000000"/>
          <w:sz w:val="22"/>
          <w:szCs w:val="22"/>
        </w:rPr>
        <w:t xml:space="preserve"> (SAM). </w:t>
      </w:r>
      <w:r>
        <w:rPr>
          <w:rFonts w:ascii="Calibri" w:hAnsi="Calibri" w:cs="Segoe UI"/>
          <w:color w:val="000000"/>
          <w:sz w:val="22"/>
          <w:szCs w:val="22"/>
        </w:rPr>
        <w:t xml:space="preserve">DNA methylation and histone methylation by </w:t>
      </w:r>
      <w:proofErr w:type="spellStart"/>
      <w:r>
        <w:rPr>
          <w:rFonts w:ascii="Calibri" w:hAnsi="Calibri" w:cs="Segoe UI"/>
          <w:color w:val="000000"/>
          <w:sz w:val="22"/>
          <w:szCs w:val="22"/>
        </w:rPr>
        <w:t>methyltransferases</w:t>
      </w:r>
      <w:proofErr w:type="spellEnd"/>
      <w:r>
        <w:rPr>
          <w:rFonts w:ascii="Calibri" w:hAnsi="Calibri" w:cs="Segoe UI"/>
          <w:color w:val="000000"/>
          <w:sz w:val="22"/>
          <w:szCs w:val="22"/>
        </w:rPr>
        <w:t xml:space="preserve">, </w:t>
      </w:r>
      <w:r>
        <w:rPr>
          <w:rFonts w:ascii="Calibri" w:hAnsi="Calibri" w:cs="Calibri"/>
          <w:color w:val="000000"/>
          <w:sz w:val="22"/>
          <w:szCs w:val="22"/>
          <w:shd w:val="clear" w:color="auto" w:fill="FFFFFF"/>
        </w:rPr>
        <w:t xml:space="preserve">rely on the availability SAM to modify the configuration of chromatin either permitting or preventing transcription. </w:t>
      </w:r>
      <w:r>
        <w:rPr>
          <w:rFonts w:ascii="Calibri" w:hAnsi="Calibri" w:cs="Calibri"/>
          <w:color w:val="000000"/>
          <w:sz w:val="22"/>
          <w:szCs w:val="22"/>
        </w:rPr>
        <w:t xml:space="preserve">Epigenetic studies regarding the endometrium are limited, furthermore, the connection between epigenetics and the metabolome has not been well characterised. Here, in </w:t>
      </w:r>
      <w:proofErr w:type="spellStart"/>
      <w:r>
        <w:rPr>
          <w:rFonts w:ascii="Calibri" w:hAnsi="Calibri" w:cs="Calibri"/>
          <w:color w:val="000000"/>
          <w:sz w:val="22"/>
          <w:szCs w:val="22"/>
        </w:rPr>
        <w:t>silico</w:t>
      </w:r>
      <w:proofErr w:type="spellEnd"/>
      <w:r>
        <w:rPr>
          <w:rFonts w:ascii="Calibri" w:hAnsi="Calibri" w:cs="Calibri"/>
          <w:color w:val="000000"/>
          <w:sz w:val="22"/>
          <w:szCs w:val="22"/>
        </w:rPr>
        <w:t xml:space="preserve"> and transcriptional studies completed during </w:t>
      </w:r>
      <w:proofErr w:type="spellStart"/>
      <w:r>
        <w:rPr>
          <w:rFonts w:ascii="Calibri" w:hAnsi="Calibri" w:cs="Calibri"/>
          <w:color w:val="000000"/>
          <w:sz w:val="22"/>
          <w:szCs w:val="22"/>
        </w:rPr>
        <w:t>decidualisation</w:t>
      </w:r>
      <w:proofErr w:type="spellEnd"/>
      <w:r>
        <w:rPr>
          <w:rFonts w:ascii="Calibri" w:hAnsi="Calibri" w:cs="Calibri"/>
          <w:color w:val="000000"/>
          <w:sz w:val="22"/>
          <w:szCs w:val="22"/>
        </w:rPr>
        <w:t xml:space="preserve"> indicate a complex temporal regulation of the enzymes in the methionine cycle.  Interestingly, the methionine cycle connects multiple hallmarks associated with </w:t>
      </w:r>
      <w:proofErr w:type="spellStart"/>
      <w:r>
        <w:rPr>
          <w:rFonts w:ascii="Calibri" w:hAnsi="Calibri" w:cs="Calibri"/>
          <w:color w:val="000000"/>
          <w:sz w:val="22"/>
          <w:szCs w:val="22"/>
        </w:rPr>
        <w:t>decidualisation</w:t>
      </w:r>
      <w:proofErr w:type="spellEnd"/>
      <w:r>
        <w:rPr>
          <w:rFonts w:ascii="Calibri" w:hAnsi="Calibri" w:cs="Calibri"/>
          <w:color w:val="000000"/>
          <w:sz w:val="22"/>
          <w:szCs w:val="22"/>
        </w:rPr>
        <w:t xml:space="preserve">. Firstly, methionine is required for protein synthesis which is important as the proteome rapidly changes during </w:t>
      </w:r>
      <w:proofErr w:type="spellStart"/>
      <w:r>
        <w:rPr>
          <w:rFonts w:ascii="Calibri" w:hAnsi="Calibri" w:cs="Calibri"/>
          <w:color w:val="000000"/>
          <w:sz w:val="22"/>
          <w:szCs w:val="22"/>
        </w:rPr>
        <w:t>decidualisation</w:t>
      </w:r>
      <w:proofErr w:type="spellEnd"/>
      <w:r>
        <w:rPr>
          <w:rFonts w:ascii="Calibri" w:hAnsi="Calibri" w:cs="Calibri"/>
          <w:color w:val="000000"/>
          <w:sz w:val="22"/>
          <w:szCs w:val="22"/>
        </w:rPr>
        <w:t>. Secondly, polyamine synthesis from S-</w:t>
      </w:r>
      <w:proofErr w:type="spellStart"/>
      <w:r>
        <w:rPr>
          <w:rFonts w:ascii="Calibri" w:hAnsi="Calibri" w:cs="Calibri"/>
          <w:color w:val="000000"/>
          <w:sz w:val="22"/>
          <w:szCs w:val="22"/>
        </w:rPr>
        <w:t>adenosylmethionine</w:t>
      </w:r>
      <w:proofErr w:type="spellEnd"/>
      <w:r>
        <w:rPr>
          <w:rFonts w:ascii="Calibri" w:hAnsi="Calibri" w:cs="Calibri"/>
          <w:color w:val="000000"/>
          <w:sz w:val="22"/>
          <w:szCs w:val="22"/>
        </w:rPr>
        <w:t xml:space="preserve"> may be involved in supressing pro-inflammatory cytokines. Furthermore, cystathionine B </w:t>
      </w:r>
      <w:proofErr w:type="spellStart"/>
      <w:r>
        <w:rPr>
          <w:rFonts w:ascii="Calibri" w:hAnsi="Calibri" w:cs="Calibri"/>
          <w:color w:val="000000"/>
          <w:sz w:val="22"/>
          <w:szCs w:val="22"/>
        </w:rPr>
        <w:t>synthetase</w:t>
      </w:r>
      <w:proofErr w:type="spellEnd"/>
      <w:r>
        <w:rPr>
          <w:rFonts w:ascii="Calibri" w:hAnsi="Calibri" w:cs="Calibri"/>
          <w:color w:val="000000"/>
          <w:sz w:val="22"/>
          <w:szCs w:val="22"/>
        </w:rPr>
        <w:t xml:space="preserve">, the first enzyme in glutathione synthesis is reduced during </w:t>
      </w:r>
      <w:proofErr w:type="spellStart"/>
      <w:r>
        <w:rPr>
          <w:rFonts w:ascii="Calibri" w:hAnsi="Calibri" w:cs="Calibri"/>
          <w:color w:val="000000"/>
          <w:sz w:val="22"/>
          <w:szCs w:val="22"/>
        </w:rPr>
        <w:t>decidualisation</w:t>
      </w:r>
      <w:proofErr w:type="spellEnd"/>
      <w:r>
        <w:rPr>
          <w:rFonts w:ascii="Calibri" w:hAnsi="Calibri" w:cs="Calibri"/>
          <w:color w:val="000000"/>
          <w:sz w:val="22"/>
          <w:szCs w:val="22"/>
        </w:rPr>
        <w:t xml:space="preserve">, potentially lowering inhibition of reactive oxygen species (ROS). ROS are required during the initiation of </w:t>
      </w:r>
      <w:proofErr w:type="spellStart"/>
      <w:r>
        <w:rPr>
          <w:rFonts w:ascii="Calibri" w:hAnsi="Calibri" w:cs="Calibri"/>
          <w:color w:val="000000"/>
          <w:sz w:val="22"/>
          <w:szCs w:val="22"/>
        </w:rPr>
        <w:t>decidualisation</w:t>
      </w:r>
      <w:proofErr w:type="spellEnd"/>
      <w:r>
        <w:rPr>
          <w:rFonts w:ascii="Calibri" w:hAnsi="Calibri" w:cs="Calibri"/>
          <w:color w:val="000000"/>
          <w:sz w:val="22"/>
          <w:szCs w:val="22"/>
        </w:rPr>
        <w:t xml:space="preserve">. Thus, aberrant functioning of the methionine cycle may influence multiple aspects of </w:t>
      </w:r>
      <w:proofErr w:type="spellStart"/>
      <w:r>
        <w:rPr>
          <w:rFonts w:ascii="Calibri" w:hAnsi="Calibri" w:cs="Calibri"/>
          <w:color w:val="000000"/>
          <w:sz w:val="22"/>
          <w:szCs w:val="22"/>
        </w:rPr>
        <w:t>decidualisation</w:t>
      </w:r>
      <w:proofErr w:type="spellEnd"/>
      <w:r>
        <w:rPr>
          <w:rFonts w:ascii="Calibri" w:hAnsi="Calibri" w:cs="Calibri"/>
          <w:color w:val="000000"/>
          <w:sz w:val="22"/>
          <w:szCs w:val="22"/>
        </w:rPr>
        <w:t>, and therefore may be implicated in pregnancy complications.</w:t>
      </w:r>
    </w:p>
    <w:p w:rsidR="009E2871" w:rsidRDefault="00FE68AC"/>
    <w:sectPr w:rsidR="009E2871" w:rsidSect="00FD219A">
      <w:pgSz w:w="11906" w:h="16838" w:code="9"/>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A83"/>
    <w:rsid w:val="00823D71"/>
    <w:rsid w:val="00B14726"/>
    <w:rsid w:val="00DF4990"/>
    <w:rsid w:val="00FD219A"/>
    <w:rsid w:val="00FE68AC"/>
    <w:rsid w:val="00FF7A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7139CA"/>
  <w15:chartTrackingRefBased/>
  <w15:docId w15:val="{D9622763-AC6B-4B19-B0C2-E8AD84901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F7A83"/>
    <w:pPr>
      <w:spacing w:after="0" w:line="240" w:lineRule="auto"/>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94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AB628B12</Template>
  <TotalTime>133</TotalTime>
  <Pages>1</Pages>
  <Words>296</Words>
  <Characters>1689</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Barrett, Sean</dc:creator>
  <cp:keywords/>
  <dc:description/>
  <cp:lastModifiedBy>Barrett, Sean</cp:lastModifiedBy>
  <cp:revision>2</cp:revision>
  <dcterms:created xsi:type="dcterms:W3CDTF">2019-04-08T11:49:00Z</dcterms:created>
  <dcterms:modified xsi:type="dcterms:W3CDTF">2019-05-15T12:26:00Z</dcterms:modified>
</cp:coreProperties>
</file>