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2816" w:rsidRPr="00935920" w:rsidRDefault="00935920" w:rsidP="00935920">
      <w:pPr>
        <w:jc w:val="center"/>
        <w:rPr>
          <w:b/>
          <w:sz w:val="36"/>
        </w:rPr>
      </w:pPr>
      <w:r w:rsidRPr="00935920">
        <w:rPr>
          <w:b/>
          <w:sz w:val="36"/>
        </w:rPr>
        <w:t>WMS Symposium 2019 Poster</w:t>
      </w:r>
    </w:p>
    <w:p w:rsidR="00935920" w:rsidRPr="00E11243" w:rsidRDefault="00935920"/>
    <w:p w:rsidR="00935920" w:rsidRPr="00E11243" w:rsidRDefault="00935920">
      <w:r w:rsidRPr="00E11243">
        <w:rPr>
          <w:b/>
        </w:rPr>
        <w:t>Title:</w:t>
      </w:r>
      <w:r w:rsidR="00663C0B" w:rsidRPr="00E11243">
        <w:rPr>
          <w:b/>
        </w:rPr>
        <w:t xml:space="preserve"> </w:t>
      </w:r>
      <w:r w:rsidR="004E730D">
        <w:t xml:space="preserve">Association of </w:t>
      </w:r>
      <w:r w:rsidR="002236A1">
        <w:t xml:space="preserve">inflammatory </w:t>
      </w:r>
      <w:r w:rsidR="004E730D">
        <w:t xml:space="preserve">markers with </w:t>
      </w:r>
      <w:r w:rsidR="004E730D" w:rsidRPr="004E730D">
        <w:t xml:space="preserve">depressive symptoms </w:t>
      </w:r>
      <w:r w:rsidR="004E730D">
        <w:t>across the perinatal period</w:t>
      </w:r>
    </w:p>
    <w:p w:rsidR="00E11243" w:rsidRPr="00AA3610" w:rsidRDefault="00E11243">
      <w:r w:rsidRPr="00E11243">
        <w:rPr>
          <w:b/>
        </w:rPr>
        <w:t xml:space="preserve">Authors: </w:t>
      </w:r>
      <w:r w:rsidRPr="00E11243">
        <w:t>E. Braybrook</w:t>
      </w:r>
      <w:r w:rsidRPr="00E11243">
        <w:rPr>
          <w:vertAlign w:val="superscript"/>
        </w:rPr>
        <w:t>1</w:t>
      </w:r>
      <w:proofErr w:type="gramStart"/>
      <w:r w:rsidRPr="00E11243">
        <w:rPr>
          <w:vertAlign w:val="superscript"/>
        </w:rPr>
        <w:t>,2</w:t>
      </w:r>
      <w:proofErr w:type="gramEnd"/>
      <w:r w:rsidR="002236A1">
        <w:t xml:space="preserve">, </w:t>
      </w:r>
      <w:r w:rsidR="00AA3610" w:rsidRPr="00AA3610">
        <w:t>O</w:t>
      </w:r>
      <w:r w:rsidR="00AA3610">
        <w:t xml:space="preserve">. </w:t>
      </w:r>
      <w:r w:rsidR="00AA3610" w:rsidRPr="00AA3610">
        <w:t>Sorinola</w:t>
      </w:r>
      <w:r w:rsidR="00AA3610">
        <w:rPr>
          <w:vertAlign w:val="superscript"/>
        </w:rPr>
        <w:t>1,3</w:t>
      </w:r>
      <w:r w:rsidR="00AA3610">
        <w:t xml:space="preserve">, </w:t>
      </w:r>
      <w:r w:rsidR="002236A1">
        <w:t>S</w:t>
      </w:r>
      <w:r w:rsidR="004D589C">
        <w:t>.</w:t>
      </w:r>
      <w:bookmarkStart w:id="0" w:name="_GoBack"/>
      <w:bookmarkEnd w:id="0"/>
      <w:r w:rsidR="002236A1">
        <w:t xml:space="preserve"> Forbes-Robertson</w:t>
      </w:r>
      <w:r w:rsidR="00AA3610">
        <w:rPr>
          <w:vertAlign w:val="superscript"/>
        </w:rPr>
        <w:t>4</w:t>
      </w:r>
      <w:r w:rsidR="002236A1">
        <w:t xml:space="preserve"> </w:t>
      </w:r>
      <w:r w:rsidRPr="00E11243">
        <w:t>and D. Grammatopoulos</w:t>
      </w:r>
      <w:r w:rsidRPr="00E11243">
        <w:rPr>
          <w:vertAlign w:val="superscript"/>
        </w:rPr>
        <w:t>1,2</w:t>
      </w:r>
    </w:p>
    <w:p w:rsidR="00E11243" w:rsidRPr="00E11243" w:rsidRDefault="00E11243" w:rsidP="00E11243">
      <w:pPr>
        <w:pStyle w:val="NoSpacing"/>
        <w:rPr>
          <w:sz w:val="18"/>
        </w:rPr>
      </w:pPr>
      <w:r w:rsidRPr="00E11243">
        <w:rPr>
          <w:sz w:val="18"/>
          <w:vertAlign w:val="superscript"/>
        </w:rPr>
        <w:t>1</w:t>
      </w:r>
      <w:r w:rsidRPr="00E11243">
        <w:rPr>
          <w:sz w:val="18"/>
        </w:rPr>
        <w:t>Translational Medicine, Warwick Medical School, Coventry, UK</w:t>
      </w:r>
    </w:p>
    <w:p w:rsidR="002236A1" w:rsidRDefault="00E11243" w:rsidP="00E11243">
      <w:pPr>
        <w:pStyle w:val="NoSpacing"/>
        <w:rPr>
          <w:sz w:val="18"/>
        </w:rPr>
      </w:pPr>
      <w:r w:rsidRPr="00E11243">
        <w:rPr>
          <w:sz w:val="18"/>
          <w:vertAlign w:val="superscript"/>
        </w:rPr>
        <w:t>2</w:t>
      </w:r>
      <w:r w:rsidRPr="00E11243">
        <w:rPr>
          <w:sz w:val="18"/>
        </w:rPr>
        <w:t xml:space="preserve"> Institute of Precision Diagnostics and Translational Medicine, </w:t>
      </w:r>
      <w:proofErr w:type="spellStart"/>
      <w:r w:rsidRPr="00E11243">
        <w:rPr>
          <w:sz w:val="18"/>
        </w:rPr>
        <w:t>Dept</w:t>
      </w:r>
      <w:proofErr w:type="spellEnd"/>
      <w:r w:rsidRPr="00E11243">
        <w:rPr>
          <w:sz w:val="18"/>
        </w:rPr>
        <w:t xml:space="preserve"> of Pathology, University Hospital Coventry and Warwickshire</w:t>
      </w:r>
      <w:r w:rsidR="00AA3610">
        <w:rPr>
          <w:sz w:val="18"/>
        </w:rPr>
        <w:t xml:space="preserve"> NHS Trust</w:t>
      </w:r>
      <w:r w:rsidRPr="00E11243">
        <w:rPr>
          <w:sz w:val="18"/>
        </w:rPr>
        <w:t>, Coventry, UK</w:t>
      </w:r>
    </w:p>
    <w:p w:rsidR="00AA3610" w:rsidRDefault="00AA3610" w:rsidP="00E11243">
      <w:pPr>
        <w:pStyle w:val="NoSpacing"/>
        <w:rPr>
          <w:sz w:val="18"/>
        </w:rPr>
      </w:pPr>
      <w:r w:rsidRPr="002236A1">
        <w:rPr>
          <w:sz w:val="18"/>
          <w:vertAlign w:val="superscript"/>
        </w:rPr>
        <w:t>3</w:t>
      </w:r>
      <w:r w:rsidRPr="00AA3610">
        <w:rPr>
          <w:sz w:val="18"/>
        </w:rPr>
        <w:t xml:space="preserve"> </w:t>
      </w:r>
      <w:proofErr w:type="spellStart"/>
      <w:r>
        <w:rPr>
          <w:sz w:val="18"/>
        </w:rPr>
        <w:t>Dept</w:t>
      </w:r>
      <w:proofErr w:type="spellEnd"/>
      <w:r>
        <w:rPr>
          <w:sz w:val="18"/>
        </w:rPr>
        <w:t xml:space="preserve"> of Obstetrics, Warwick Hospital, Warwick, UK</w:t>
      </w:r>
    </w:p>
    <w:p w:rsidR="00E11243" w:rsidRPr="00E11243" w:rsidRDefault="00AA3610" w:rsidP="00E11243">
      <w:pPr>
        <w:pStyle w:val="NoSpacing"/>
        <w:rPr>
          <w:sz w:val="18"/>
        </w:rPr>
      </w:pPr>
      <w:r>
        <w:rPr>
          <w:sz w:val="18"/>
          <w:vertAlign w:val="superscript"/>
        </w:rPr>
        <w:t>4</w:t>
      </w:r>
      <w:r w:rsidR="002236A1">
        <w:rPr>
          <w:sz w:val="18"/>
        </w:rPr>
        <w:t xml:space="preserve"> Coventry University, Coventry, UK</w:t>
      </w:r>
      <w:r w:rsidR="00E11243" w:rsidRPr="00E11243">
        <w:rPr>
          <w:sz w:val="18"/>
        </w:rPr>
        <w:tab/>
      </w:r>
    </w:p>
    <w:p w:rsidR="00E11243" w:rsidRDefault="00E11243">
      <w:pPr>
        <w:rPr>
          <w:b/>
        </w:rPr>
      </w:pPr>
    </w:p>
    <w:p w:rsidR="00935920" w:rsidRPr="00E11243" w:rsidRDefault="00935920">
      <w:pPr>
        <w:rPr>
          <w:b/>
        </w:rPr>
      </w:pPr>
      <w:r w:rsidRPr="00E11243">
        <w:rPr>
          <w:b/>
        </w:rPr>
        <w:t>Abstract:</w:t>
      </w:r>
    </w:p>
    <w:p w:rsidR="00935920" w:rsidRPr="00B101F3" w:rsidRDefault="00935920" w:rsidP="00935920">
      <w:r w:rsidRPr="00B101F3">
        <w:t xml:space="preserve">Perinatal depression (PND) is a complex </w:t>
      </w:r>
      <w:r w:rsidR="00AA3610">
        <w:t>mood</w:t>
      </w:r>
      <w:r w:rsidRPr="00B101F3">
        <w:t xml:space="preserve"> disorder aff</w:t>
      </w:r>
      <w:r w:rsidR="00D70A0D" w:rsidRPr="00B101F3">
        <w:t>ecting 10-15% of women</w:t>
      </w:r>
      <w:r w:rsidR="00AA3610">
        <w:t xml:space="preserve"> during pregnancy and postpartum</w:t>
      </w:r>
      <w:r w:rsidRPr="00B101F3">
        <w:t xml:space="preserve">. It is </w:t>
      </w:r>
      <w:r w:rsidR="00AA3610">
        <w:t xml:space="preserve">characterised by a </w:t>
      </w:r>
      <w:r w:rsidRPr="00B101F3">
        <w:t>heterogeneous</w:t>
      </w:r>
      <w:r w:rsidR="00D70A0D" w:rsidRPr="00B101F3">
        <w:t xml:space="preserve"> presentation</w:t>
      </w:r>
      <w:r w:rsidR="003622B7">
        <w:t xml:space="preserve"> and its</w:t>
      </w:r>
      <w:r w:rsidRPr="00B101F3">
        <w:t xml:space="preserve"> aetiology </w:t>
      </w:r>
      <w:r w:rsidR="007A7139" w:rsidRPr="00B101F3">
        <w:t>remains elusive, with proposed mechanisms including dysregulation of the HPA axis, hormonal imbalance, genetic vulnerability and psychosocial stress. Inflammation may be a common pathway, with increased cytokines evidenced to influence</w:t>
      </w:r>
      <w:r w:rsidR="003622B7">
        <w:t>:</w:t>
      </w:r>
      <w:r w:rsidR="007A7139" w:rsidRPr="00B101F3">
        <w:t xml:space="preserve"> serotonin metabolism, neuroplasticity and HPA hyperactivity</w:t>
      </w:r>
      <w:r w:rsidR="00DA4EF3" w:rsidRPr="00B101F3">
        <w:t xml:space="preserve">. </w:t>
      </w:r>
      <w:r w:rsidR="003622B7">
        <w:t>With o</w:t>
      </w:r>
      <w:r w:rsidRPr="00B101F3">
        <w:t>nly 50% of women</w:t>
      </w:r>
      <w:r w:rsidR="007A7139" w:rsidRPr="00B101F3">
        <w:t xml:space="preserve"> </w:t>
      </w:r>
      <w:r w:rsidR="003622B7">
        <w:t>detected</w:t>
      </w:r>
      <w:r w:rsidR="007A7139" w:rsidRPr="00B101F3">
        <w:t xml:space="preserve"> through </w:t>
      </w:r>
      <w:r w:rsidR="003622B7">
        <w:t xml:space="preserve">current </w:t>
      </w:r>
      <w:r w:rsidR="00AA3610">
        <w:t xml:space="preserve">screening </w:t>
      </w:r>
      <w:r w:rsidR="003622B7">
        <w:t>strategies</w:t>
      </w:r>
      <w:r w:rsidRPr="00B101F3">
        <w:t xml:space="preserve">, there is an urgent unmet need for </w:t>
      </w:r>
      <w:r w:rsidR="003622B7">
        <w:t xml:space="preserve">the </w:t>
      </w:r>
      <w:r w:rsidRPr="00B101F3">
        <w:t>developmen</w:t>
      </w:r>
      <w:r w:rsidR="003622B7">
        <w:t>t of biomarker-based strategies</w:t>
      </w:r>
      <w:r w:rsidRPr="00B101F3">
        <w:t xml:space="preserve"> </w:t>
      </w:r>
      <w:r w:rsidR="003622B7">
        <w:t>to identify</w:t>
      </w:r>
      <w:r w:rsidR="00DA4EF3" w:rsidRPr="00B101F3">
        <w:t xml:space="preserve"> women at risk of PND. I</w:t>
      </w:r>
      <w:r w:rsidRPr="00B101F3">
        <w:t xml:space="preserve">t is hypothesised that </w:t>
      </w:r>
      <w:r w:rsidR="00D70A0D" w:rsidRPr="00B101F3">
        <w:t>biochemical markers of inflammation may be associated with risk of perinatal depression.</w:t>
      </w:r>
    </w:p>
    <w:p w:rsidR="002879C2" w:rsidRPr="00B101F3" w:rsidRDefault="00600EAB" w:rsidP="00935920">
      <w:r w:rsidRPr="00B101F3">
        <w:t>Blood samples from 2</w:t>
      </w:r>
      <w:r w:rsidR="00BD1326" w:rsidRPr="00B101F3">
        <w:t>59</w:t>
      </w:r>
      <w:r w:rsidRPr="00B101F3">
        <w:t xml:space="preserve"> pregnant women </w:t>
      </w:r>
      <w:r w:rsidR="002879C2" w:rsidRPr="00B101F3">
        <w:t xml:space="preserve">aged between 16 and </w:t>
      </w:r>
      <w:r w:rsidR="00BD1326" w:rsidRPr="00B101F3">
        <w:t xml:space="preserve">45 </w:t>
      </w:r>
      <w:r w:rsidRPr="00B101F3">
        <w:t>(</w:t>
      </w:r>
      <w:r w:rsidR="00BD1326" w:rsidRPr="00B101F3">
        <w:t xml:space="preserve">average gestational age 28 weeks) </w:t>
      </w:r>
      <w:r w:rsidR="002879C2" w:rsidRPr="00B101F3">
        <w:t xml:space="preserve">were </w:t>
      </w:r>
      <w:r w:rsidR="00DA4EF3" w:rsidRPr="00B101F3">
        <w:t>profiled</w:t>
      </w:r>
      <w:r w:rsidR="002879C2" w:rsidRPr="00B101F3">
        <w:t xml:space="preserve"> </w:t>
      </w:r>
      <w:r w:rsidR="00E11243" w:rsidRPr="00B101F3">
        <w:t>for 92</w:t>
      </w:r>
      <w:r w:rsidR="002879C2" w:rsidRPr="00B101F3">
        <w:t xml:space="preserve"> inflammatory markers, utilising proximity extension assay technology. Risk of depression was assessed using the Edinburgh postnatal depression </w:t>
      </w:r>
      <w:r w:rsidR="003622B7">
        <w:t xml:space="preserve">score (EPDS) </w:t>
      </w:r>
      <w:r w:rsidR="002879C2" w:rsidRPr="00B101F3">
        <w:t>questionnaire</w:t>
      </w:r>
      <w:r w:rsidR="00990D4D" w:rsidRPr="00B101F3">
        <w:t xml:space="preserve"> </w:t>
      </w:r>
      <w:r w:rsidR="002879C2" w:rsidRPr="00B101F3">
        <w:t>between 24 and 29 weeks gestation and again</w:t>
      </w:r>
      <w:r w:rsidR="00990D4D" w:rsidRPr="00B101F3">
        <w:t xml:space="preserve"> 6-10 weeks postpartum, with</w:t>
      </w:r>
      <w:r w:rsidR="003622B7">
        <w:t xml:space="preserve"> a</w:t>
      </w:r>
      <w:r w:rsidR="00990D4D" w:rsidRPr="00B101F3">
        <w:t xml:space="preserve"> cut-off </w:t>
      </w:r>
      <w:r w:rsidR="00E11243" w:rsidRPr="00B101F3">
        <w:t xml:space="preserve">score </w:t>
      </w:r>
      <w:r w:rsidR="00990D4D" w:rsidRPr="00B101F3">
        <w:t xml:space="preserve">of 10 </w:t>
      </w:r>
      <w:r w:rsidR="00E11243" w:rsidRPr="00B101F3">
        <w:t xml:space="preserve">used </w:t>
      </w:r>
      <w:r w:rsidR="00990D4D" w:rsidRPr="00B101F3">
        <w:t xml:space="preserve">to categorize scores as ‘high’ or ‘low’ risk for depression. </w:t>
      </w:r>
      <w:r w:rsidR="00DA4EF3" w:rsidRPr="00B101F3">
        <w:t>Individual inflammatory markers were compared across groups using</w:t>
      </w:r>
      <w:r w:rsidR="00E11243" w:rsidRPr="00B101F3">
        <w:t xml:space="preserve"> </w:t>
      </w:r>
      <w:r w:rsidR="00DA4EF3" w:rsidRPr="00B101F3">
        <w:t xml:space="preserve">Welch’s ANOVA. </w:t>
      </w:r>
    </w:p>
    <w:p w:rsidR="00DA4EF3" w:rsidRPr="00B101F3" w:rsidRDefault="00DA4EF3" w:rsidP="00935920">
      <w:pPr>
        <w:rPr>
          <w:color w:val="FF0000"/>
        </w:rPr>
      </w:pPr>
      <w:r w:rsidRPr="00B101F3">
        <w:t xml:space="preserve">From the 92 inflammatory markers, 14 analytes were below the limit of detection for more than 50% of samples and so were excluded from further analysis. Upon comparison of groups determined by antenatal and postnatal EPDS scores, 29 markers displayed a significance value of P&lt;0.05. Upon </w:t>
      </w:r>
      <w:r w:rsidR="00D351B4" w:rsidRPr="00B101F3">
        <w:t>the application of</w:t>
      </w:r>
      <w:r w:rsidRPr="00B101F3">
        <w:t xml:space="preserve"> post hoc tests</w:t>
      </w:r>
      <w:r w:rsidR="00D351B4" w:rsidRPr="00B101F3">
        <w:t>,</w:t>
      </w:r>
      <w:r w:rsidRPr="00B101F3">
        <w:t xml:space="preserve"> </w:t>
      </w:r>
      <w:r w:rsidR="00D351B4" w:rsidRPr="00B101F3">
        <w:t xml:space="preserve">8 </w:t>
      </w:r>
      <w:r w:rsidRPr="00B101F3">
        <w:t xml:space="preserve">markers </w:t>
      </w:r>
      <w:r w:rsidR="00D351B4" w:rsidRPr="00B101F3">
        <w:t xml:space="preserve">including: STAM-BP, SIRT2, CD40, CASP8 and ADA, all associated with apoptotic processes, </w:t>
      </w:r>
      <w:r w:rsidRPr="00B101F3">
        <w:t xml:space="preserve">remained statistically higher </w:t>
      </w:r>
      <w:r w:rsidR="00D351B4" w:rsidRPr="00B101F3">
        <w:t xml:space="preserve">in those with raised antenatal EPDS scores. </w:t>
      </w:r>
    </w:p>
    <w:p w:rsidR="00935920" w:rsidRPr="00B101F3" w:rsidRDefault="00D351B4" w:rsidP="00935920">
      <w:r w:rsidRPr="00B101F3">
        <w:t xml:space="preserve">This explorative approach revealed </w:t>
      </w:r>
      <w:r w:rsidR="00E11243" w:rsidRPr="00B101F3">
        <w:t>increased</w:t>
      </w:r>
      <w:r w:rsidRPr="00B101F3">
        <w:t xml:space="preserve"> marker expression in women presenting with depressive symptoms </w:t>
      </w:r>
      <w:r w:rsidR="00AA3610">
        <w:t xml:space="preserve">during pregnancy </w:t>
      </w:r>
      <w:r w:rsidR="00E11243" w:rsidRPr="00B101F3">
        <w:t>and also highlighted different markers</w:t>
      </w:r>
      <w:r w:rsidRPr="00B101F3">
        <w:t xml:space="preserve"> </w:t>
      </w:r>
      <w:r w:rsidR="00E11243" w:rsidRPr="00B101F3">
        <w:t>relative to</w:t>
      </w:r>
      <w:r w:rsidRPr="00B101F3">
        <w:t xml:space="preserve"> </w:t>
      </w:r>
      <w:r w:rsidR="00E11243" w:rsidRPr="00B101F3">
        <w:t>the onset of symptoms,</w:t>
      </w:r>
      <w:r w:rsidRPr="00B101F3">
        <w:t xml:space="preserve"> su</w:t>
      </w:r>
      <w:r w:rsidR="00E11243" w:rsidRPr="00B101F3">
        <w:t xml:space="preserve">ggesting </w:t>
      </w:r>
      <w:r w:rsidR="00AA3610">
        <w:t>distinct impact</w:t>
      </w:r>
      <w:r w:rsidR="00E11243" w:rsidRPr="00B101F3">
        <w:t xml:space="preserve"> </w:t>
      </w:r>
      <w:r w:rsidR="00AA3610">
        <w:t xml:space="preserve">on disease </w:t>
      </w:r>
      <w:r w:rsidR="00E11243" w:rsidRPr="00B101F3">
        <w:t xml:space="preserve">aetiologies. </w:t>
      </w:r>
      <w:r w:rsidR="00B101F3" w:rsidRPr="00B101F3">
        <w:t>T</w:t>
      </w:r>
      <w:r w:rsidR="00990D4D" w:rsidRPr="00B101F3">
        <w:t>h</w:t>
      </w:r>
      <w:r w:rsidR="00B101F3" w:rsidRPr="00B101F3">
        <w:t>r</w:t>
      </w:r>
      <w:r w:rsidR="00990D4D" w:rsidRPr="00B101F3">
        <w:t xml:space="preserve">ough </w:t>
      </w:r>
      <w:r w:rsidR="00B101F3" w:rsidRPr="00B101F3">
        <w:t xml:space="preserve">further quantitative analysis of these markers, development of a predictive model incorporating </w:t>
      </w:r>
      <w:r w:rsidR="00D0300B">
        <w:t>these</w:t>
      </w:r>
      <w:r w:rsidR="00E11243" w:rsidRPr="00B101F3">
        <w:t xml:space="preserve"> and additional socioeconomic data</w:t>
      </w:r>
      <w:r w:rsidR="00B101F3" w:rsidRPr="00B101F3">
        <w:t xml:space="preserve">, may </w:t>
      </w:r>
      <w:r w:rsidR="00AA3610">
        <w:t>prove to be a plausible approach</w:t>
      </w:r>
      <w:r w:rsidR="00B101F3" w:rsidRPr="00B101F3">
        <w:t>. If we can identify different depressive subtypes earlier, it</w:t>
      </w:r>
      <w:r w:rsidR="00990D4D" w:rsidRPr="00B101F3">
        <w:t xml:space="preserve"> would provide reassurance and allow the application of targeted </w:t>
      </w:r>
      <w:r w:rsidR="00D32DA7">
        <w:t xml:space="preserve">and subtype-tailored </w:t>
      </w:r>
      <w:r w:rsidR="00990D4D" w:rsidRPr="00B101F3">
        <w:t>therapies to those presenting at differing time points.</w:t>
      </w:r>
    </w:p>
    <w:sectPr w:rsidR="00935920" w:rsidRPr="00B101F3" w:rsidSect="00B101F3">
      <w:pgSz w:w="11906" w:h="16838"/>
      <w:pgMar w:top="709" w:right="991" w:bottom="1440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5920"/>
    <w:rsid w:val="002236A1"/>
    <w:rsid w:val="002879C2"/>
    <w:rsid w:val="003622B7"/>
    <w:rsid w:val="004D589C"/>
    <w:rsid w:val="004E377C"/>
    <w:rsid w:val="004E730D"/>
    <w:rsid w:val="00600EAB"/>
    <w:rsid w:val="00663C0B"/>
    <w:rsid w:val="007A7139"/>
    <w:rsid w:val="00872816"/>
    <w:rsid w:val="00935920"/>
    <w:rsid w:val="00990D4D"/>
    <w:rsid w:val="00AA3610"/>
    <w:rsid w:val="00B101F3"/>
    <w:rsid w:val="00BD1326"/>
    <w:rsid w:val="00C00812"/>
    <w:rsid w:val="00D0300B"/>
    <w:rsid w:val="00D32DA7"/>
    <w:rsid w:val="00D351B4"/>
    <w:rsid w:val="00D70A0D"/>
    <w:rsid w:val="00DA4EF3"/>
    <w:rsid w:val="00E112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5:docId w15:val="{6C8AB58F-3D88-45F2-BB99-BAB3D9FC64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E1124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3670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41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442</Words>
  <Characters>2524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Coventry University</Company>
  <LinksUpToDate>false</LinksUpToDate>
  <CharactersWithSpaces>2961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Emma Braybrook</dc:creator>
  <cp:keywords/>
  <dc:description/>
  <cp:lastModifiedBy>Emma Braybrook</cp:lastModifiedBy>
  <cp:revision>3</cp:revision>
  <dcterms:created xsi:type="dcterms:W3CDTF">2019-02-22T09:20:00Z</dcterms:created>
  <dcterms:modified xsi:type="dcterms:W3CDTF">2019-02-22T09:24:00Z</dcterms:modified>
</cp:coreProperties>
</file>