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4EB7" w:rsidRDefault="00F04EB7" w:rsidP="00F04EB7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>Early Pregnancy HbA1c for the Prediction of Gestational Diabetes Mellitus: A Meta-Analysis &amp; Systematic Review</w:t>
      </w:r>
    </w:p>
    <w:p w:rsidR="00F04EB7" w:rsidRDefault="00F04EB7" w:rsidP="00F04EB7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i/>
          <w:color w:val="000000" w:themeColor="text1"/>
          <w:sz w:val="22"/>
          <w:szCs w:val="22"/>
        </w:rPr>
        <w:t> </w:t>
      </w:r>
    </w:p>
    <w:p w:rsidR="00F04EB7" w:rsidRDefault="00F04EB7" w:rsidP="00F04EB7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i/>
          <w:color w:val="000000" w:themeColor="text1"/>
          <w:sz w:val="22"/>
          <w:szCs w:val="22"/>
        </w:rPr>
        <w:t>Background:</w:t>
      </w:r>
      <w:r>
        <w:rPr>
          <w:rFonts w:ascii="Calibri" w:hAnsi="Calibri" w:cs="Calibri"/>
          <w:color w:val="000000" w:themeColor="text1"/>
          <w:sz w:val="22"/>
          <w:szCs w:val="22"/>
        </w:rPr>
        <w:t xml:space="preserve"> GDM is diagnosed at 24-28 weeks of pregnancy which leaves a short time for intervention. HbA1c has been investigated in the literature as an early predictor of GDM. There </w:t>
      </w:r>
      <w:r>
        <w:rPr>
          <w:rFonts w:ascii="Calibri" w:eastAsia="Times New Roman" w:hAnsi="Calibri" w:cs="Calibri"/>
          <w:color w:val="000000"/>
          <w:sz w:val="22"/>
          <w:szCs w:val="22"/>
          <w:shd w:val="clear" w:color="auto" w:fill="FFFFFF"/>
        </w:rPr>
        <w:t xml:space="preserve">is still debate surrounding an optimal HbA1c threshold for the prediction of GDM. The exact role of HbA1c has remained unclear. </w:t>
      </w:r>
      <w:r>
        <w:rPr>
          <w:rFonts w:ascii="Calibri" w:hAnsi="Calibri" w:cs="Calibri"/>
          <w:color w:val="000000"/>
          <w:sz w:val="22"/>
          <w:szCs w:val="22"/>
        </w:rPr>
        <w:t xml:space="preserve">This is the first systematic review and meta-analysis to focus solely on early pregnancy HbA1c as a predictor of GDM. </w:t>
      </w:r>
      <w:r>
        <w:rPr>
          <w:rFonts w:ascii="Calibri" w:hAnsi="Calibri" w:cs="Calibri"/>
          <w:i/>
          <w:color w:val="000000"/>
          <w:sz w:val="22"/>
          <w:szCs w:val="22"/>
        </w:rPr>
        <w:t>Aim:</w:t>
      </w:r>
      <w:r>
        <w:rPr>
          <w:rFonts w:ascii="Calibri" w:hAnsi="Calibri" w:cs="Calibri"/>
          <w:color w:val="000000"/>
          <w:sz w:val="22"/>
          <w:szCs w:val="22"/>
        </w:rPr>
        <w:t xml:space="preserve"> The purpose of this systematic review is to determine the optimum early pregnancy HbA1c cut-off to predict GDM. </w:t>
      </w:r>
      <w:r>
        <w:rPr>
          <w:rFonts w:ascii="Calibri" w:hAnsi="Calibri" w:cs="Calibri"/>
          <w:i/>
          <w:color w:val="000000"/>
          <w:sz w:val="22"/>
          <w:szCs w:val="22"/>
        </w:rPr>
        <w:t>Method:</w:t>
      </w:r>
      <w:r>
        <w:rPr>
          <w:rFonts w:ascii="Calibri" w:hAnsi="Calibri" w:cs="Calibri"/>
          <w:color w:val="000000"/>
          <w:sz w:val="22"/>
          <w:szCs w:val="22"/>
        </w:rPr>
        <w:t xml:space="preserve"> Studies were screened from 4 databases CENTRAL, EMBASE, PubMed and Web of Science in 2018. </w:t>
      </w:r>
      <w:r>
        <w:rPr>
          <w:rFonts w:ascii="Calibri" w:hAnsi="Calibri" w:cs="Calibri"/>
          <w:i/>
          <w:color w:val="000000"/>
          <w:sz w:val="22"/>
          <w:szCs w:val="22"/>
        </w:rPr>
        <w:t>Results:</w:t>
      </w:r>
      <w:r>
        <w:rPr>
          <w:rFonts w:ascii="Calibri" w:hAnsi="Calibri" w:cs="Calibri"/>
          <w:color w:val="000000"/>
          <w:sz w:val="22"/>
          <w:szCs w:val="22"/>
        </w:rPr>
        <w:t xml:space="preserve"> 10 studies including 5,959 patients are to be included in the meta-analysis. We have extracted all reported early pregnancy HbA1c cut-offs, sensitivities, specificities and other determinants of predictive accuracy which were pooled together using a random-effects model. A summary receiver operating characteristic curve (SROC) will be established to assess the overall predictive performance of HbA1c. This will also be expressed as an area under the curve (AUC) value. </w:t>
      </w:r>
      <w:r>
        <w:rPr>
          <w:rFonts w:ascii="Calibri" w:hAnsi="Calibri" w:cs="Calibri"/>
          <w:i/>
          <w:color w:val="000000"/>
          <w:sz w:val="22"/>
          <w:szCs w:val="22"/>
        </w:rPr>
        <w:t xml:space="preserve">Conclusions: </w:t>
      </w:r>
      <w:r>
        <w:rPr>
          <w:rFonts w:ascii="Calibri" w:hAnsi="Calibri" w:cs="Calibri"/>
          <w:color w:val="000000"/>
          <w:sz w:val="22"/>
          <w:szCs w:val="22"/>
        </w:rPr>
        <w:t xml:space="preserve">The remainder of findings and clinical implications of this review are to be reported at the symposium. </w:t>
      </w:r>
    </w:p>
    <w:p w:rsidR="009E2871" w:rsidRDefault="00F04EB7">
      <w:bookmarkStart w:id="0" w:name="_GoBack"/>
      <w:bookmarkEnd w:id="0"/>
    </w:p>
    <w:sectPr w:rsidR="009E2871" w:rsidSect="00FD219A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EB7"/>
    <w:rsid w:val="00823D71"/>
    <w:rsid w:val="00B14726"/>
    <w:rsid w:val="00DF4990"/>
    <w:rsid w:val="00F04EB7"/>
    <w:rsid w:val="00FD2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25F776-B784-4C42-A119-9E183B0CD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04EB7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118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D4019E16</Template>
  <TotalTime>0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Barrett, Sean</dc:creator>
  <cp:keywords/>
  <dc:description/>
  <cp:lastModifiedBy>Barrett, Sean</cp:lastModifiedBy>
  <cp:revision>1</cp:revision>
  <dcterms:created xsi:type="dcterms:W3CDTF">2019-02-28T11:17:00Z</dcterms:created>
  <dcterms:modified xsi:type="dcterms:W3CDTF">2019-02-28T11:17:00Z</dcterms:modified>
</cp:coreProperties>
</file>