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009A7C" w14:textId="7F90F1DF" w:rsidR="00624030" w:rsidRPr="00624030" w:rsidRDefault="00624030" w:rsidP="00624030">
      <w:pPr>
        <w:tabs>
          <w:tab w:val="left" w:pos="3300"/>
        </w:tabs>
        <w:spacing w:line="480" w:lineRule="auto"/>
        <w:jc w:val="both"/>
        <w:rPr>
          <w:rFonts w:ascii="Arial" w:hAnsi="Arial" w:cs="Arial"/>
          <w:noProof/>
          <w:sz w:val="22"/>
          <w:szCs w:val="22"/>
        </w:rPr>
      </w:pPr>
      <w:r w:rsidRPr="00624030">
        <w:rPr>
          <w:rFonts w:ascii="Arial" w:eastAsiaTheme="minorEastAsia" w:hAnsi="Arial" w:cs="Arial"/>
          <w:lang w:val="en-US"/>
        </w:rPr>
        <w:t>Identification and disclosure in a universal wellbeing assessment: Implications for universal mental health screening in schools</w:t>
      </w:r>
      <w:r w:rsidRPr="00624030">
        <w:rPr>
          <w:rFonts w:ascii="Arial" w:hAnsi="Arial" w:cs="Arial"/>
        </w:rPr>
        <w:t xml:space="preserve">.  </w:t>
      </w:r>
      <w:r>
        <w:rPr>
          <w:rFonts w:ascii="Arial" w:hAnsi="Arial" w:cs="Arial"/>
          <w:noProof/>
          <w:sz w:val="22"/>
          <w:szCs w:val="22"/>
          <w:lang w:val="en-US"/>
        </w:rPr>
        <w:t>C Palmer.</w:t>
      </w:r>
    </w:p>
    <w:p w14:paraId="67046019" w14:textId="77777777" w:rsidR="00624030" w:rsidRDefault="00624030" w:rsidP="00624030">
      <w:pPr>
        <w:tabs>
          <w:tab w:val="left" w:pos="3300"/>
        </w:tabs>
        <w:spacing w:line="480" w:lineRule="auto"/>
        <w:jc w:val="both"/>
        <w:rPr>
          <w:rFonts w:ascii="Arial" w:hAnsi="Arial" w:cs="Arial"/>
          <w:noProof/>
          <w:sz w:val="22"/>
          <w:szCs w:val="22"/>
        </w:rPr>
      </w:pPr>
    </w:p>
    <w:p w14:paraId="32AB23B8" w14:textId="77777777" w:rsidR="00CF408F" w:rsidRDefault="00CF408F" w:rsidP="00CF408F">
      <w:pPr>
        <w:tabs>
          <w:tab w:val="left" w:pos="3300"/>
        </w:tabs>
        <w:spacing w:line="480" w:lineRule="auto"/>
        <w:jc w:val="both"/>
        <w:rPr>
          <w:rFonts w:ascii="Arial" w:hAnsi="Arial" w:cs="Arial"/>
          <w:noProof/>
          <w:sz w:val="22"/>
          <w:szCs w:val="22"/>
        </w:rPr>
      </w:pPr>
      <w:bookmarkStart w:id="0" w:name="_Hlk164865127"/>
      <w:r>
        <w:rPr>
          <w:rFonts w:ascii="Arial" w:hAnsi="Arial" w:cs="Arial"/>
          <w:noProof/>
          <w:sz w:val="22"/>
          <w:szCs w:val="22"/>
        </w:rPr>
        <w:t>Universal mental health screening</w:t>
      </w:r>
      <w:r w:rsidRPr="00D60E49">
        <w:rPr>
          <w:rFonts w:ascii="Arial" w:hAnsi="Arial" w:cs="Arial"/>
          <w:noProof/>
          <w:sz w:val="22"/>
          <w:szCs w:val="22"/>
        </w:rPr>
        <w:t xml:space="preserve"> </w:t>
      </w:r>
      <w:r>
        <w:rPr>
          <w:rFonts w:ascii="Arial" w:hAnsi="Arial" w:cs="Arial"/>
          <w:noProof/>
          <w:sz w:val="22"/>
          <w:szCs w:val="22"/>
        </w:rPr>
        <w:t xml:space="preserve">programs </w:t>
      </w:r>
      <w:bookmarkEnd w:id="0"/>
      <w:r w:rsidRPr="00D60E49">
        <w:rPr>
          <w:rFonts w:ascii="Arial" w:hAnsi="Arial" w:cs="Arial"/>
          <w:noProof/>
          <w:sz w:val="22"/>
          <w:szCs w:val="22"/>
        </w:rPr>
        <w:t>in schools</w:t>
      </w:r>
      <w:r>
        <w:rPr>
          <w:rFonts w:ascii="Arial" w:hAnsi="Arial" w:cs="Arial"/>
          <w:noProof/>
          <w:sz w:val="22"/>
          <w:szCs w:val="22"/>
        </w:rPr>
        <w:t xml:space="preserve"> have the potential to provide scalable, equitable and much needed early access to mental health support in the community.  Currently s</w:t>
      </w:r>
      <w:r w:rsidRPr="00D60E49">
        <w:rPr>
          <w:rFonts w:ascii="Arial" w:hAnsi="Arial" w:cs="Arial"/>
          <w:noProof/>
          <w:sz w:val="22"/>
          <w:szCs w:val="22"/>
        </w:rPr>
        <w:t>uch approaches remain under</w:t>
      </w:r>
      <w:r>
        <w:rPr>
          <w:rFonts w:ascii="Arial" w:hAnsi="Arial" w:cs="Arial"/>
          <w:noProof/>
          <w:sz w:val="22"/>
          <w:szCs w:val="22"/>
        </w:rPr>
        <w:t>-</w:t>
      </w:r>
      <w:r w:rsidRPr="00D60E49">
        <w:rPr>
          <w:rFonts w:ascii="Arial" w:hAnsi="Arial" w:cs="Arial"/>
          <w:noProof/>
          <w:sz w:val="22"/>
          <w:szCs w:val="22"/>
        </w:rPr>
        <w:t>utilised</w:t>
      </w:r>
      <w:r>
        <w:rPr>
          <w:rFonts w:ascii="Arial" w:hAnsi="Arial" w:cs="Arial"/>
          <w:noProof/>
          <w:sz w:val="22"/>
          <w:szCs w:val="22"/>
        </w:rPr>
        <w:t xml:space="preserve">, </w:t>
      </w:r>
      <w:r w:rsidRPr="00D60E49">
        <w:rPr>
          <w:rFonts w:ascii="Arial" w:hAnsi="Arial" w:cs="Arial"/>
          <w:noProof/>
          <w:sz w:val="22"/>
          <w:szCs w:val="22"/>
        </w:rPr>
        <w:t xml:space="preserve"> </w:t>
      </w:r>
      <w:r>
        <w:rPr>
          <w:rFonts w:ascii="Arial" w:hAnsi="Arial" w:cs="Arial"/>
          <w:noProof/>
          <w:sz w:val="22"/>
          <w:szCs w:val="22"/>
        </w:rPr>
        <w:t>including in</w:t>
      </w:r>
      <w:r w:rsidRPr="00D60E49">
        <w:rPr>
          <w:rFonts w:ascii="Arial" w:hAnsi="Arial" w:cs="Arial"/>
          <w:noProof/>
          <w:sz w:val="22"/>
          <w:szCs w:val="22"/>
        </w:rPr>
        <w:t xml:space="preserve"> England </w:t>
      </w:r>
      <w:r>
        <w:rPr>
          <w:rFonts w:ascii="Arial" w:hAnsi="Arial" w:cs="Arial"/>
          <w:noProof/>
          <w:sz w:val="22"/>
          <w:szCs w:val="22"/>
        </w:rPr>
        <w:fldChar w:fldCharType="begin">
          <w:fldData xml:space="preserve">PEVuZE5vdGU+PENpdGU+PEF1dGhvcj5Ccm93bjwvQXV0aG9yPjxZZWFyPjIwMTg8L1llYXI+PFJl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=
</w:fldData>
        </w:fldChar>
      </w:r>
      <w:r>
        <w:rPr>
          <w:rFonts w:ascii="Arial" w:hAnsi="Arial" w:cs="Arial"/>
          <w:noProof/>
          <w:sz w:val="22"/>
          <w:szCs w:val="22"/>
        </w:rPr>
        <w:instrText xml:space="preserve"> ADDIN EN.JS.CITE </w:instrText>
      </w:r>
      <w:r>
        <w:rPr>
          <w:rFonts w:ascii="Arial" w:hAnsi="Arial" w:cs="Arial"/>
          <w:noProof/>
          <w:sz w:val="22"/>
          <w:szCs w:val="22"/>
        </w:rPr>
      </w:r>
      <w:r>
        <w:rPr>
          <w:rFonts w:ascii="Arial" w:hAnsi="Arial" w:cs="Arial"/>
          <w:noProof/>
          <w:sz w:val="22"/>
          <w:szCs w:val="22"/>
        </w:rPr>
        <w:fldChar w:fldCharType="separate"/>
      </w:r>
      <w:r>
        <w:rPr>
          <w:rFonts w:ascii="Arial" w:hAnsi="Arial" w:cs="Arial"/>
          <w:noProof/>
          <w:sz w:val="22"/>
          <w:szCs w:val="22"/>
        </w:rPr>
        <w:t>(Brown, 2018)</w:t>
      </w:r>
      <w:r>
        <w:rPr>
          <w:rFonts w:ascii="Arial" w:hAnsi="Arial" w:cs="Arial"/>
          <w:noProof/>
          <w:sz w:val="22"/>
          <w:szCs w:val="22"/>
        </w:rPr>
        <w:fldChar w:fldCharType="end"/>
      </w:r>
      <w:r w:rsidRPr="00D60E49">
        <w:rPr>
          <w:rFonts w:ascii="Arial" w:hAnsi="Arial" w:cs="Arial"/>
          <w:noProof/>
          <w:sz w:val="22"/>
          <w:szCs w:val="22"/>
        </w:rPr>
        <w:t xml:space="preserve"> and the United States </w:t>
      </w:r>
      <w:r>
        <w:rPr>
          <w:rFonts w:ascii="Arial" w:hAnsi="Arial" w:cs="Arial"/>
          <w:noProof/>
          <w:sz w:val="22"/>
          <w:szCs w:val="22"/>
        </w:rPr>
        <w:fldChar w:fldCharType="begin">
          <w:fldData xml:space="preserve">PEVuZE5vdGU+PENpdGU+PEF1dGhvcj5CdXJuczwvQXV0aG9yPjxZZWFyPjIwMjE8L1llYXI+PFJl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</w:fldData>
        </w:fldChar>
      </w:r>
      <w:r>
        <w:rPr>
          <w:rFonts w:ascii="Arial" w:hAnsi="Arial" w:cs="Arial"/>
          <w:noProof/>
          <w:sz w:val="22"/>
          <w:szCs w:val="22"/>
        </w:rPr>
        <w:instrText xml:space="preserve"> ADDIN EN.JS.CITE </w:instrText>
      </w:r>
      <w:r>
        <w:rPr>
          <w:rFonts w:ascii="Arial" w:hAnsi="Arial" w:cs="Arial"/>
          <w:noProof/>
          <w:sz w:val="22"/>
          <w:szCs w:val="22"/>
        </w:rPr>
      </w:r>
      <w:r>
        <w:rPr>
          <w:rFonts w:ascii="Arial" w:hAnsi="Arial" w:cs="Arial"/>
          <w:noProof/>
          <w:sz w:val="22"/>
          <w:szCs w:val="22"/>
        </w:rPr>
        <w:fldChar w:fldCharType="separate"/>
      </w:r>
      <w:r>
        <w:rPr>
          <w:rFonts w:ascii="Arial" w:hAnsi="Arial" w:cs="Arial"/>
          <w:noProof/>
          <w:sz w:val="22"/>
          <w:szCs w:val="22"/>
        </w:rPr>
        <w:t>(Burns &amp; Rapee, 2021; Wood &amp; McDaniel, 2020)</w:t>
      </w:r>
      <w:r>
        <w:rPr>
          <w:rFonts w:ascii="Arial" w:hAnsi="Arial" w:cs="Arial"/>
          <w:noProof/>
          <w:sz w:val="22"/>
          <w:szCs w:val="22"/>
        </w:rPr>
        <w:fldChar w:fldCharType="end"/>
      </w:r>
      <w:r>
        <w:rPr>
          <w:rFonts w:ascii="Arial" w:hAnsi="Arial" w:cs="Arial"/>
          <w:noProof/>
          <w:sz w:val="22"/>
          <w:szCs w:val="22"/>
        </w:rPr>
        <w:t xml:space="preserve"> with lack of </w:t>
      </w:r>
      <w:r w:rsidRPr="00D60E49">
        <w:rPr>
          <w:rFonts w:ascii="Arial" w:hAnsi="Arial" w:cs="Arial"/>
          <w:noProof/>
          <w:sz w:val="22"/>
          <w:szCs w:val="22"/>
        </w:rPr>
        <w:t xml:space="preserve">evidence around the acceptability of such programs to stakeholders </w:t>
      </w:r>
      <w:r>
        <w:rPr>
          <w:rFonts w:ascii="Arial" w:hAnsi="Arial" w:cs="Arial"/>
          <w:noProof/>
          <w:sz w:val="22"/>
          <w:szCs w:val="22"/>
        </w:rPr>
        <w:t xml:space="preserve">being cited as contributing factor </w:t>
      </w:r>
      <w:r>
        <w:rPr>
          <w:rFonts w:ascii="Arial" w:hAnsi="Arial" w:cs="Arial"/>
          <w:noProof/>
          <w:sz w:val="22"/>
          <w:szCs w:val="22"/>
        </w:rPr>
        <w:fldChar w:fldCharType="begin">
          <w:fldData xml:space="preserve">PEVuZE5vdGU+PENpdGU+PEF1dGhvcj5LaW5nPC9BdXRob3I+PFllYXI+MjAyMTwvWWVhcj48UmVj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==
</w:fldData>
        </w:fldChar>
      </w:r>
      <w:r>
        <w:rPr>
          <w:rFonts w:ascii="Arial" w:hAnsi="Arial" w:cs="Arial"/>
          <w:noProof/>
          <w:sz w:val="22"/>
          <w:szCs w:val="22"/>
        </w:rPr>
        <w:instrText xml:space="preserve"> ADDIN EN.JS.CITE </w:instrText>
      </w:r>
      <w:r>
        <w:rPr>
          <w:rFonts w:ascii="Arial" w:hAnsi="Arial" w:cs="Arial"/>
          <w:noProof/>
          <w:sz w:val="22"/>
          <w:szCs w:val="22"/>
        </w:rPr>
      </w:r>
      <w:r>
        <w:rPr>
          <w:rFonts w:ascii="Arial" w:hAnsi="Arial" w:cs="Arial"/>
          <w:noProof/>
          <w:sz w:val="22"/>
          <w:szCs w:val="22"/>
        </w:rPr>
        <w:fldChar w:fldCharType="separate"/>
      </w:r>
      <w:r>
        <w:rPr>
          <w:rFonts w:ascii="Arial" w:hAnsi="Arial" w:cs="Arial"/>
          <w:noProof/>
          <w:sz w:val="22"/>
          <w:szCs w:val="22"/>
        </w:rPr>
        <w:t>(King, 2021)</w:t>
      </w:r>
      <w:r>
        <w:rPr>
          <w:rFonts w:ascii="Arial" w:hAnsi="Arial" w:cs="Arial"/>
          <w:noProof/>
          <w:sz w:val="22"/>
          <w:szCs w:val="22"/>
        </w:rPr>
        <w:fldChar w:fldCharType="end"/>
      </w:r>
      <w:r>
        <w:rPr>
          <w:rFonts w:ascii="Arial" w:hAnsi="Arial" w:cs="Arial"/>
          <w:noProof/>
          <w:sz w:val="22"/>
          <w:szCs w:val="22"/>
        </w:rPr>
        <w:t xml:space="preserve">.  Research on acceptability is an understudied area particularly regarding practicalities involved.  It is unclear how the requirement of disclosure and idenitification with different stakeholders during the screening process may impact pupil behaviour.   Negative responses have the potential to then excerbate existing inequalities around help-seeking and negate universal aims of equitabe access. We assessed 12,377 primary and secondary school aged pupils from 55 schools in the West Midlands, UK for mental wellbeing as a proxy for screening prior to asking the pupils to reflect on how identification and data sharing with relevant stakeholder groups would impact their answers.  </w:t>
      </w:r>
    </w:p>
    <w:p w14:paraId="6A861C0A" w14:textId="77777777" w:rsidR="00CF408F" w:rsidRDefault="00CF408F" w:rsidP="00CF408F">
      <w:pPr>
        <w:tabs>
          <w:tab w:val="left" w:pos="3300"/>
        </w:tabs>
        <w:spacing w:line="480" w:lineRule="auto"/>
        <w:jc w:val="both"/>
        <w:rPr>
          <w:rFonts w:ascii="Arial" w:hAnsi="Arial" w:cs="Arial"/>
          <w:noProof/>
          <w:sz w:val="22"/>
          <w:szCs w:val="22"/>
        </w:rPr>
      </w:pPr>
    </w:p>
    <w:p w14:paraId="35EE8F70" w14:textId="2CCB2808" w:rsidR="00CF408F" w:rsidRPr="00DD6A11" w:rsidRDefault="00CF408F" w:rsidP="00CF408F">
      <w:pPr>
        <w:tabs>
          <w:tab w:val="left" w:pos="3300"/>
        </w:tabs>
        <w:spacing w:line="480" w:lineRule="auto"/>
        <w:jc w:val="both"/>
        <w:rPr>
          <w:rFonts w:ascii="Arial" w:hAnsi="Arial" w:cs="Arial"/>
          <w:sz w:val="22"/>
          <w:szCs w:val="22"/>
          <w:highlight w:val="yellow"/>
        </w:rPr>
      </w:pPr>
      <w:r>
        <w:rPr>
          <w:rFonts w:ascii="Arial" w:hAnsi="Arial" w:cs="Arial"/>
          <w:sz w:val="22"/>
          <w:szCs w:val="22"/>
        </w:rPr>
        <w:t xml:space="preserve">Our findings suggest that identification impacted on some pupils’ behaviour in relation to universal assessments in schools.  At secondary schools’ high levels of masking and disengagement were observed for pupils scoring below screening thresholds for further support.  Comparing the stakeholders that data is shared with also revealed an impact with differences between primary and secondary school engagement.  We identified some potential for health inequalities to occur, especially for females and for pupils at secondary school where some groups reported more discomfort with disclosure than others.  School connectedness emerged as a potentially important </w:t>
      </w:r>
      <w:r>
        <w:rPr>
          <w:rFonts w:ascii="Arial" w:hAnsi="Arial" w:cs="Arial"/>
          <w:sz w:val="22"/>
          <w:szCs w:val="22"/>
        </w:rPr>
        <w:t>predictor of</w:t>
      </w:r>
      <w:r>
        <w:rPr>
          <w:rFonts w:ascii="Arial" w:hAnsi="Arial" w:cs="Arial"/>
          <w:sz w:val="22"/>
          <w:szCs w:val="22"/>
        </w:rPr>
        <w:t xml:space="preserve"> engagement with assessments at primary school.  Implications around how pupil autonomy and trust may be integrated into </w:t>
      </w:r>
      <w:r>
        <w:rPr>
          <w:rFonts w:ascii="Arial" w:hAnsi="Arial" w:cs="Arial"/>
          <w:sz w:val="22"/>
          <w:szCs w:val="22"/>
        </w:rPr>
        <w:lastRenderedPageBreak/>
        <w:t>screening systems to promote increased engagement and equity in assessment are discussed.</w:t>
      </w:r>
    </w:p>
    <w:p w14:paraId="1CAEE19D" w14:textId="77777777" w:rsidR="00364F8A" w:rsidRDefault="00364F8A"/>
    <w:sectPr w:rsidR="00364F8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4030"/>
    <w:rsid w:val="0030759B"/>
    <w:rsid w:val="00364F8A"/>
    <w:rsid w:val="003A60B7"/>
    <w:rsid w:val="00506AC4"/>
    <w:rsid w:val="00575EB0"/>
    <w:rsid w:val="005D48C8"/>
    <w:rsid w:val="00624030"/>
    <w:rsid w:val="009E5370"/>
    <w:rsid w:val="00A452B5"/>
    <w:rsid w:val="00CF408F"/>
    <w:rsid w:val="00F53D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3C1918D"/>
  <w15:chartTrackingRefBased/>
  <w15:docId w15:val="{6C4CFC6D-BCAF-454C-8E69-F84C322C3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4030"/>
    <w:pPr>
      <w:spacing w:after="0" w:line="240" w:lineRule="auto"/>
    </w:pPr>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62403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unhideWhenUsed/>
    <w:qFormat/>
    <w:rsid w:val="0062403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62403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624030"/>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624030"/>
    <w:pPr>
      <w:keepNext/>
      <w:keepLines/>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624030"/>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624030"/>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624030"/>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624030"/>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403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62403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2403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2403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2403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2403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2403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2403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24030"/>
    <w:rPr>
      <w:rFonts w:eastAsiaTheme="majorEastAsia" w:cstheme="majorBidi"/>
      <w:color w:val="272727" w:themeColor="text1" w:themeTint="D8"/>
    </w:rPr>
  </w:style>
  <w:style w:type="paragraph" w:styleId="Title">
    <w:name w:val="Title"/>
    <w:basedOn w:val="Normal"/>
    <w:next w:val="Normal"/>
    <w:link w:val="TitleChar"/>
    <w:uiPriority w:val="10"/>
    <w:qFormat/>
    <w:rsid w:val="00624030"/>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62403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2403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62403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24030"/>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624030"/>
    <w:rPr>
      <w:i/>
      <w:iCs/>
      <w:color w:val="404040" w:themeColor="text1" w:themeTint="BF"/>
    </w:rPr>
  </w:style>
  <w:style w:type="paragraph" w:styleId="ListParagraph">
    <w:name w:val="List Paragraph"/>
    <w:basedOn w:val="Normal"/>
    <w:uiPriority w:val="34"/>
    <w:qFormat/>
    <w:rsid w:val="00624030"/>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624030"/>
    <w:rPr>
      <w:i/>
      <w:iCs/>
      <w:color w:val="0F4761" w:themeColor="accent1" w:themeShade="BF"/>
    </w:rPr>
  </w:style>
  <w:style w:type="paragraph" w:styleId="IntenseQuote">
    <w:name w:val="Intense Quote"/>
    <w:basedOn w:val="Normal"/>
    <w:next w:val="Normal"/>
    <w:link w:val="IntenseQuoteChar"/>
    <w:uiPriority w:val="30"/>
    <w:qFormat/>
    <w:rsid w:val="0062403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624030"/>
    <w:rPr>
      <w:i/>
      <w:iCs/>
      <w:color w:val="0F4761" w:themeColor="accent1" w:themeShade="BF"/>
    </w:rPr>
  </w:style>
  <w:style w:type="character" w:styleId="IntenseReference">
    <w:name w:val="Intense Reference"/>
    <w:basedOn w:val="DefaultParagraphFont"/>
    <w:uiPriority w:val="32"/>
    <w:qFormat/>
    <w:rsid w:val="00624030"/>
    <w:rPr>
      <w:b/>
      <w:bCs/>
      <w:smallCaps/>
      <w:color w:val="0F4761" w:themeColor="accent1" w:themeShade="BF"/>
      <w:spacing w:val="5"/>
    </w:rPr>
  </w:style>
  <w:style w:type="character" w:styleId="CommentReference">
    <w:name w:val="annotation reference"/>
    <w:basedOn w:val="DefaultParagraphFont"/>
    <w:uiPriority w:val="99"/>
    <w:semiHidden/>
    <w:unhideWhenUsed/>
    <w:rsid w:val="00CF408F"/>
    <w:rPr>
      <w:sz w:val="16"/>
      <w:szCs w:val="16"/>
    </w:rPr>
  </w:style>
  <w:style w:type="paragraph" w:styleId="CommentText">
    <w:name w:val="annotation text"/>
    <w:basedOn w:val="Normal"/>
    <w:link w:val="CommentTextChar"/>
    <w:uiPriority w:val="99"/>
    <w:unhideWhenUsed/>
    <w:rsid w:val="00CF408F"/>
    <w:rPr>
      <w:rFonts w:asciiTheme="minorHAnsi" w:eastAsiaTheme="minorHAnsi" w:hAnsiTheme="minorHAnsi" w:cstheme="minorBidi"/>
      <w:kern w:val="2"/>
      <w:sz w:val="20"/>
      <w:szCs w:val="20"/>
      <w:lang w:eastAsia="en-US"/>
      <w14:ligatures w14:val="standardContextual"/>
    </w:rPr>
  </w:style>
  <w:style w:type="character" w:customStyle="1" w:styleId="CommentTextChar">
    <w:name w:val="Comment Text Char"/>
    <w:basedOn w:val="DefaultParagraphFont"/>
    <w:link w:val="CommentText"/>
    <w:uiPriority w:val="99"/>
    <w:rsid w:val="00CF408F"/>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02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334</Words>
  <Characters>1907</Characters>
  <Application>Microsoft Office Word</Application>
  <DocSecurity>0</DocSecurity>
  <Lines>15</Lines>
  <Paragraphs>4</Paragraphs>
  <ScaleCrop>false</ScaleCrop>
  <Company/>
  <LinksUpToDate>false</LinksUpToDate>
  <CharactersWithSpaces>2237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Palmer, Colin</dc:creator>
  <cp:keywords/>
  <dc:description/>
  <cp:lastModifiedBy>Palmer, Colin</cp:lastModifiedBy>
  <cp:revision>2</cp:revision>
  <dcterms:created xsi:type="dcterms:W3CDTF">2024-04-29T15:32:00Z</dcterms:created>
  <dcterms:modified xsi:type="dcterms:W3CDTF">2024-04-29T15:32:00Z</dcterms:modified>
</cp:coreProperties>
</file>