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3E6BDB" w14:textId="62F5AF4E" w:rsidR="000F11CA" w:rsidRPr="000F11CA" w:rsidRDefault="00854E98" w:rsidP="000F11CA">
      <w:pPr>
        <w:spacing w:after="0" w:line="240" w:lineRule="auto"/>
        <w:rPr>
          <w:rFonts w:ascii="Calibri" w:eastAsia="Times New Roman" w:hAnsi="Calibri" w:cs="Calibri"/>
          <w:b/>
          <w:bCs/>
          <w:iCs w:val="0"/>
          <w:color w:val="000000"/>
          <w:sz w:val="22"/>
          <w:szCs w:val="22"/>
          <w:lang w:eastAsia="en-GB"/>
        </w:rPr>
      </w:pPr>
      <w:r w:rsidRPr="00E2217D">
        <w:rPr>
          <w:rFonts w:ascii="Calibri" w:eastAsia="Times New Roman" w:hAnsi="Calibri" w:cs="Calibri"/>
          <w:b/>
          <w:bCs/>
          <w:iCs w:val="0"/>
          <w:color w:val="000000"/>
          <w:sz w:val="22"/>
          <w:szCs w:val="22"/>
          <w:lang w:eastAsia="en-GB"/>
        </w:rPr>
        <w:t xml:space="preserve">Emily Ahmed, </w:t>
      </w:r>
      <w:r w:rsidR="00E2217D" w:rsidRPr="00E2217D">
        <w:rPr>
          <w:rFonts w:ascii="Calibri" w:eastAsia="Times New Roman" w:hAnsi="Calibri" w:cs="Calibri"/>
          <w:b/>
          <w:bCs/>
          <w:iCs w:val="0"/>
          <w:color w:val="000000"/>
          <w:sz w:val="22"/>
          <w:szCs w:val="22"/>
          <w:lang w:eastAsia="en-GB"/>
        </w:rPr>
        <w:t>PGR symposium abstract</w:t>
      </w:r>
    </w:p>
    <w:p w14:paraId="17480B55" w14:textId="77777777" w:rsidR="00E2217D" w:rsidRDefault="00E2217D" w:rsidP="000F11CA">
      <w:pPr>
        <w:spacing w:after="0" w:line="240" w:lineRule="auto"/>
        <w:rPr>
          <w:rFonts w:ascii="Calibri" w:eastAsia="Times New Roman" w:hAnsi="Calibri" w:cs="Calibri"/>
          <w:iCs w:val="0"/>
          <w:color w:val="000000"/>
          <w:sz w:val="22"/>
          <w:szCs w:val="22"/>
          <w:lang w:eastAsia="en-GB"/>
        </w:rPr>
      </w:pPr>
      <w:r>
        <w:rPr>
          <w:rFonts w:ascii="Calibri" w:eastAsia="Times New Roman" w:hAnsi="Calibri" w:cs="Calibri"/>
          <w:iCs w:val="0"/>
          <w:color w:val="000000"/>
          <w:sz w:val="22"/>
          <w:szCs w:val="22"/>
          <w:lang w:eastAsia="en-GB"/>
        </w:rPr>
        <w:t>2024</w:t>
      </w:r>
    </w:p>
    <w:p w14:paraId="6A877B1C" w14:textId="77777777" w:rsidR="00E2217D" w:rsidRDefault="00E2217D" w:rsidP="000F11CA">
      <w:pPr>
        <w:spacing w:after="0" w:line="240" w:lineRule="auto"/>
        <w:rPr>
          <w:rFonts w:ascii="Calibri" w:eastAsia="Times New Roman" w:hAnsi="Calibri" w:cs="Calibri"/>
          <w:iCs w:val="0"/>
          <w:color w:val="000000"/>
          <w:sz w:val="22"/>
          <w:szCs w:val="22"/>
          <w:lang w:eastAsia="en-GB"/>
        </w:rPr>
      </w:pPr>
    </w:p>
    <w:p w14:paraId="6C8A9654" w14:textId="7C6CD72F" w:rsidR="00E2217D" w:rsidRDefault="00E2217D" w:rsidP="000F11CA">
      <w:pPr>
        <w:spacing w:after="0" w:line="240" w:lineRule="auto"/>
        <w:rPr>
          <w:rFonts w:ascii="Calibri" w:eastAsia="Times New Roman" w:hAnsi="Calibri" w:cs="Calibri"/>
          <w:iCs w:val="0"/>
          <w:color w:val="000000"/>
          <w:sz w:val="22"/>
          <w:szCs w:val="22"/>
          <w:lang w:eastAsia="en-GB"/>
        </w:rPr>
      </w:pPr>
      <w:r>
        <w:rPr>
          <w:rFonts w:ascii="Calibri" w:eastAsia="Times New Roman" w:hAnsi="Calibri" w:cs="Calibri"/>
          <w:iCs w:val="0"/>
          <w:color w:val="000000"/>
          <w:sz w:val="22"/>
          <w:szCs w:val="22"/>
          <w:lang w:eastAsia="en-GB"/>
        </w:rPr>
        <w:t>Emily Ahmed</w:t>
      </w:r>
    </w:p>
    <w:p w14:paraId="61C9712C" w14:textId="50A848F0" w:rsidR="00E2217D" w:rsidRDefault="00E2217D" w:rsidP="000F11CA">
      <w:pPr>
        <w:spacing w:after="0" w:line="240" w:lineRule="auto"/>
        <w:rPr>
          <w:rFonts w:ascii="Calibri" w:eastAsia="Times New Roman" w:hAnsi="Calibri" w:cs="Calibri"/>
          <w:iCs w:val="0"/>
          <w:color w:val="000000"/>
          <w:sz w:val="22"/>
          <w:szCs w:val="22"/>
          <w:lang w:eastAsia="en-GB"/>
        </w:rPr>
      </w:pPr>
      <w:r>
        <w:rPr>
          <w:rFonts w:ascii="Calibri" w:eastAsia="Times New Roman" w:hAnsi="Calibri" w:cs="Calibri"/>
          <w:iCs w:val="0"/>
          <w:color w:val="000000"/>
          <w:sz w:val="22"/>
          <w:szCs w:val="22"/>
          <w:lang w:eastAsia="en-GB"/>
        </w:rPr>
        <w:t>The Balance of Power</w:t>
      </w:r>
      <w:r w:rsidR="00ED0322">
        <w:rPr>
          <w:rFonts w:ascii="Calibri" w:eastAsia="Times New Roman" w:hAnsi="Calibri" w:cs="Calibri"/>
          <w:iCs w:val="0"/>
          <w:color w:val="000000"/>
          <w:sz w:val="22"/>
          <w:szCs w:val="22"/>
          <w:lang w:eastAsia="en-GB"/>
        </w:rPr>
        <w:t xml:space="preserve"> – </w:t>
      </w:r>
      <w:r w:rsidR="0082244D">
        <w:rPr>
          <w:rFonts w:ascii="Calibri" w:eastAsia="Times New Roman" w:hAnsi="Calibri" w:cs="Calibri"/>
          <w:iCs w:val="0"/>
          <w:color w:val="000000"/>
          <w:sz w:val="22"/>
          <w:szCs w:val="22"/>
          <w:lang w:eastAsia="en-GB"/>
        </w:rPr>
        <w:t xml:space="preserve">public contributor’s </w:t>
      </w:r>
      <w:r w:rsidR="00ED0322">
        <w:rPr>
          <w:rFonts w:ascii="Calibri" w:eastAsia="Times New Roman" w:hAnsi="Calibri" w:cs="Calibri"/>
          <w:iCs w:val="0"/>
          <w:color w:val="000000"/>
          <w:sz w:val="22"/>
          <w:szCs w:val="22"/>
          <w:lang w:eastAsia="en-GB"/>
        </w:rPr>
        <w:t xml:space="preserve">experiences of power and power sharing in the coproduction of UK health research </w:t>
      </w:r>
    </w:p>
    <w:p w14:paraId="0ABC8049" w14:textId="41E78935" w:rsidR="000F11CA" w:rsidRPr="000F11CA" w:rsidRDefault="000F11CA" w:rsidP="000F11CA">
      <w:pPr>
        <w:spacing w:after="0" w:line="240" w:lineRule="auto"/>
        <w:rPr>
          <w:rFonts w:ascii="Calibri" w:eastAsia="Times New Roman" w:hAnsi="Calibri" w:cs="Calibri"/>
          <w:iCs w:val="0"/>
          <w:color w:val="000000"/>
          <w:sz w:val="22"/>
          <w:szCs w:val="22"/>
          <w:lang w:eastAsia="en-GB"/>
        </w:rPr>
      </w:pPr>
      <w:r w:rsidRPr="000F11CA">
        <w:rPr>
          <w:rFonts w:ascii="Calibri" w:eastAsia="Times New Roman" w:hAnsi="Calibri" w:cs="Calibri"/>
          <w:iCs w:val="0"/>
          <w:color w:val="000000"/>
          <w:sz w:val="22"/>
          <w:szCs w:val="22"/>
          <w:lang w:eastAsia="en-GB"/>
        </w:rPr>
        <w:t> </w:t>
      </w:r>
    </w:p>
    <w:p w14:paraId="13333C4A" w14:textId="4FD83BB0" w:rsidR="000F11CA" w:rsidRDefault="000F11CA" w:rsidP="000F11CA">
      <w:r w:rsidRPr="000F11CA">
        <w:t>Power can be a tricky concept to engage with</w:t>
      </w:r>
      <w:r>
        <w:t>, but addressing power inequalities and sharing power are key aspects of co-production. Emily Ahmed p</w:t>
      </w:r>
      <w:r w:rsidRPr="00B6531A">
        <w:t>resent</w:t>
      </w:r>
      <w:r>
        <w:t>s</w:t>
      </w:r>
      <w:r w:rsidRPr="00B6531A">
        <w:t xml:space="preserve"> </w:t>
      </w:r>
      <w:r>
        <w:t xml:space="preserve">her PhD research </w:t>
      </w:r>
      <w:r w:rsidRPr="00B6531A">
        <w:t xml:space="preserve">exploring “how power and power-sharing (or lack of) is experienced in the co-production of UK health research”. </w:t>
      </w:r>
      <w:r>
        <w:t>She will discuss definitions of co-production, her research methods and present emerging themes and reflections.</w:t>
      </w:r>
    </w:p>
    <w:p w14:paraId="78416806" w14:textId="77777777" w:rsidR="000F11CA" w:rsidRDefault="000F11CA" w:rsidP="000F11CA">
      <w:pPr>
        <w:rPr>
          <w:sz w:val="23"/>
          <w:szCs w:val="23"/>
        </w:rPr>
      </w:pPr>
      <w:r w:rsidRPr="00BF3EB5">
        <w:rPr>
          <w:sz w:val="23"/>
          <w:szCs w:val="23"/>
        </w:rPr>
        <w:t>Power-sharing</w:t>
      </w:r>
      <w:r w:rsidRPr="00905038">
        <w:rPr>
          <w:sz w:val="23"/>
          <w:szCs w:val="23"/>
        </w:rPr>
        <w:t xml:space="preserve"> and addressing power inequalities</w:t>
      </w:r>
      <w:r w:rsidRPr="00BF3EB5">
        <w:rPr>
          <w:sz w:val="23"/>
          <w:szCs w:val="23"/>
        </w:rPr>
        <w:t xml:space="preserve"> </w:t>
      </w:r>
      <w:r w:rsidRPr="00905038">
        <w:rPr>
          <w:sz w:val="23"/>
          <w:szCs w:val="23"/>
        </w:rPr>
        <w:t>are</w:t>
      </w:r>
      <w:r w:rsidRPr="00BF3EB5">
        <w:rPr>
          <w:sz w:val="23"/>
          <w:szCs w:val="23"/>
        </w:rPr>
        <w:t xml:space="preserve"> defining principle</w:t>
      </w:r>
      <w:r w:rsidRPr="00905038">
        <w:rPr>
          <w:sz w:val="23"/>
          <w:szCs w:val="23"/>
        </w:rPr>
        <w:t>s</w:t>
      </w:r>
      <w:r w:rsidRPr="00BF3EB5">
        <w:rPr>
          <w:sz w:val="23"/>
          <w:szCs w:val="23"/>
        </w:rPr>
        <w:t xml:space="preserve"> of co-production (Hickey et al,2018) and effective co-production requires organisations to</w:t>
      </w:r>
      <w:r w:rsidRPr="00905038">
        <w:rPr>
          <w:sz w:val="23"/>
          <w:szCs w:val="23"/>
        </w:rPr>
        <w:t xml:space="preserve"> </w:t>
      </w:r>
      <w:r w:rsidRPr="00BF3EB5">
        <w:rPr>
          <w:sz w:val="23"/>
          <w:szCs w:val="23"/>
        </w:rPr>
        <w:t>embrace more equal power distribution (Smith et al, 2022)</w:t>
      </w:r>
      <w:r w:rsidRPr="00905038">
        <w:rPr>
          <w:sz w:val="23"/>
          <w:szCs w:val="23"/>
        </w:rPr>
        <w:t xml:space="preserve">. Yet whilst there is an abundance of guidance and discussion to support implementation, </w:t>
      </w:r>
      <w:r>
        <w:rPr>
          <w:sz w:val="23"/>
          <w:szCs w:val="23"/>
        </w:rPr>
        <w:t xml:space="preserve">there’s </w:t>
      </w:r>
      <w:r w:rsidRPr="00905038">
        <w:rPr>
          <w:sz w:val="23"/>
          <w:szCs w:val="23"/>
        </w:rPr>
        <w:t xml:space="preserve">limited empirical evidence of how power and power-sharing is experienced in co-production, and a critical lack of public contributor voices within this. </w:t>
      </w:r>
    </w:p>
    <w:p w14:paraId="2516CE1B" w14:textId="11CA53CF" w:rsidR="000F11CA" w:rsidRDefault="000F11CA" w:rsidP="000F11CA">
      <w:pPr>
        <w:rPr>
          <w:sz w:val="23"/>
          <w:szCs w:val="23"/>
        </w:rPr>
      </w:pPr>
      <w:r w:rsidRPr="00905038">
        <w:rPr>
          <w:sz w:val="23"/>
          <w:szCs w:val="23"/>
        </w:rPr>
        <w:t>This PhD research asks, ‘how do public contributors experience power and power-sharing within the co-production of UK health research?’.</w:t>
      </w:r>
      <w:r>
        <w:rPr>
          <w:sz w:val="23"/>
          <w:szCs w:val="23"/>
        </w:rPr>
        <w:t xml:space="preserve"> </w:t>
      </w:r>
      <w:r w:rsidRPr="000F11CA">
        <w:rPr>
          <w:sz w:val="23"/>
          <w:szCs w:val="23"/>
        </w:rPr>
        <w:t>The study includes online semi-structured interviews with public contributors (patients and members of the public) who have been involved in co-producing health research. Data collection and analysis is informed by Constructivist Grounded Theory (Charmaz, 2014)</w:t>
      </w:r>
      <w:r>
        <w:rPr>
          <w:sz w:val="23"/>
          <w:szCs w:val="23"/>
        </w:rPr>
        <w:t xml:space="preserve">. </w:t>
      </w:r>
      <w:r w:rsidRPr="00905038">
        <w:rPr>
          <w:sz w:val="23"/>
          <w:szCs w:val="23"/>
        </w:rPr>
        <w:t>Creative methods are included throughout the study to enable participant accessibility and to support reflective practice</w:t>
      </w:r>
      <w:r>
        <w:rPr>
          <w:sz w:val="23"/>
          <w:szCs w:val="23"/>
        </w:rPr>
        <w:t xml:space="preserve">, </w:t>
      </w:r>
      <w:proofErr w:type="gramStart"/>
      <w:r w:rsidRPr="00905038">
        <w:rPr>
          <w:sz w:val="23"/>
          <w:szCs w:val="23"/>
        </w:rPr>
        <w:t>analysis</w:t>
      </w:r>
      <w:proofErr w:type="gramEnd"/>
      <w:r>
        <w:rPr>
          <w:sz w:val="23"/>
          <w:szCs w:val="23"/>
        </w:rPr>
        <w:t xml:space="preserve"> and dissemination. </w:t>
      </w:r>
    </w:p>
    <w:p w14:paraId="2E497444" w14:textId="421E2207" w:rsidR="000F11CA" w:rsidRPr="000F11CA" w:rsidRDefault="000F11CA" w:rsidP="000F11CA">
      <w:pPr>
        <w:rPr>
          <w:sz w:val="23"/>
          <w:szCs w:val="23"/>
        </w:rPr>
      </w:pPr>
      <w:r w:rsidRPr="000F11CA">
        <w:rPr>
          <w:sz w:val="23"/>
          <w:szCs w:val="23"/>
        </w:rPr>
        <w:t xml:space="preserve">The research is led by Emily Ahmed, PhD student at Warwick University, funded by the NIHR ARC West Midlands. Emily has over 20 years’ experience working within community engagement as a co-production and public involvement facilitator, project manager and public contributor. The study is supported by a Lived Experience Advisory Panel, a group of people with lived experience of co-production (as public contributors, researchers, academics, funders, </w:t>
      </w:r>
      <w:proofErr w:type="gramStart"/>
      <w:r w:rsidRPr="000F11CA">
        <w:rPr>
          <w:sz w:val="23"/>
          <w:szCs w:val="23"/>
        </w:rPr>
        <w:t>facilitators</w:t>
      </w:r>
      <w:proofErr w:type="gramEnd"/>
      <w:r w:rsidRPr="000F11CA">
        <w:rPr>
          <w:sz w:val="23"/>
          <w:szCs w:val="23"/>
        </w:rPr>
        <w:t xml:space="preserve"> and voluntary sector representatives). They are involved in co-designing ethical considerations, research processes, discussion and reflection on emerging themes, </w:t>
      </w:r>
      <w:proofErr w:type="gramStart"/>
      <w:r w:rsidRPr="000F11CA">
        <w:rPr>
          <w:sz w:val="23"/>
          <w:szCs w:val="23"/>
        </w:rPr>
        <w:t>theory</w:t>
      </w:r>
      <w:proofErr w:type="gramEnd"/>
      <w:r w:rsidRPr="000F11CA">
        <w:rPr>
          <w:sz w:val="23"/>
          <w:szCs w:val="23"/>
        </w:rPr>
        <w:t xml:space="preserve"> and dissemination. Supervisors for this study are Sophie Staniszewska and Kate Seers.</w:t>
      </w:r>
    </w:p>
    <w:p w14:paraId="3E751F95" w14:textId="77777777" w:rsidR="000F11CA" w:rsidRPr="00905038" w:rsidRDefault="000F11CA" w:rsidP="000F11CA">
      <w:pPr>
        <w:rPr>
          <w:sz w:val="23"/>
          <w:szCs w:val="23"/>
        </w:rPr>
      </w:pPr>
    </w:p>
    <w:p w14:paraId="250DFD8C" w14:textId="77777777" w:rsidR="000F11CA" w:rsidRPr="00B6531A" w:rsidRDefault="000F11CA" w:rsidP="000F11CA"/>
    <w:p w14:paraId="42B34A3B" w14:textId="2F9C947D" w:rsidR="000F11CA" w:rsidRDefault="000F11CA"/>
    <w:p w14:paraId="1E5D8251" w14:textId="77777777" w:rsidR="000F11CA" w:rsidRDefault="000F11CA"/>
    <w:sectPr w:rsidR="000F11C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11CA"/>
    <w:rsid w:val="000E3EF6"/>
    <w:rsid w:val="000F11CA"/>
    <w:rsid w:val="000F1CCE"/>
    <w:rsid w:val="001D420D"/>
    <w:rsid w:val="002A59CB"/>
    <w:rsid w:val="003C6001"/>
    <w:rsid w:val="00534AC1"/>
    <w:rsid w:val="00542D4B"/>
    <w:rsid w:val="00581332"/>
    <w:rsid w:val="00595A92"/>
    <w:rsid w:val="005D306C"/>
    <w:rsid w:val="005F0B2B"/>
    <w:rsid w:val="00681172"/>
    <w:rsid w:val="007418C9"/>
    <w:rsid w:val="007618F8"/>
    <w:rsid w:val="007E6CF1"/>
    <w:rsid w:val="0082244D"/>
    <w:rsid w:val="00854E98"/>
    <w:rsid w:val="0098226C"/>
    <w:rsid w:val="00986C68"/>
    <w:rsid w:val="00997BEE"/>
    <w:rsid w:val="009B4E5E"/>
    <w:rsid w:val="00D243E9"/>
    <w:rsid w:val="00D80895"/>
    <w:rsid w:val="00DC5613"/>
    <w:rsid w:val="00E2217D"/>
    <w:rsid w:val="00ED0322"/>
    <w:rsid w:val="00EE0B82"/>
    <w:rsid w:val="00F4086C"/>
    <w:rsid w:val="00FD24CC"/>
    <w:rsid w:val="00FE0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261306B"/>
  <w15:chartTrackingRefBased/>
  <w15:docId w15:val="{1681A361-3791-E546-9583-9F06F55C0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6001"/>
    <w:pPr>
      <w:spacing w:after="200" w:line="288" w:lineRule="auto"/>
    </w:pPr>
    <w:rPr>
      <w:rFonts w:eastAsiaTheme="minorEastAsia"/>
      <w:iCs/>
      <w:kern w:val="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F11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F11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F11C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F11CA"/>
    <w:pPr>
      <w:keepNext/>
      <w:keepLines/>
      <w:spacing w:before="80" w:after="40"/>
      <w:outlineLvl w:val="3"/>
    </w:pPr>
    <w:rPr>
      <w:rFonts w:eastAsiaTheme="majorEastAsia" w:cstheme="majorBidi"/>
      <w:i/>
      <w:iCs w:val="0"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F11C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F11CA"/>
    <w:pPr>
      <w:keepNext/>
      <w:keepLines/>
      <w:spacing w:before="40" w:after="0"/>
      <w:outlineLvl w:val="5"/>
    </w:pPr>
    <w:rPr>
      <w:rFonts w:eastAsiaTheme="majorEastAsia" w:cstheme="majorBidi"/>
      <w:i/>
      <w:iCs w:val="0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F11C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F11CA"/>
    <w:pPr>
      <w:keepNext/>
      <w:keepLines/>
      <w:spacing w:after="0"/>
      <w:outlineLvl w:val="7"/>
    </w:pPr>
    <w:rPr>
      <w:rFonts w:eastAsiaTheme="majorEastAsia" w:cstheme="majorBidi"/>
      <w:i/>
      <w:iCs w:val="0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F11C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F11CA"/>
    <w:rPr>
      <w:rFonts w:asciiTheme="majorHAnsi" w:eastAsiaTheme="majorEastAsia" w:hAnsiTheme="majorHAnsi" w:cstheme="majorBidi"/>
      <w:iCs/>
      <w:color w:val="2F5496" w:themeColor="accent1" w:themeShade="BF"/>
      <w:kern w:val="0"/>
      <w:sz w:val="40"/>
      <w:szCs w:val="40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F11CA"/>
    <w:rPr>
      <w:rFonts w:asciiTheme="majorHAnsi" w:eastAsiaTheme="majorEastAsia" w:hAnsiTheme="majorHAnsi" w:cstheme="majorBidi"/>
      <w:iCs/>
      <w:color w:val="2F5496" w:themeColor="accent1" w:themeShade="BF"/>
      <w:kern w:val="0"/>
      <w:sz w:val="32"/>
      <w:szCs w:val="32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F11CA"/>
    <w:rPr>
      <w:rFonts w:eastAsiaTheme="majorEastAsia" w:cstheme="majorBidi"/>
      <w:iCs/>
      <w:color w:val="2F5496" w:themeColor="accent1" w:themeShade="BF"/>
      <w:kern w:val="0"/>
      <w:sz w:val="28"/>
      <w:szCs w:val="28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F11CA"/>
    <w:rPr>
      <w:rFonts w:eastAsiaTheme="majorEastAsia" w:cstheme="majorBidi"/>
      <w:i/>
      <w:color w:val="2F5496" w:themeColor="accent1" w:themeShade="BF"/>
      <w:kern w:val="0"/>
      <w:szCs w:val="20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F11CA"/>
    <w:rPr>
      <w:rFonts w:eastAsiaTheme="majorEastAsia" w:cstheme="majorBidi"/>
      <w:iCs/>
      <w:color w:val="2F5496" w:themeColor="accent1" w:themeShade="BF"/>
      <w:kern w:val="0"/>
      <w:szCs w:val="20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F11CA"/>
    <w:rPr>
      <w:rFonts w:eastAsiaTheme="majorEastAsia" w:cstheme="majorBidi"/>
      <w:i/>
      <w:color w:val="595959" w:themeColor="text1" w:themeTint="A6"/>
      <w:kern w:val="0"/>
      <w:szCs w:val="20"/>
      <w14:ligatures w14:val="non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F11CA"/>
    <w:rPr>
      <w:rFonts w:eastAsiaTheme="majorEastAsia" w:cstheme="majorBidi"/>
      <w:iCs/>
      <w:color w:val="595959" w:themeColor="text1" w:themeTint="A6"/>
      <w:kern w:val="0"/>
      <w:szCs w:val="20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F11CA"/>
    <w:rPr>
      <w:rFonts w:eastAsiaTheme="majorEastAsia" w:cstheme="majorBidi"/>
      <w:i/>
      <w:color w:val="272727" w:themeColor="text1" w:themeTint="D8"/>
      <w:kern w:val="0"/>
      <w:szCs w:val="20"/>
      <w14:ligatures w14:val="non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F11CA"/>
    <w:rPr>
      <w:rFonts w:eastAsiaTheme="majorEastAsia" w:cstheme="majorBidi"/>
      <w:iCs/>
      <w:color w:val="272727" w:themeColor="text1" w:themeTint="D8"/>
      <w:kern w:val="0"/>
      <w:szCs w:val="20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0F11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F11CA"/>
    <w:rPr>
      <w:rFonts w:asciiTheme="majorHAnsi" w:eastAsiaTheme="majorEastAsia" w:hAnsiTheme="majorHAnsi" w:cstheme="majorBidi"/>
      <w:iCs/>
      <w:spacing w:val="-10"/>
      <w:kern w:val="28"/>
      <w:sz w:val="56"/>
      <w:szCs w:val="56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qFormat/>
    <w:rsid w:val="000F11C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F11CA"/>
    <w:rPr>
      <w:rFonts w:eastAsiaTheme="majorEastAsia" w:cstheme="majorBidi"/>
      <w:iCs/>
      <w:color w:val="595959" w:themeColor="text1" w:themeTint="A6"/>
      <w:spacing w:val="15"/>
      <w:kern w:val="0"/>
      <w:sz w:val="28"/>
      <w:szCs w:val="28"/>
      <w14:ligatures w14:val="none"/>
    </w:rPr>
  </w:style>
  <w:style w:type="paragraph" w:styleId="Quote">
    <w:name w:val="Quote"/>
    <w:basedOn w:val="Normal"/>
    <w:next w:val="Normal"/>
    <w:link w:val="QuoteChar"/>
    <w:uiPriority w:val="29"/>
    <w:qFormat/>
    <w:rsid w:val="000F11CA"/>
    <w:pPr>
      <w:spacing w:before="160" w:after="160"/>
      <w:jc w:val="center"/>
    </w:pPr>
    <w:rPr>
      <w:i/>
      <w:iCs w:val="0"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F11CA"/>
    <w:rPr>
      <w:rFonts w:eastAsiaTheme="minorEastAsia"/>
      <w:i/>
      <w:color w:val="404040" w:themeColor="text1" w:themeTint="BF"/>
      <w:kern w:val="0"/>
      <w:szCs w:val="20"/>
      <w14:ligatures w14:val="none"/>
    </w:rPr>
  </w:style>
  <w:style w:type="paragraph" w:styleId="ListParagraph">
    <w:name w:val="List Paragraph"/>
    <w:basedOn w:val="Normal"/>
    <w:uiPriority w:val="34"/>
    <w:qFormat/>
    <w:rsid w:val="000F11C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F11C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F11C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 w:val="0"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F11CA"/>
    <w:rPr>
      <w:rFonts w:eastAsiaTheme="minorEastAsia"/>
      <w:i/>
      <w:color w:val="2F5496" w:themeColor="accent1" w:themeShade="BF"/>
      <w:kern w:val="0"/>
      <w:szCs w:val="20"/>
      <w14:ligatures w14:val="none"/>
    </w:rPr>
  </w:style>
  <w:style w:type="character" w:styleId="IntenseReference">
    <w:name w:val="Intense Reference"/>
    <w:basedOn w:val="DefaultParagraphFont"/>
    <w:uiPriority w:val="32"/>
    <w:qFormat/>
    <w:rsid w:val="000F11C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936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373</Words>
  <Characters>1952</Characters>
  <Application>Microsoft Office Word</Application>
  <DocSecurity>0</DocSecurity>
  <Lines>32</Lines>
  <Paragraphs>8</Paragraphs>
  <ScaleCrop>false</ScaleCrop>
  <Company/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AHMED, EMILY (PGR)</dc:creator>
  <cp:keywords/>
  <dc:description/>
  <cp:lastModifiedBy>AHMED, EMILY (PGR)</cp:lastModifiedBy>
  <cp:revision>6</cp:revision>
  <dcterms:created xsi:type="dcterms:W3CDTF">2024-04-30T10:04:00Z</dcterms:created>
  <dcterms:modified xsi:type="dcterms:W3CDTF">2024-04-30T10:16:00Z</dcterms:modified>
</cp:coreProperties>
</file>