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69BC19" w14:textId="77777777" w:rsidR="007A696C" w:rsidRPr="007A696C" w:rsidRDefault="007A696C" w:rsidP="007A696C">
      <w:pPr>
        <w:pStyle w:val="NormalWeb"/>
        <w:shd w:val="clear" w:color="auto" w:fill="FFFFFF"/>
        <w:jc w:val="both"/>
        <w:rPr>
          <w:rFonts w:ascii="Arial" w:hAnsi="Arial" w:cs="Arial"/>
          <w:b/>
          <w:bCs/>
          <w:sz w:val="28"/>
          <w:szCs w:val="28"/>
        </w:rPr>
      </w:pPr>
      <w:r w:rsidRPr="007A696C">
        <w:rPr>
          <w:rFonts w:ascii="Arial" w:hAnsi="Arial" w:cs="Arial"/>
          <w:b/>
          <w:bCs/>
          <w:color w:val="383838"/>
          <w:sz w:val="28"/>
          <w:szCs w:val="28"/>
        </w:rPr>
        <w:t xml:space="preserve">Towards detection of structurally diverse glycated epitopes in native proteins: </w:t>
      </w:r>
      <w:proofErr w:type="spellStart"/>
      <w:r w:rsidRPr="007A696C">
        <w:rPr>
          <w:rFonts w:ascii="Arial" w:hAnsi="Arial" w:cs="Arial"/>
          <w:b/>
          <w:bCs/>
          <w:color w:val="383838"/>
          <w:sz w:val="28"/>
          <w:szCs w:val="28"/>
        </w:rPr>
        <w:t>scFv</w:t>
      </w:r>
      <w:proofErr w:type="spellEnd"/>
      <w:r w:rsidRPr="007A696C">
        <w:rPr>
          <w:rFonts w:ascii="Arial" w:hAnsi="Arial" w:cs="Arial"/>
          <w:b/>
          <w:bCs/>
          <w:color w:val="383838"/>
          <w:sz w:val="28"/>
          <w:szCs w:val="28"/>
        </w:rPr>
        <w:t xml:space="preserve"> antibody directed to non-A1c epitope in human </w:t>
      </w:r>
      <w:proofErr w:type="gramStart"/>
      <w:r w:rsidRPr="007A696C">
        <w:rPr>
          <w:rFonts w:ascii="Arial" w:hAnsi="Arial" w:cs="Arial"/>
          <w:b/>
          <w:bCs/>
          <w:color w:val="383838"/>
          <w:sz w:val="28"/>
          <w:szCs w:val="28"/>
        </w:rPr>
        <w:t>haemoglobin</w:t>
      </w:r>
      <w:proofErr w:type="gramEnd"/>
      <w:r w:rsidRPr="007A696C">
        <w:rPr>
          <w:rFonts w:ascii="Arial" w:hAnsi="Arial" w:cs="Arial"/>
          <w:b/>
          <w:bCs/>
          <w:color w:val="383838"/>
          <w:sz w:val="28"/>
          <w:szCs w:val="28"/>
        </w:rPr>
        <w:t xml:space="preserve"> </w:t>
      </w:r>
    </w:p>
    <w:p w14:paraId="19F4789A" w14:textId="77777777" w:rsidR="007A696C" w:rsidRDefault="007A696C" w:rsidP="007A696C">
      <w:pPr>
        <w:jc w:val="both"/>
        <w:rPr>
          <w:rFonts w:ascii="Arial" w:hAnsi="Arial" w:cs="Arial"/>
          <w:color w:val="000000"/>
        </w:rPr>
      </w:pPr>
    </w:p>
    <w:p w14:paraId="33F587A0" w14:textId="47DBD4F7" w:rsidR="00D40BA3" w:rsidRDefault="007A696C" w:rsidP="007A696C">
      <w:pPr>
        <w:jc w:val="both"/>
        <w:rPr>
          <w:rFonts w:ascii="Arial" w:hAnsi="Arial" w:cs="Arial"/>
          <w:color w:val="000000"/>
        </w:rPr>
      </w:pPr>
      <w:r w:rsidRPr="0049432B">
        <w:rPr>
          <w:rFonts w:ascii="Arial" w:hAnsi="Arial" w:cs="Arial"/>
          <w:color w:val="000000"/>
        </w:rPr>
        <w:t>Glycans are biomolecules involved in several biological events such as cell-cell recognition, protein trafficking, hormonal responses and can be detected as biomarkers of different pathologies</w:t>
      </w:r>
      <w:r>
        <w:rPr>
          <w:rFonts w:ascii="Arial" w:hAnsi="Arial" w:cs="Arial"/>
          <w:color w:val="000000"/>
        </w:rPr>
        <w:fldChar w:fldCharType="begin">
          <w:fldData xml:space="preserve">PEVuZE5vdGU+PENpdGU+PEF1dGhvcj5IYWppLUdoYXNzZW1pPC9BdXRob3I+PFllYXI+MjAxNTwv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</w:fldData>
        </w:fldChar>
      </w:r>
      <w:r>
        <w:rPr>
          <w:rFonts w:ascii="Arial" w:hAnsi="Arial" w:cs="Arial"/>
          <w:color w:val="000000"/>
        </w:rPr>
        <w:instrText xml:space="preserve"> ADDIN EN.CITE </w:instrText>
      </w:r>
      <w:r>
        <w:rPr>
          <w:rFonts w:ascii="Arial" w:hAnsi="Arial" w:cs="Arial"/>
          <w:color w:val="000000"/>
        </w:rPr>
        <w:fldChar w:fldCharType="begin">
          <w:fldData xml:space="preserve">PEVuZE5vdGU+PENpdGU+PEF1dGhvcj5IYWppLUdoYXNzZW1pPC9BdXRob3I+PFllYXI+MjAxNTwv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</w:fldData>
        </w:fldChar>
      </w:r>
      <w:r>
        <w:rPr>
          <w:rFonts w:ascii="Arial" w:hAnsi="Arial" w:cs="Arial"/>
          <w:color w:val="000000"/>
        </w:rPr>
        <w:instrText xml:space="preserve"> ADDIN EN.CITE.DATA </w:instrText>
      </w:r>
      <w:r>
        <w:rPr>
          <w:rFonts w:ascii="Arial" w:hAnsi="Arial" w:cs="Arial"/>
          <w:color w:val="000000"/>
        </w:rPr>
      </w:r>
      <w:r>
        <w:rPr>
          <w:rFonts w:ascii="Arial" w:hAnsi="Arial" w:cs="Arial"/>
          <w:color w:val="000000"/>
        </w:rPr>
        <w:fldChar w:fldCharType="end"/>
      </w:r>
      <w:r>
        <w:rPr>
          <w:rFonts w:ascii="Arial" w:hAnsi="Arial" w:cs="Arial"/>
          <w:color w:val="000000"/>
        </w:rPr>
      </w:r>
      <w:r>
        <w:rPr>
          <w:rFonts w:ascii="Arial" w:hAnsi="Arial" w:cs="Arial"/>
          <w:color w:val="000000"/>
        </w:rPr>
        <w:fldChar w:fldCharType="separate"/>
      </w:r>
      <w:r w:rsidRPr="00DA762E">
        <w:rPr>
          <w:rFonts w:ascii="Arial" w:hAnsi="Arial" w:cs="Arial"/>
          <w:noProof/>
          <w:color w:val="000000"/>
          <w:vertAlign w:val="superscript"/>
        </w:rPr>
        <w:t>1</w:t>
      </w:r>
      <w:r>
        <w:rPr>
          <w:rFonts w:ascii="Arial" w:hAnsi="Arial" w:cs="Arial"/>
          <w:color w:val="000000"/>
        </w:rPr>
        <w:fldChar w:fldCharType="end"/>
      </w:r>
      <w:r w:rsidRPr="0049432B">
        <w:rPr>
          <w:rFonts w:ascii="Arial" w:hAnsi="Arial" w:cs="Arial"/>
          <w:color w:val="000000"/>
        </w:rPr>
        <w:t>. For this reason, understanding the molecular dynamics in the recognition between proteins and glycans is of great interest to monitor the progress of many illnesses and is worth further exploration</w:t>
      </w:r>
      <w:r>
        <w:rPr>
          <w:rFonts w:ascii="Arial" w:hAnsi="Arial" w:cs="Arial"/>
          <w:color w:val="000000"/>
        </w:rPr>
        <w:fldChar w:fldCharType="begin">
          <w:fldData xml:space="preserve">PEVuZE5vdGU+PENpdGU+PEF1dGhvcj5IYWppLUdoYXNzZW1pPC9BdXRob3I+PFllYXI+MjAxNTwv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</w:fldData>
        </w:fldChar>
      </w:r>
      <w:r>
        <w:rPr>
          <w:rFonts w:ascii="Arial" w:hAnsi="Arial" w:cs="Arial"/>
          <w:color w:val="000000"/>
        </w:rPr>
        <w:instrText xml:space="preserve"> ADDIN EN.CITE </w:instrText>
      </w:r>
      <w:r>
        <w:rPr>
          <w:rFonts w:ascii="Arial" w:hAnsi="Arial" w:cs="Arial"/>
          <w:color w:val="000000"/>
        </w:rPr>
        <w:fldChar w:fldCharType="begin">
          <w:fldData xml:space="preserve">PEVuZE5vdGU+PENpdGU+PEF1dGhvcj5IYWppLUdoYXNzZW1pPC9BdXRob3I+PFllYXI+MjAxNTwv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</w:fldData>
        </w:fldChar>
      </w:r>
      <w:r>
        <w:rPr>
          <w:rFonts w:ascii="Arial" w:hAnsi="Arial" w:cs="Arial"/>
          <w:color w:val="000000"/>
        </w:rPr>
        <w:instrText xml:space="preserve"> ADDIN EN.CITE.DATA </w:instrText>
      </w:r>
      <w:r>
        <w:rPr>
          <w:rFonts w:ascii="Arial" w:hAnsi="Arial" w:cs="Arial"/>
          <w:color w:val="000000"/>
        </w:rPr>
      </w:r>
      <w:r>
        <w:rPr>
          <w:rFonts w:ascii="Arial" w:hAnsi="Arial" w:cs="Arial"/>
          <w:color w:val="000000"/>
        </w:rPr>
        <w:fldChar w:fldCharType="end"/>
      </w:r>
      <w:r>
        <w:rPr>
          <w:rFonts w:ascii="Arial" w:hAnsi="Arial" w:cs="Arial"/>
          <w:color w:val="000000"/>
        </w:rPr>
      </w:r>
      <w:r>
        <w:rPr>
          <w:rFonts w:ascii="Arial" w:hAnsi="Arial" w:cs="Arial"/>
          <w:color w:val="000000"/>
        </w:rPr>
        <w:fldChar w:fldCharType="separate"/>
      </w:r>
      <w:r w:rsidRPr="00DA762E">
        <w:rPr>
          <w:rFonts w:ascii="Arial" w:hAnsi="Arial" w:cs="Arial"/>
          <w:noProof/>
          <w:color w:val="000000"/>
          <w:vertAlign w:val="superscript"/>
        </w:rPr>
        <w:t>1</w:t>
      </w:r>
      <w:r>
        <w:rPr>
          <w:rFonts w:ascii="Arial" w:hAnsi="Arial" w:cs="Arial"/>
          <w:color w:val="000000"/>
        </w:rPr>
        <w:fldChar w:fldCharType="end"/>
      </w:r>
      <w:r w:rsidRPr="0049432B">
        <w:rPr>
          <w:rFonts w:ascii="Arial" w:hAnsi="Arial" w:cs="Arial"/>
          <w:color w:val="000000"/>
        </w:rPr>
        <w:t xml:space="preserve">. In one example, the detection of the glycated haemoglobin (HbA1c) is known to aid early diagnosis of diabetes and enable the regular monitoring of blood sugar levels </w:t>
      </w:r>
      <w:r>
        <w:rPr>
          <w:rFonts w:ascii="Arial" w:hAnsi="Arial" w:cs="Arial"/>
          <w:color w:val="000000"/>
        </w:rPr>
        <w:t xml:space="preserve">in </w:t>
      </w:r>
      <w:r w:rsidRPr="0049432B">
        <w:rPr>
          <w:rFonts w:ascii="Arial" w:hAnsi="Arial" w:cs="Arial"/>
          <w:color w:val="000000"/>
        </w:rPr>
        <w:t>diabet</w:t>
      </w:r>
      <w:r>
        <w:rPr>
          <w:rFonts w:ascii="Arial" w:hAnsi="Arial" w:cs="Arial"/>
          <w:color w:val="000000"/>
        </w:rPr>
        <w:t>ic patients</w:t>
      </w:r>
      <w:r>
        <w:rPr>
          <w:rFonts w:ascii="Arial" w:hAnsi="Arial" w:cs="Arial"/>
          <w:color w:val="000000"/>
        </w:rPr>
        <w:fldChar w:fldCharType="begin"/>
      </w:r>
      <w:r>
        <w:rPr>
          <w:rFonts w:ascii="Arial" w:hAnsi="Arial" w:cs="Arial"/>
          <w:color w:val="000000"/>
        </w:rPr>
        <w:instrText xml:space="preserve"> ADDIN EN.CITE &lt;EndNote&gt;&lt;Cite&gt;&lt;Author&gt;Sherwani&lt;/Author&gt;&lt;Year&gt;2016&lt;/Year&gt;&lt;RecNum&gt;96&lt;/RecNum&gt;&lt;DisplayText&gt;&lt;style face="superscript"&gt;2&lt;/style&gt;&lt;/DisplayText&gt;&lt;record&gt;&lt;rec-number&gt;96&lt;/rec-number&gt;&lt;foreign-keys&gt;&lt;key app="EN" db-id="aeftzxaz3ftdxyepadyvtpp9vrptp2sar2ef" timestamp="1669196093" guid="8962d5eb-89e7-44f3-8245-751be092587e"&gt;96&lt;/key&gt;&lt;/foreign-keys&gt;&lt;ref-type name="Journal Article"&gt;17&lt;/ref-type&gt;&lt;contributors&gt;&lt;authors&gt;&lt;author&gt;Sherwani, S. I.&lt;/author&gt;&lt;author&gt;Khan, H. A.&lt;/author&gt;&lt;author&gt;Ekhzaimy, A.&lt;/author&gt;&lt;author&gt;Masood, A.&lt;/author&gt;&lt;author&gt;Sakharkar, M. K.&lt;/author&gt;&lt;/authors&gt;&lt;/contributors&gt;&lt;auth-address&gt;Department of Internal Medicine, Division of Pulmonary Medicine, The Dorothy M. Davis Heart and Lung Research Institute, The Ohio State University College of Medicine, Columbus, OH, USA.&amp;#xD;Department of Biochemistry, College of Science, King Saud University, Riyadh, Saudi Arabia.&amp;#xD;Division of Endocrinology, Department of Medicine, King Khalid University Hospital, Riyadh, Saudi Arabia.&amp;#xD;Obesity Research Center, College of Medicine, King Saud University, Riyadh, Saudi Arabia.&amp;#xD;Drug Discovery and Development Research Group, College of Pharmacy and Nutrition, University of Saskatchewan, Canada.&lt;/auth-address&gt;&lt;titles&gt;&lt;title&gt;Significance of HbA1c Test in Diagnosis and Prognosis of Diabetic Patients&lt;/title&gt;&lt;secondary-title&gt;Biomark Insights&lt;/secondary-title&gt;&lt;/titles&gt;&lt;periodical&gt;&lt;full-title&gt;Biomark Insights&lt;/full-title&gt;&lt;/periodical&gt;&lt;pages&gt;95-104&lt;/pages&gt;&lt;volume&gt;11&lt;/volume&gt;&lt;edition&gt;2016/07/12&lt;/edition&gt;&lt;keywords&gt;&lt;keyword&gt;HbA1c&lt;/keyword&gt;&lt;keyword&gt;blood test&lt;/keyword&gt;&lt;keyword&gt;diabetes&lt;/keyword&gt;&lt;keyword&gt;diagnosis&lt;/keyword&gt;&lt;keyword&gt;prognosis&lt;/keyword&gt;&lt;/keywords&gt;&lt;dates&gt;&lt;year&gt;2016&lt;/year&gt;&lt;/dates&gt;&lt;isbn&gt;1177-2719 (Print)&amp;#xD;1177-2719&lt;/isbn&gt;&lt;accession-num&gt;27398023&lt;/accession-num&gt;&lt;urls&gt;&lt;/urls&gt;&lt;custom2&gt;PMC4933534&lt;/custom2&gt;&lt;electronic-resource-num&gt;10.4137/bmi.S38440&lt;/electronic-resource-num&gt;&lt;remote-database-provider&gt;NLM&lt;/remote-database-provider&gt;&lt;language&gt;eng&lt;/language&gt;&lt;/record&gt;&lt;/Cite&gt;&lt;/EndNote&gt;</w:instrText>
      </w:r>
      <w:r>
        <w:rPr>
          <w:rFonts w:ascii="Arial" w:hAnsi="Arial" w:cs="Arial"/>
          <w:color w:val="000000"/>
        </w:rPr>
        <w:fldChar w:fldCharType="separate"/>
      </w:r>
      <w:r w:rsidRPr="00DA762E">
        <w:rPr>
          <w:rFonts w:ascii="Arial" w:hAnsi="Arial" w:cs="Arial"/>
          <w:noProof/>
          <w:color w:val="000000"/>
          <w:vertAlign w:val="superscript"/>
        </w:rPr>
        <w:t>2</w:t>
      </w:r>
      <w:r>
        <w:rPr>
          <w:rFonts w:ascii="Arial" w:hAnsi="Arial" w:cs="Arial"/>
          <w:color w:val="000000"/>
        </w:rPr>
        <w:fldChar w:fldCharType="end"/>
      </w:r>
      <w:r w:rsidRPr="0049432B">
        <w:rPr>
          <w:rFonts w:ascii="Arial" w:hAnsi="Arial" w:cs="Arial"/>
          <w:color w:val="000000"/>
        </w:rPr>
        <w:t>. HbA1c levels can be measured through antibody-binding in immunoassay</w:t>
      </w:r>
      <w:r>
        <w:rPr>
          <w:rFonts w:ascii="Arial" w:hAnsi="Arial" w:cs="Arial"/>
          <w:color w:val="000000"/>
        </w:rPr>
        <w:fldChar w:fldCharType="begin"/>
      </w:r>
      <w:r>
        <w:rPr>
          <w:rFonts w:ascii="Arial" w:hAnsi="Arial" w:cs="Arial"/>
          <w:color w:val="000000"/>
        </w:rPr>
        <w:instrText xml:space="preserve"> ADDIN EN.CITE &lt;EndNote&gt;&lt;Cite&gt;&lt;Author&gt;Sherwani&lt;/Author&gt;&lt;Year&gt;2016&lt;/Year&gt;&lt;RecNum&gt;96&lt;/RecNum&gt;&lt;DisplayText&gt;&lt;style face="superscript"&gt;2&lt;/style&gt;&lt;/DisplayText&gt;&lt;record&gt;&lt;rec-number&gt;96&lt;/rec-number&gt;&lt;foreign-keys&gt;&lt;key app="EN" db-id="aeftzxaz3ftdxyepadyvtpp9vrptp2sar2ef" timestamp="1669196093" guid="8962d5eb-89e7-44f3-8245-751be092587e"&gt;96&lt;/key&gt;&lt;/foreign-keys&gt;&lt;ref-type name="Journal Article"&gt;17&lt;/ref-type&gt;&lt;contributors&gt;&lt;authors&gt;&lt;author&gt;Sherwani, S. I.&lt;/author&gt;&lt;author&gt;Khan, H. A.&lt;/author&gt;&lt;author&gt;Ekhzaimy, A.&lt;/author&gt;&lt;author&gt;Masood, A.&lt;/author&gt;&lt;author&gt;Sakharkar, M. K.&lt;/author&gt;&lt;/authors&gt;&lt;/contributors&gt;&lt;auth-address&gt;Department of Internal Medicine, Division of Pulmonary Medicine, The Dorothy M. Davis Heart and Lung Research Institute, The Ohio State University College of Medicine, Columbus, OH, USA.&amp;#xD;Department of Biochemistry, College of Science, King Saud University, Riyadh, Saudi Arabia.&amp;#xD;Division of Endocrinology, Department of Medicine, King Khalid University Hospital, Riyadh, Saudi Arabia.&amp;#xD;Obesity Research Center, College of Medicine, King Saud University, Riyadh, Saudi Arabia.&amp;#xD;Drug Discovery and Development Research Group, College of Pharmacy and Nutrition, University of Saskatchewan, Canada.&lt;/auth-address&gt;&lt;titles&gt;&lt;title&gt;Significance of HbA1c Test in Diagnosis and Prognosis of Diabetic Patients&lt;/title&gt;&lt;secondary-title&gt;Biomark Insights&lt;/secondary-title&gt;&lt;/titles&gt;&lt;periodical&gt;&lt;full-title&gt;Biomark Insights&lt;/full-title&gt;&lt;/periodical&gt;&lt;pages&gt;95-104&lt;/pages&gt;&lt;volume&gt;11&lt;/volume&gt;&lt;edition&gt;2016/07/12&lt;/edition&gt;&lt;keywords&gt;&lt;keyword&gt;HbA1c&lt;/keyword&gt;&lt;keyword&gt;blood test&lt;/keyword&gt;&lt;keyword&gt;diabetes&lt;/keyword&gt;&lt;keyword&gt;diagnosis&lt;/keyword&gt;&lt;keyword&gt;prognosis&lt;/keyword&gt;&lt;/keywords&gt;&lt;dates&gt;&lt;year&gt;2016&lt;/year&gt;&lt;/dates&gt;&lt;isbn&gt;1177-2719 (Print)&amp;#xD;1177-2719&lt;/isbn&gt;&lt;accession-num&gt;27398023&lt;/accession-num&gt;&lt;urls&gt;&lt;/urls&gt;&lt;custom2&gt;PMC4933534&lt;/custom2&gt;&lt;electronic-resource-num&gt;10.4137/bmi.S38440&lt;/electronic-resource-num&gt;&lt;remote-database-provider&gt;NLM&lt;/remote-database-provider&gt;&lt;language&gt;eng&lt;/language&gt;&lt;/record&gt;&lt;/Cite&gt;&lt;/EndNote&gt;</w:instrText>
      </w:r>
      <w:r>
        <w:rPr>
          <w:rFonts w:ascii="Arial" w:hAnsi="Arial" w:cs="Arial"/>
          <w:color w:val="000000"/>
        </w:rPr>
        <w:fldChar w:fldCharType="separate"/>
      </w:r>
      <w:r w:rsidRPr="00DA762E">
        <w:rPr>
          <w:rFonts w:ascii="Arial" w:hAnsi="Arial" w:cs="Arial"/>
          <w:noProof/>
          <w:color w:val="000000"/>
          <w:vertAlign w:val="superscript"/>
        </w:rPr>
        <w:t>2</w:t>
      </w:r>
      <w:r>
        <w:rPr>
          <w:rFonts w:ascii="Arial" w:hAnsi="Arial" w:cs="Arial"/>
          <w:color w:val="000000"/>
        </w:rPr>
        <w:fldChar w:fldCharType="end"/>
      </w:r>
      <w:r w:rsidRPr="0049432B">
        <w:rPr>
          <w:rFonts w:ascii="Arial" w:hAnsi="Arial" w:cs="Arial"/>
          <w:color w:val="000000"/>
        </w:rPr>
        <w:t xml:space="preserve"> in a rapid assay format. To this end, a series of fragment antigen-binding (Fab) antibodies were developed </w:t>
      </w:r>
      <w:r>
        <w:rPr>
          <w:rFonts w:ascii="Arial" w:hAnsi="Arial" w:cs="Arial"/>
          <w:color w:val="000000"/>
        </w:rPr>
        <w:t>at</w:t>
      </w:r>
      <w:r w:rsidRPr="0049432B">
        <w:rPr>
          <w:rFonts w:ascii="Arial" w:hAnsi="Arial" w:cs="Arial"/>
          <w:color w:val="000000"/>
        </w:rPr>
        <w:t xml:space="preserve"> Global Access Diagnostics, with different binding properties to the HbA1c target. Further investigations on the antibodies’ antigen-binding site structure (paratope) and interactions </w:t>
      </w:r>
      <w:r>
        <w:rPr>
          <w:rFonts w:ascii="Arial" w:hAnsi="Arial" w:cs="Arial"/>
          <w:color w:val="000000"/>
        </w:rPr>
        <w:t>were</w:t>
      </w:r>
      <w:r w:rsidRPr="0049432B">
        <w:rPr>
          <w:rFonts w:ascii="Arial" w:hAnsi="Arial" w:cs="Arial"/>
          <w:color w:val="000000"/>
        </w:rPr>
        <w:t xml:space="preserve"> required to enable deeper insights into protein-glycan recognition for future diagnostics development. To explore this further, the design and the expression of a single chain variable fragment (</w:t>
      </w:r>
      <w:proofErr w:type="spellStart"/>
      <w:r w:rsidRPr="0049432B">
        <w:rPr>
          <w:rFonts w:ascii="Arial" w:hAnsi="Arial" w:cs="Arial"/>
          <w:color w:val="000000"/>
        </w:rPr>
        <w:t>scFv</w:t>
      </w:r>
      <w:proofErr w:type="spellEnd"/>
      <w:r w:rsidRPr="0049432B">
        <w:rPr>
          <w:rFonts w:ascii="Arial" w:hAnsi="Arial" w:cs="Arial"/>
          <w:color w:val="000000"/>
        </w:rPr>
        <w:t xml:space="preserve">) antibody specific for HbA1c was carried out in </w:t>
      </w:r>
      <w:r w:rsidRPr="0049432B">
        <w:rPr>
          <w:rFonts w:ascii="Arial" w:hAnsi="Arial" w:cs="Arial"/>
          <w:i/>
          <w:iCs/>
          <w:color w:val="000000"/>
        </w:rPr>
        <w:t>E. coli</w:t>
      </w:r>
      <w:r>
        <w:rPr>
          <w:rFonts w:ascii="Arial" w:hAnsi="Arial" w:cs="Arial"/>
          <w:i/>
          <w:iCs/>
          <w:color w:val="000000"/>
        </w:rPr>
        <w:t xml:space="preserve"> and</w:t>
      </w:r>
      <w:r w:rsidRPr="0049432B">
        <w:rPr>
          <w:rFonts w:ascii="Arial" w:hAnsi="Arial" w:cs="Arial"/>
          <w:color w:val="000000"/>
        </w:rPr>
        <w:t xml:space="preserve"> characterized with binding-kinetic studies using different technologies</w:t>
      </w:r>
      <w:r>
        <w:rPr>
          <w:rFonts w:ascii="Arial" w:hAnsi="Arial" w:cs="Arial"/>
          <w:color w:val="000000"/>
        </w:rPr>
        <w:t>.</w:t>
      </w:r>
      <w:r w:rsidRPr="0049432B">
        <w:rPr>
          <w:rFonts w:ascii="Arial" w:hAnsi="Arial" w:cs="Arial"/>
          <w:color w:val="000000"/>
        </w:rPr>
        <w:t xml:space="preserve"> It was demonstrated that the </w:t>
      </w:r>
      <w:proofErr w:type="spellStart"/>
      <w:r w:rsidRPr="0049432B">
        <w:rPr>
          <w:rFonts w:ascii="Arial" w:hAnsi="Arial" w:cs="Arial"/>
          <w:color w:val="000000"/>
        </w:rPr>
        <w:t>scFv</w:t>
      </w:r>
      <w:proofErr w:type="spellEnd"/>
      <w:r w:rsidRPr="0049432B">
        <w:rPr>
          <w:rFonts w:ascii="Arial" w:hAnsi="Arial" w:cs="Arial"/>
          <w:color w:val="000000"/>
        </w:rPr>
        <w:t xml:space="preserve"> expressed </w:t>
      </w:r>
      <w:r>
        <w:rPr>
          <w:rFonts w:ascii="Arial" w:hAnsi="Arial" w:cs="Arial"/>
          <w:color w:val="000000"/>
        </w:rPr>
        <w:t>was</w:t>
      </w:r>
      <w:r w:rsidRPr="0049432B">
        <w:rPr>
          <w:rFonts w:ascii="Arial" w:hAnsi="Arial" w:cs="Arial"/>
          <w:color w:val="000000"/>
        </w:rPr>
        <w:t xml:space="preserve"> active and </w:t>
      </w:r>
      <w:r>
        <w:rPr>
          <w:rFonts w:ascii="Arial" w:hAnsi="Arial" w:cs="Arial"/>
          <w:color w:val="000000"/>
        </w:rPr>
        <w:t>had</w:t>
      </w:r>
      <w:r w:rsidRPr="0049432B">
        <w:rPr>
          <w:rFonts w:ascii="Arial" w:hAnsi="Arial" w:cs="Arial"/>
          <w:color w:val="000000"/>
        </w:rPr>
        <w:t xml:space="preserve"> impressive </w:t>
      </w:r>
      <w:proofErr w:type="spellStart"/>
      <w:r w:rsidRPr="0049432B">
        <w:rPr>
          <w:rFonts w:ascii="Arial" w:hAnsi="Arial" w:cs="Arial"/>
          <w:color w:val="000000"/>
        </w:rPr>
        <w:t>subnanomolar</w:t>
      </w:r>
      <w:proofErr w:type="spellEnd"/>
      <w:r w:rsidRPr="0049432B">
        <w:rPr>
          <w:rFonts w:ascii="Arial" w:hAnsi="Arial" w:cs="Arial"/>
          <w:color w:val="000000"/>
        </w:rPr>
        <w:t xml:space="preserve"> affinity for the antigen, ideal for rapid diagnostics development. </w:t>
      </w:r>
      <w:r>
        <w:rPr>
          <w:rFonts w:ascii="Arial" w:hAnsi="Arial" w:cs="Arial"/>
          <w:color w:val="000000"/>
        </w:rPr>
        <w:t xml:space="preserve">Ultimately, carbene labelling mass spectroscopy studies </w:t>
      </w:r>
      <w:r w:rsidR="00C3769E">
        <w:rPr>
          <w:rFonts w:ascii="Arial" w:hAnsi="Arial" w:cs="Arial"/>
          <w:color w:val="000000"/>
        </w:rPr>
        <w:t>allowed us</w:t>
      </w:r>
      <w:r>
        <w:rPr>
          <w:rFonts w:ascii="Arial" w:hAnsi="Arial" w:cs="Arial"/>
          <w:color w:val="000000"/>
        </w:rPr>
        <w:t xml:space="preserve"> to </w:t>
      </w:r>
      <w:r w:rsidR="00C3769E">
        <w:rPr>
          <w:rFonts w:ascii="Arial" w:hAnsi="Arial" w:cs="Arial"/>
          <w:color w:val="000000"/>
        </w:rPr>
        <w:t xml:space="preserve">successfully reveal </w:t>
      </w:r>
      <w:r>
        <w:rPr>
          <w:rFonts w:ascii="Arial" w:hAnsi="Arial" w:cs="Arial"/>
          <w:color w:val="000000"/>
        </w:rPr>
        <w:t xml:space="preserve">the epitope within HbA1c and the complementarity determining regions (CDRs) on the anti-HbA1c </w:t>
      </w:r>
      <w:proofErr w:type="spellStart"/>
      <w:r>
        <w:rPr>
          <w:rFonts w:ascii="Arial" w:hAnsi="Arial" w:cs="Arial"/>
          <w:color w:val="000000"/>
        </w:rPr>
        <w:t>scFv</w:t>
      </w:r>
      <w:proofErr w:type="spellEnd"/>
      <w:r w:rsidR="00C3769E">
        <w:rPr>
          <w:rFonts w:ascii="Arial" w:hAnsi="Arial" w:cs="Arial"/>
          <w:color w:val="000000"/>
        </w:rPr>
        <w:t xml:space="preserve">, getting further structural insights on the antibody-glycated antigen interactions. </w:t>
      </w:r>
    </w:p>
    <w:p w14:paraId="03E32210" w14:textId="77777777" w:rsidR="007A696C" w:rsidRDefault="007A696C" w:rsidP="007A696C">
      <w:pPr>
        <w:jc w:val="both"/>
        <w:rPr>
          <w:rFonts w:ascii="Arial" w:hAnsi="Arial" w:cs="Arial"/>
          <w:color w:val="000000"/>
        </w:rPr>
      </w:pPr>
    </w:p>
    <w:p w14:paraId="472461CA" w14:textId="77777777" w:rsidR="007A696C" w:rsidRDefault="007A696C" w:rsidP="007A696C">
      <w:pPr>
        <w:jc w:val="both"/>
        <w:rPr>
          <w:rFonts w:ascii="Arial" w:hAnsi="Arial" w:cs="Arial"/>
          <w:color w:val="000000"/>
        </w:rPr>
      </w:pPr>
    </w:p>
    <w:p w14:paraId="774D1F74" w14:textId="77777777" w:rsidR="007A696C" w:rsidRDefault="007A696C" w:rsidP="007A696C">
      <w:pPr>
        <w:jc w:val="both"/>
        <w:rPr>
          <w:rFonts w:ascii="Arial" w:hAnsi="Arial" w:cs="Arial"/>
          <w:color w:val="000000"/>
        </w:rPr>
      </w:pPr>
    </w:p>
    <w:p w14:paraId="31B02EDB" w14:textId="77777777" w:rsidR="007A696C" w:rsidRDefault="007A696C" w:rsidP="007A696C">
      <w:pPr>
        <w:jc w:val="both"/>
        <w:rPr>
          <w:rFonts w:ascii="Arial" w:hAnsi="Arial" w:cs="Arial"/>
          <w:color w:val="000000"/>
        </w:rPr>
      </w:pPr>
    </w:p>
    <w:p w14:paraId="276E0E1A" w14:textId="77777777" w:rsidR="007A696C" w:rsidRDefault="007A696C" w:rsidP="007A696C">
      <w:pPr>
        <w:jc w:val="both"/>
        <w:rPr>
          <w:rFonts w:ascii="Arial" w:hAnsi="Arial" w:cs="Arial"/>
          <w:color w:val="000000"/>
        </w:rPr>
      </w:pPr>
    </w:p>
    <w:p w14:paraId="11D09F84" w14:textId="77777777" w:rsidR="007A696C" w:rsidRDefault="007A696C" w:rsidP="007A696C">
      <w:pPr>
        <w:jc w:val="both"/>
        <w:rPr>
          <w:rFonts w:ascii="Arial" w:hAnsi="Arial" w:cs="Arial"/>
          <w:color w:val="000000"/>
        </w:rPr>
      </w:pPr>
    </w:p>
    <w:p w14:paraId="6E4FD19E" w14:textId="77777777" w:rsidR="007A696C" w:rsidRDefault="007A696C" w:rsidP="007A696C">
      <w:pPr>
        <w:jc w:val="both"/>
        <w:rPr>
          <w:rFonts w:ascii="Arial" w:hAnsi="Arial" w:cs="Arial"/>
          <w:color w:val="000000"/>
        </w:rPr>
      </w:pPr>
    </w:p>
    <w:p w14:paraId="6098C913" w14:textId="77777777" w:rsidR="007A696C" w:rsidRDefault="007A696C" w:rsidP="007A696C">
      <w:pPr>
        <w:jc w:val="both"/>
        <w:rPr>
          <w:rFonts w:ascii="Arial" w:hAnsi="Arial" w:cs="Arial"/>
          <w:color w:val="000000"/>
        </w:rPr>
      </w:pPr>
    </w:p>
    <w:p w14:paraId="6275453C" w14:textId="77777777" w:rsidR="007A696C" w:rsidRDefault="007A696C" w:rsidP="007A696C">
      <w:pPr>
        <w:jc w:val="both"/>
        <w:rPr>
          <w:rFonts w:ascii="Arial" w:hAnsi="Arial" w:cs="Arial"/>
          <w:color w:val="000000"/>
        </w:rPr>
      </w:pPr>
    </w:p>
    <w:p w14:paraId="0D27E535" w14:textId="1C7A0D3D" w:rsidR="007A696C" w:rsidRDefault="007A696C" w:rsidP="007A696C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References</w:t>
      </w:r>
    </w:p>
    <w:p w14:paraId="5D962A6A" w14:textId="77777777" w:rsidR="007A696C" w:rsidRDefault="007A696C" w:rsidP="007A696C">
      <w:pPr>
        <w:jc w:val="both"/>
        <w:rPr>
          <w:rFonts w:ascii="Arial" w:hAnsi="Arial" w:cs="Arial"/>
          <w:color w:val="000000"/>
        </w:rPr>
      </w:pPr>
    </w:p>
    <w:p w14:paraId="7840AB1F" w14:textId="77777777" w:rsidR="007A696C" w:rsidRDefault="007A696C" w:rsidP="007A696C">
      <w:pPr>
        <w:pStyle w:val="EndNoteBibliography"/>
        <w:ind w:left="720" w:hanging="720"/>
        <w:jc w:val="both"/>
        <w:rPr>
          <w:sz w:val="13"/>
          <w:szCs w:val="13"/>
        </w:rPr>
      </w:pPr>
    </w:p>
    <w:p w14:paraId="63F1C552" w14:textId="77777777" w:rsidR="007A696C" w:rsidRPr="00DA762E" w:rsidRDefault="007A696C" w:rsidP="007A696C">
      <w:pPr>
        <w:pStyle w:val="EndNoteBibliography"/>
        <w:ind w:left="720" w:hanging="720"/>
        <w:jc w:val="both"/>
        <w:rPr>
          <w:noProof/>
          <w:sz w:val="22"/>
          <w:szCs w:val="22"/>
        </w:rPr>
      </w:pPr>
      <w:r w:rsidRPr="00DA762E">
        <w:rPr>
          <w:sz w:val="13"/>
          <w:szCs w:val="13"/>
        </w:rPr>
        <w:t xml:space="preserve"> </w:t>
      </w:r>
      <w:r w:rsidRPr="00DA762E">
        <w:rPr>
          <w:noProof/>
          <w:sz w:val="22"/>
          <w:szCs w:val="22"/>
        </w:rPr>
        <w:t>1</w:t>
      </w:r>
      <w:r w:rsidRPr="00DA762E">
        <w:rPr>
          <w:noProof/>
          <w:sz w:val="22"/>
          <w:szCs w:val="22"/>
        </w:rPr>
        <w:tab/>
        <w:t xml:space="preserve">Haji-Ghassemi, O., Blackler, R. J., Martin Young, N. &amp; Evans, S. V. Antibody recognition of carbohydrate epitopes†. </w:t>
      </w:r>
      <w:r w:rsidRPr="00DA762E">
        <w:rPr>
          <w:i/>
          <w:noProof/>
          <w:sz w:val="22"/>
          <w:szCs w:val="22"/>
        </w:rPr>
        <w:t>Glycobiology</w:t>
      </w:r>
      <w:r w:rsidRPr="00DA762E">
        <w:rPr>
          <w:noProof/>
          <w:sz w:val="22"/>
          <w:szCs w:val="22"/>
        </w:rPr>
        <w:t xml:space="preserve"> </w:t>
      </w:r>
      <w:r w:rsidRPr="00DA762E">
        <w:rPr>
          <w:b/>
          <w:noProof/>
          <w:sz w:val="22"/>
          <w:szCs w:val="22"/>
        </w:rPr>
        <w:t>25</w:t>
      </w:r>
      <w:r w:rsidRPr="00DA762E">
        <w:rPr>
          <w:noProof/>
          <w:sz w:val="22"/>
          <w:szCs w:val="22"/>
        </w:rPr>
        <w:t>, 920-952, doi:10.1093/glycob/cwv037 (2015).</w:t>
      </w:r>
    </w:p>
    <w:p w14:paraId="4D2BD273" w14:textId="77777777" w:rsidR="007A696C" w:rsidRPr="00DA762E" w:rsidRDefault="007A696C" w:rsidP="007A696C">
      <w:pPr>
        <w:pStyle w:val="EndNoteBibliography"/>
        <w:ind w:left="720" w:hanging="720"/>
        <w:jc w:val="both"/>
        <w:rPr>
          <w:noProof/>
          <w:sz w:val="22"/>
          <w:szCs w:val="22"/>
        </w:rPr>
      </w:pPr>
      <w:r w:rsidRPr="00DA762E">
        <w:rPr>
          <w:noProof/>
          <w:sz w:val="22"/>
          <w:szCs w:val="22"/>
        </w:rPr>
        <w:t>2</w:t>
      </w:r>
      <w:r w:rsidRPr="00DA762E">
        <w:rPr>
          <w:noProof/>
          <w:sz w:val="22"/>
          <w:szCs w:val="22"/>
        </w:rPr>
        <w:tab/>
        <w:t xml:space="preserve">Sherwani, S. I., Khan, H. A., Ekhzaimy, A., Masood, A. &amp; Sakharkar, M. K. Significance of HbA1c Test in Diagnosis and Prognosis of Diabetic Patients. </w:t>
      </w:r>
      <w:r w:rsidRPr="00DA762E">
        <w:rPr>
          <w:i/>
          <w:noProof/>
          <w:sz w:val="22"/>
          <w:szCs w:val="22"/>
        </w:rPr>
        <w:t>Biomark Insights</w:t>
      </w:r>
      <w:r w:rsidRPr="00DA762E">
        <w:rPr>
          <w:noProof/>
          <w:sz w:val="22"/>
          <w:szCs w:val="22"/>
        </w:rPr>
        <w:t xml:space="preserve"> </w:t>
      </w:r>
      <w:r w:rsidRPr="00DA762E">
        <w:rPr>
          <w:b/>
          <w:noProof/>
          <w:sz w:val="22"/>
          <w:szCs w:val="22"/>
        </w:rPr>
        <w:t>11</w:t>
      </w:r>
      <w:r w:rsidRPr="00DA762E">
        <w:rPr>
          <w:noProof/>
          <w:sz w:val="22"/>
          <w:szCs w:val="22"/>
        </w:rPr>
        <w:t>, 95-104, doi:10.4137/bmi.S38440 (2016).</w:t>
      </w:r>
    </w:p>
    <w:p w14:paraId="6A5ABFF6" w14:textId="77777777" w:rsidR="007A696C" w:rsidRDefault="007A696C" w:rsidP="007A696C">
      <w:pPr>
        <w:jc w:val="both"/>
      </w:pPr>
    </w:p>
    <w:sectPr w:rsidR="007A696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9142D7"/>
    <w:multiLevelType w:val="hybridMultilevel"/>
    <w:tmpl w:val="60B6BE4C"/>
    <w:lvl w:ilvl="0" w:tplc="031467C6">
      <w:start w:val="1"/>
      <w:numFmt w:val="decimal"/>
      <w:pStyle w:val="Abstract-references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88633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696C"/>
    <w:rsid w:val="000523FD"/>
    <w:rsid w:val="0007530E"/>
    <w:rsid w:val="000C4A06"/>
    <w:rsid w:val="000D0C45"/>
    <w:rsid w:val="00113016"/>
    <w:rsid w:val="00144C3D"/>
    <w:rsid w:val="0015386D"/>
    <w:rsid w:val="00167F11"/>
    <w:rsid w:val="00182A63"/>
    <w:rsid w:val="001F7898"/>
    <w:rsid w:val="00210D7C"/>
    <w:rsid w:val="002260E9"/>
    <w:rsid w:val="00270BEC"/>
    <w:rsid w:val="00297A8E"/>
    <w:rsid w:val="002C1E06"/>
    <w:rsid w:val="002E3963"/>
    <w:rsid w:val="003266BC"/>
    <w:rsid w:val="00341EFB"/>
    <w:rsid w:val="00370E22"/>
    <w:rsid w:val="003837BB"/>
    <w:rsid w:val="003B1682"/>
    <w:rsid w:val="003B1E2D"/>
    <w:rsid w:val="003E32B3"/>
    <w:rsid w:val="003F7BE1"/>
    <w:rsid w:val="00406713"/>
    <w:rsid w:val="00417A35"/>
    <w:rsid w:val="004373AE"/>
    <w:rsid w:val="00445E50"/>
    <w:rsid w:val="00463265"/>
    <w:rsid w:val="004672FD"/>
    <w:rsid w:val="004829F9"/>
    <w:rsid w:val="0049134F"/>
    <w:rsid w:val="004A2ED2"/>
    <w:rsid w:val="004F18EE"/>
    <w:rsid w:val="0050340E"/>
    <w:rsid w:val="00515A64"/>
    <w:rsid w:val="00515AA0"/>
    <w:rsid w:val="005B2DF9"/>
    <w:rsid w:val="005D398E"/>
    <w:rsid w:val="005E3707"/>
    <w:rsid w:val="00603F42"/>
    <w:rsid w:val="00652DD8"/>
    <w:rsid w:val="00656C29"/>
    <w:rsid w:val="006741A2"/>
    <w:rsid w:val="006933EF"/>
    <w:rsid w:val="006A0EAA"/>
    <w:rsid w:val="006A4A35"/>
    <w:rsid w:val="006A5ABF"/>
    <w:rsid w:val="006D3EC4"/>
    <w:rsid w:val="006E582F"/>
    <w:rsid w:val="006E5EB9"/>
    <w:rsid w:val="007420CE"/>
    <w:rsid w:val="00785B2C"/>
    <w:rsid w:val="007A696C"/>
    <w:rsid w:val="007C172C"/>
    <w:rsid w:val="007D19F7"/>
    <w:rsid w:val="007D2911"/>
    <w:rsid w:val="00861C26"/>
    <w:rsid w:val="008638A1"/>
    <w:rsid w:val="008C2D20"/>
    <w:rsid w:val="00960F43"/>
    <w:rsid w:val="0096224A"/>
    <w:rsid w:val="00962B31"/>
    <w:rsid w:val="00972026"/>
    <w:rsid w:val="00976953"/>
    <w:rsid w:val="009F6DCC"/>
    <w:rsid w:val="00A20698"/>
    <w:rsid w:val="00A21C38"/>
    <w:rsid w:val="00A443A2"/>
    <w:rsid w:val="00A60955"/>
    <w:rsid w:val="00A669F5"/>
    <w:rsid w:val="00A70DED"/>
    <w:rsid w:val="00A8333A"/>
    <w:rsid w:val="00AC33FB"/>
    <w:rsid w:val="00AF6EDE"/>
    <w:rsid w:val="00B103F6"/>
    <w:rsid w:val="00B21B60"/>
    <w:rsid w:val="00B44788"/>
    <w:rsid w:val="00B75337"/>
    <w:rsid w:val="00BA0430"/>
    <w:rsid w:val="00BB4144"/>
    <w:rsid w:val="00BF50F8"/>
    <w:rsid w:val="00C16B13"/>
    <w:rsid w:val="00C26E7F"/>
    <w:rsid w:val="00C3188C"/>
    <w:rsid w:val="00C3769E"/>
    <w:rsid w:val="00C4203D"/>
    <w:rsid w:val="00C911FF"/>
    <w:rsid w:val="00C919B8"/>
    <w:rsid w:val="00CB555C"/>
    <w:rsid w:val="00CE1573"/>
    <w:rsid w:val="00D40BA3"/>
    <w:rsid w:val="00D5058A"/>
    <w:rsid w:val="00D7527C"/>
    <w:rsid w:val="00D86EC8"/>
    <w:rsid w:val="00DB0163"/>
    <w:rsid w:val="00DB354E"/>
    <w:rsid w:val="00DD7460"/>
    <w:rsid w:val="00E0287E"/>
    <w:rsid w:val="00E34BDA"/>
    <w:rsid w:val="00E57DE6"/>
    <w:rsid w:val="00E733D3"/>
    <w:rsid w:val="00E91008"/>
    <w:rsid w:val="00EF4C27"/>
    <w:rsid w:val="00F13AB1"/>
    <w:rsid w:val="00F17A84"/>
    <w:rsid w:val="00F34CF2"/>
    <w:rsid w:val="00F51FC7"/>
    <w:rsid w:val="00F77831"/>
    <w:rsid w:val="00FC5364"/>
    <w:rsid w:val="00FF0E70"/>
    <w:rsid w:val="00FF2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E03EB10"/>
  <w15:chartTrackingRefBased/>
  <w15:docId w15:val="{FB07EC8E-6253-FA45-963E-65C32E85EA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696C"/>
    <w:rPr>
      <w:rFonts w:ascii="Times New Roman" w:eastAsia="Times New Roman" w:hAnsi="Times New Roman" w:cs="Times New Roman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A69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A69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A696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A69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A696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A696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A696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A696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A696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A696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A696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A696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A696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A696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A696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A696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A696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A696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A696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A69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A696C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A69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A696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A696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A696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A696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A69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A696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A696C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7A696C"/>
    <w:pPr>
      <w:spacing w:before="100" w:beforeAutospacing="1" w:after="100" w:afterAutospacing="1"/>
    </w:pPr>
    <w:rPr>
      <w:lang w:eastAsia="en-GB"/>
    </w:rPr>
  </w:style>
  <w:style w:type="paragraph" w:customStyle="1" w:styleId="Abstract-references">
    <w:name w:val="Abstract - references"/>
    <w:autoRedefine/>
    <w:rsid w:val="007A696C"/>
    <w:pPr>
      <w:numPr>
        <w:numId w:val="1"/>
      </w:numPr>
      <w:spacing w:before="120" w:after="120" w:line="280" w:lineRule="exact"/>
      <w:jc w:val="both"/>
    </w:pPr>
    <w:rPr>
      <w:rFonts w:ascii="Arial" w:eastAsia="Times New Roman" w:hAnsi="Arial" w:cs="Times New Roman"/>
      <w:i/>
      <w:iCs/>
      <w:kern w:val="0"/>
      <w:sz w:val="20"/>
      <w14:ligatures w14:val="none"/>
    </w:rPr>
  </w:style>
  <w:style w:type="paragraph" w:customStyle="1" w:styleId="EndNoteBibliography">
    <w:name w:val="EndNote Bibliography"/>
    <w:basedOn w:val="Normal"/>
    <w:link w:val="EndNoteBibliographyChar"/>
    <w:rsid w:val="007A696C"/>
    <w:rPr>
      <w:lang w:val="en-US"/>
    </w:rPr>
  </w:style>
  <w:style w:type="character" w:customStyle="1" w:styleId="EndNoteBibliographyChar">
    <w:name w:val="EndNote Bibliography Char"/>
    <w:link w:val="EndNoteBibliography"/>
    <w:rsid w:val="007A696C"/>
    <w:rPr>
      <w:rFonts w:ascii="Times New Roman" w:eastAsia="Times New Roman" w:hAnsi="Times New Roman" w:cs="Times New Roman"/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4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50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19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6842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7884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953</Words>
  <Characters>5433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GAETANI, LUCIA (PGR)</dc:creator>
  <cp:keywords/>
  <dc:description/>
  <cp:lastModifiedBy>GAETANI, LUCIA (PGR)</cp:lastModifiedBy>
  <cp:revision>2</cp:revision>
  <dcterms:created xsi:type="dcterms:W3CDTF">2024-05-09T10:12:00Z</dcterms:created>
  <dcterms:modified xsi:type="dcterms:W3CDTF">2024-05-09T10:29:00Z</dcterms:modified>
</cp:coreProperties>
</file>