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AC8E57" w14:textId="77777777" w:rsidR="00E771C7" w:rsidRDefault="00E771C7" w:rsidP="00E771C7">
      <w:pPr>
        <w:rPr>
          <w:rFonts w:ascii="Calibri" w:hAnsi="Calibri" w:cs="Calibri"/>
          <w:b/>
          <w:bCs/>
          <w:color w:val="212121"/>
          <w:sz w:val="22"/>
          <w:szCs w:val="22"/>
        </w:rPr>
      </w:pPr>
      <w:r w:rsidRPr="00FB7210">
        <w:rPr>
          <w:rFonts w:ascii="Calibri" w:hAnsi="Calibri" w:cs="Calibri"/>
          <w:b/>
          <w:bCs/>
          <w:color w:val="212121"/>
          <w:sz w:val="22"/>
          <w:szCs w:val="22"/>
        </w:rPr>
        <w:t xml:space="preserve">Characterising and disentangling profiles of social anxiety and social motivation in fragile X </w:t>
      </w:r>
      <w:proofErr w:type="gramStart"/>
      <w:r w:rsidRPr="00FB7210">
        <w:rPr>
          <w:rFonts w:ascii="Calibri" w:hAnsi="Calibri" w:cs="Calibri"/>
          <w:b/>
          <w:bCs/>
          <w:color w:val="212121"/>
          <w:sz w:val="22"/>
          <w:szCs w:val="22"/>
        </w:rPr>
        <w:t>syndrome</w:t>
      </w:r>
      <w:proofErr w:type="gramEnd"/>
    </w:p>
    <w:p w14:paraId="59DD7E8A" w14:textId="77777777" w:rsidR="00E771C7" w:rsidRDefault="00E771C7" w:rsidP="00E771C7">
      <w:pPr>
        <w:rPr>
          <w:rFonts w:ascii="Calibri" w:hAnsi="Calibri" w:cs="Calibri"/>
          <w:b/>
          <w:bCs/>
          <w:color w:val="212121"/>
          <w:sz w:val="22"/>
          <w:szCs w:val="22"/>
        </w:rPr>
      </w:pPr>
    </w:p>
    <w:p w14:paraId="214C534B" w14:textId="77777777" w:rsidR="00E771C7" w:rsidRDefault="00E771C7" w:rsidP="00E771C7">
      <w:pPr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>Kayla Smith (kayla.smith@warwick.ac.uk)</w:t>
      </w:r>
    </w:p>
    <w:p w14:paraId="082431F3" w14:textId="77777777" w:rsidR="00E771C7" w:rsidRDefault="00E771C7" w:rsidP="00E771C7">
      <w:pPr>
        <w:rPr>
          <w:rFonts w:ascii="Calibri" w:hAnsi="Calibri" w:cs="Calibri"/>
          <w:color w:val="212121"/>
          <w:sz w:val="22"/>
          <w:szCs w:val="22"/>
        </w:rPr>
      </w:pPr>
    </w:p>
    <w:p w14:paraId="6F9CF89D" w14:textId="77777777" w:rsidR="00E771C7" w:rsidRDefault="00E771C7" w:rsidP="00E771C7">
      <w:pPr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>Supervisors: Dr Hayley Crawford, Dr Jane Waite, Dr Hayley Trower</w:t>
      </w:r>
    </w:p>
    <w:p w14:paraId="73FA87DB" w14:textId="77777777" w:rsidR="00E771C7" w:rsidRDefault="00E771C7" w:rsidP="00E771C7">
      <w:pPr>
        <w:rPr>
          <w:rFonts w:ascii="Calibri" w:hAnsi="Calibri" w:cs="Calibri"/>
          <w:color w:val="212121"/>
          <w:sz w:val="22"/>
          <w:szCs w:val="22"/>
        </w:rPr>
      </w:pPr>
    </w:p>
    <w:p w14:paraId="6D3AE141" w14:textId="77777777" w:rsidR="00E771C7" w:rsidRDefault="00E771C7" w:rsidP="00E771C7">
      <w:pPr>
        <w:rPr>
          <w:rFonts w:ascii="Calibri" w:hAnsi="Calibri" w:cs="Calibri"/>
          <w:b/>
          <w:bCs/>
          <w:color w:val="212121"/>
          <w:sz w:val="22"/>
          <w:szCs w:val="22"/>
        </w:rPr>
      </w:pPr>
      <w:r>
        <w:rPr>
          <w:rFonts w:ascii="Calibri" w:hAnsi="Calibri" w:cs="Calibri"/>
          <w:b/>
          <w:bCs/>
          <w:color w:val="212121"/>
          <w:sz w:val="22"/>
          <w:szCs w:val="22"/>
        </w:rPr>
        <w:t>Background</w:t>
      </w:r>
    </w:p>
    <w:p w14:paraId="06E06ED5" w14:textId="77777777" w:rsidR="00E771C7" w:rsidRPr="00CE5370" w:rsidRDefault="00E771C7" w:rsidP="00E771C7">
      <w:pPr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 xml:space="preserve">People with fragile X syndrome (FXS) are more likely to experience co-occurring mental health conditions, such as social anxiety, compared to the general population. </w:t>
      </w:r>
      <w:r w:rsidRPr="00CE5370">
        <w:rPr>
          <w:rFonts w:ascii="Calibri" w:hAnsi="Calibri" w:cs="Calibri"/>
          <w:color w:val="212121"/>
          <w:sz w:val="22"/>
          <w:szCs w:val="22"/>
        </w:rPr>
        <w:t xml:space="preserve">Despite the heightened prevalence, </w:t>
      </w:r>
      <w:proofErr w:type="gramStart"/>
      <w:r w:rsidRPr="00CE5370">
        <w:rPr>
          <w:rFonts w:ascii="Calibri" w:hAnsi="Calibri" w:cs="Calibri"/>
          <w:color w:val="212121"/>
          <w:sz w:val="22"/>
          <w:szCs w:val="22"/>
        </w:rPr>
        <w:t>identification</w:t>
      </w:r>
      <w:proofErr w:type="gramEnd"/>
      <w:r w:rsidRPr="00CE5370">
        <w:rPr>
          <w:rFonts w:ascii="Calibri" w:hAnsi="Calibri" w:cs="Calibri"/>
          <w:color w:val="212121"/>
          <w:sz w:val="22"/>
          <w:szCs w:val="22"/>
        </w:rPr>
        <w:t xml:space="preserve"> and diagnosis of </w:t>
      </w:r>
      <w:r>
        <w:rPr>
          <w:rFonts w:ascii="Calibri" w:hAnsi="Calibri" w:cs="Calibri"/>
          <w:color w:val="212121"/>
          <w:sz w:val="22"/>
          <w:szCs w:val="22"/>
        </w:rPr>
        <w:t xml:space="preserve">social </w:t>
      </w:r>
      <w:r w:rsidRPr="00CE5370">
        <w:rPr>
          <w:rFonts w:ascii="Calibri" w:hAnsi="Calibri" w:cs="Calibri"/>
          <w:color w:val="212121"/>
          <w:sz w:val="22"/>
          <w:szCs w:val="22"/>
        </w:rPr>
        <w:t>anxiety in FXS can be challenging</w:t>
      </w:r>
      <w:r>
        <w:rPr>
          <w:rFonts w:ascii="Calibri" w:hAnsi="Calibri" w:cs="Calibri"/>
          <w:color w:val="212121"/>
          <w:sz w:val="22"/>
          <w:szCs w:val="22"/>
        </w:rPr>
        <w:t xml:space="preserve"> due to a lack of</w:t>
      </w:r>
      <w:r w:rsidRPr="00CE5370">
        <w:rPr>
          <w:rFonts w:ascii="Calibri" w:hAnsi="Calibri" w:cs="Calibri"/>
          <w:color w:val="212121"/>
          <w:sz w:val="22"/>
          <w:szCs w:val="22"/>
        </w:rPr>
        <w:t xml:space="preserve"> valid anxiety assessment tools for people with FXS. </w:t>
      </w:r>
      <w:r>
        <w:rPr>
          <w:rFonts w:ascii="Calibri" w:hAnsi="Calibri" w:cs="Calibri"/>
          <w:color w:val="212121"/>
          <w:sz w:val="22"/>
          <w:szCs w:val="22"/>
        </w:rPr>
        <w:t xml:space="preserve">Furthermore, people with FXS display a </w:t>
      </w:r>
      <w:r w:rsidRPr="00CE5370">
        <w:rPr>
          <w:rFonts w:ascii="Calibri" w:hAnsi="Calibri" w:cs="Calibri"/>
          <w:color w:val="212121"/>
          <w:sz w:val="22"/>
          <w:szCs w:val="22"/>
        </w:rPr>
        <w:t>complex social behavioural profile of both socially anxious and socially motivated behaviours, which can hinder accurate anxiety diagnoses and thus access to subsequent support</w:t>
      </w:r>
      <w:r>
        <w:rPr>
          <w:rFonts w:ascii="Calibri" w:hAnsi="Calibri" w:cs="Calibri"/>
          <w:color w:val="212121"/>
          <w:sz w:val="22"/>
          <w:szCs w:val="22"/>
        </w:rPr>
        <w:t>.</w:t>
      </w:r>
    </w:p>
    <w:p w14:paraId="6B088A5D" w14:textId="77777777" w:rsidR="00E771C7" w:rsidRDefault="00E771C7" w:rsidP="00E771C7">
      <w:pPr>
        <w:rPr>
          <w:rFonts w:ascii="Calibri" w:hAnsi="Calibri" w:cs="Calibri"/>
          <w:b/>
          <w:bCs/>
          <w:color w:val="212121"/>
          <w:sz w:val="22"/>
          <w:szCs w:val="22"/>
        </w:rPr>
      </w:pPr>
    </w:p>
    <w:p w14:paraId="41B0F956" w14:textId="77777777" w:rsidR="00E771C7" w:rsidRDefault="00E771C7" w:rsidP="00E771C7">
      <w:pPr>
        <w:rPr>
          <w:rFonts w:ascii="Calibri" w:hAnsi="Calibri" w:cs="Calibri"/>
          <w:b/>
          <w:bCs/>
          <w:color w:val="212121"/>
          <w:sz w:val="22"/>
          <w:szCs w:val="22"/>
        </w:rPr>
      </w:pPr>
      <w:r>
        <w:rPr>
          <w:rFonts w:ascii="Calibri" w:hAnsi="Calibri" w:cs="Calibri"/>
          <w:b/>
          <w:bCs/>
          <w:color w:val="212121"/>
          <w:sz w:val="22"/>
          <w:szCs w:val="22"/>
        </w:rPr>
        <w:t>Aim</w:t>
      </w:r>
    </w:p>
    <w:p w14:paraId="3D5A3321" w14:textId="77777777" w:rsidR="00E771C7" w:rsidRPr="00FB7210" w:rsidRDefault="00E771C7" w:rsidP="00E771C7">
      <w:pPr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 xml:space="preserve">The aim of this study is to explore the relationship between behavioural, physiological, and cognitive indicators of social anxiety in people with FXS. </w:t>
      </w:r>
    </w:p>
    <w:p w14:paraId="48685F7D" w14:textId="77777777" w:rsidR="00E771C7" w:rsidRDefault="00E771C7" w:rsidP="00E771C7">
      <w:pPr>
        <w:rPr>
          <w:rFonts w:ascii="Calibri" w:hAnsi="Calibri" w:cs="Calibri"/>
          <w:b/>
          <w:bCs/>
          <w:color w:val="212121"/>
          <w:sz w:val="22"/>
          <w:szCs w:val="22"/>
        </w:rPr>
      </w:pPr>
    </w:p>
    <w:p w14:paraId="67242AD4" w14:textId="77777777" w:rsidR="00E771C7" w:rsidRDefault="00E771C7" w:rsidP="00E771C7">
      <w:pPr>
        <w:rPr>
          <w:rFonts w:ascii="Calibri" w:hAnsi="Calibri" w:cs="Calibri"/>
          <w:b/>
          <w:bCs/>
          <w:color w:val="212121"/>
          <w:sz w:val="22"/>
          <w:szCs w:val="22"/>
        </w:rPr>
      </w:pPr>
      <w:r>
        <w:rPr>
          <w:rFonts w:ascii="Calibri" w:hAnsi="Calibri" w:cs="Calibri"/>
          <w:b/>
          <w:bCs/>
          <w:color w:val="212121"/>
          <w:sz w:val="22"/>
          <w:szCs w:val="22"/>
        </w:rPr>
        <w:t>Method</w:t>
      </w:r>
    </w:p>
    <w:p w14:paraId="718C00D9" w14:textId="77777777" w:rsidR="00E771C7" w:rsidRDefault="00E771C7" w:rsidP="00E771C7">
      <w:pPr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 xml:space="preserve">This study uses a multimethod approach consisting of direct assessment measures, questionnaires, and interviews. Twenty-four participants with FXS over 5 years of age and their parents/carers were recruited throughout the UK and were assessed through in-person behavioural, physiological, and cognitive measures as well as parent-report questionnaires and interviews. </w:t>
      </w:r>
    </w:p>
    <w:p w14:paraId="23096C03" w14:textId="77777777" w:rsidR="00E771C7" w:rsidRDefault="00E771C7" w:rsidP="00E771C7">
      <w:pPr>
        <w:rPr>
          <w:rFonts w:ascii="Calibri" w:hAnsi="Calibri" w:cs="Calibri"/>
          <w:color w:val="212121"/>
          <w:sz w:val="22"/>
          <w:szCs w:val="22"/>
        </w:rPr>
      </w:pPr>
    </w:p>
    <w:p w14:paraId="3B816736" w14:textId="77777777" w:rsidR="00E771C7" w:rsidRPr="00CE5370" w:rsidRDefault="00E771C7" w:rsidP="00E771C7">
      <w:pPr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b/>
          <w:bCs/>
          <w:color w:val="212121"/>
          <w:sz w:val="22"/>
          <w:szCs w:val="22"/>
        </w:rPr>
        <w:t>Results</w:t>
      </w:r>
    </w:p>
    <w:p w14:paraId="6E615E54" w14:textId="77777777" w:rsidR="00E771C7" w:rsidRPr="00E22F20" w:rsidRDefault="00E771C7" w:rsidP="00E771C7">
      <w:pPr>
        <w:rPr>
          <w:sz w:val="22"/>
          <w:szCs w:val="22"/>
        </w:rPr>
      </w:pPr>
      <w:r w:rsidRPr="0074533A">
        <w:rPr>
          <w:sz w:val="22"/>
          <w:szCs w:val="22"/>
        </w:rPr>
        <w:t>Correlation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or regression analyses </w:t>
      </w:r>
      <w:r w:rsidRPr="00E22F20">
        <w:rPr>
          <w:sz w:val="22"/>
          <w:szCs w:val="22"/>
        </w:rPr>
        <w:t xml:space="preserve">will be </w:t>
      </w:r>
      <w:r>
        <w:rPr>
          <w:sz w:val="22"/>
          <w:szCs w:val="22"/>
        </w:rPr>
        <w:t>conducted</w:t>
      </w:r>
      <w:r w:rsidRPr="00E22F20">
        <w:rPr>
          <w:sz w:val="22"/>
          <w:szCs w:val="22"/>
        </w:rPr>
        <w:t xml:space="preserve"> to determine the relationship between </w:t>
      </w:r>
      <w:r>
        <w:rPr>
          <w:sz w:val="22"/>
          <w:szCs w:val="22"/>
        </w:rPr>
        <w:t xml:space="preserve">social anxiety and social motivation behaviours, physiological regulation, and intolerance of uncertainty (cognitive indicator). </w:t>
      </w:r>
      <w:r w:rsidRPr="00E22F20">
        <w:rPr>
          <w:sz w:val="22"/>
          <w:szCs w:val="22"/>
        </w:rPr>
        <w:t>Pearson correlations will be used for normally distributed data</w:t>
      </w:r>
      <w:r>
        <w:rPr>
          <w:sz w:val="22"/>
          <w:szCs w:val="22"/>
        </w:rPr>
        <w:t>,</w:t>
      </w:r>
      <w:r w:rsidRPr="00E22F20">
        <w:rPr>
          <w:sz w:val="22"/>
          <w:szCs w:val="22"/>
        </w:rPr>
        <w:t xml:space="preserve"> and Spearman correlations will be used </w:t>
      </w:r>
      <w:r>
        <w:rPr>
          <w:sz w:val="22"/>
          <w:szCs w:val="22"/>
        </w:rPr>
        <w:t>for</w:t>
      </w:r>
      <w:r w:rsidRPr="00E22F20">
        <w:rPr>
          <w:sz w:val="22"/>
          <w:szCs w:val="22"/>
        </w:rPr>
        <w:t xml:space="preserve"> non-normally distributed data that cannot be transformed to achieve normality. Where statistical power allows, logistic regression will be used instead of correlations to demonstrate predictive powe</w:t>
      </w:r>
      <w:r>
        <w:rPr>
          <w:sz w:val="22"/>
          <w:szCs w:val="22"/>
        </w:rPr>
        <w:t xml:space="preserve">r. </w:t>
      </w:r>
    </w:p>
    <w:p w14:paraId="286CA2F2" w14:textId="77777777" w:rsidR="00E771C7" w:rsidRDefault="00E771C7" w:rsidP="00E771C7">
      <w:pPr>
        <w:rPr>
          <w:rFonts w:ascii="Calibri" w:hAnsi="Calibri" w:cs="Calibri"/>
          <w:b/>
          <w:bCs/>
          <w:color w:val="212121"/>
          <w:sz w:val="22"/>
          <w:szCs w:val="22"/>
        </w:rPr>
      </w:pPr>
    </w:p>
    <w:p w14:paraId="6AB3DD14" w14:textId="77777777" w:rsidR="00E771C7" w:rsidRDefault="00E771C7" w:rsidP="00E771C7">
      <w:pPr>
        <w:rPr>
          <w:rFonts w:ascii="Calibri" w:hAnsi="Calibri" w:cs="Calibri"/>
          <w:b/>
          <w:bCs/>
          <w:color w:val="212121"/>
          <w:sz w:val="22"/>
          <w:szCs w:val="22"/>
        </w:rPr>
      </w:pPr>
      <w:r>
        <w:rPr>
          <w:rFonts w:ascii="Calibri" w:hAnsi="Calibri" w:cs="Calibri"/>
          <w:b/>
          <w:bCs/>
          <w:color w:val="212121"/>
          <w:sz w:val="22"/>
          <w:szCs w:val="22"/>
        </w:rPr>
        <w:t>Discussion</w:t>
      </w:r>
    </w:p>
    <w:p w14:paraId="113526D4" w14:textId="77777777" w:rsidR="00E771C7" w:rsidRPr="00CE5370" w:rsidRDefault="00E771C7" w:rsidP="00E771C7">
      <w:pPr>
        <w:rPr>
          <w:rFonts w:ascii="Calibri" w:hAnsi="Calibri" w:cs="Calibri"/>
          <w:color w:val="212121"/>
          <w:sz w:val="22"/>
          <w:szCs w:val="22"/>
        </w:rPr>
      </w:pPr>
      <w:r>
        <w:rPr>
          <w:rFonts w:ascii="Calibri" w:hAnsi="Calibri" w:cs="Calibri"/>
          <w:color w:val="212121"/>
          <w:sz w:val="22"/>
          <w:szCs w:val="22"/>
        </w:rPr>
        <w:t>Identifying and characterising the</w:t>
      </w:r>
      <w:r w:rsidRPr="00CE5370">
        <w:rPr>
          <w:rFonts w:ascii="Calibri" w:hAnsi="Calibri" w:cs="Calibri"/>
          <w:color w:val="212121"/>
          <w:sz w:val="22"/>
          <w:szCs w:val="22"/>
        </w:rPr>
        <w:t xml:space="preserve"> association between different </w:t>
      </w:r>
      <w:r>
        <w:rPr>
          <w:rFonts w:ascii="Calibri" w:hAnsi="Calibri" w:cs="Calibri"/>
          <w:color w:val="212121"/>
          <w:sz w:val="22"/>
          <w:szCs w:val="22"/>
        </w:rPr>
        <w:t>indicators</w:t>
      </w:r>
      <w:r w:rsidRPr="00CE5370">
        <w:rPr>
          <w:rFonts w:ascii="Calibri" w:hAnsi="Calibri" w:cs="Calibri"/>
          <w:color w:val="212121"/>
          <w:sz w:val="22"/>
          <w:szCs w:val="22"/>
        </w:rPr>
        <w:t xml:space="preserve"> of social anxiety and social motivation</w:t>
      </w:r>
      <w:r>
        <w:rPr>
          <w:rFonts w:ascii="Calibri" w:hAnsi="Calibri" w:cs="Calibri"/>
          <w:color w:val="212121"/>
          <w:sz w:val="22"/>
          <w:szCs w:val="22"/>
        </w:rPr>
        <w:t xml:space="preserve"> </w:t>
      </w:r>
      <w:r w:rsidRPr="00CE5370">
        <w:rPr>
          <w:rFonts w:ascii="Calibri" w:hAnsi="Calibri" w:cs="Calibri"/>
          <w:color w:val="212121"/>
          <w:sz w:val="22"/>
          <w:szCs w:val="22"/>
        </w:rPr>
        <w:t>will</w:t>
      </w:r>
      <w:r>
        <w:rPr>
          <w:rFonts w:ascii="Calibri" w:hAnsi="Calibri" w:cs="Calibri"/>
          <w:color w:val="212121"/>
          <w:sz w:val="22"/>
          <w:szCs w:val="22"/>
        </w:rPr>
        <w:t xml:space="preserve"> provide new insight into the complex social profile observed in FXS as well as </w:t>
      </w:r>
      <w:r w:rsidRPr="00CE5370">
        <w:rPr>
          <w:rFonts w:ascii="Calibri" w:hAnsi="Calibri" w:cs="Calibri"/>
          <w:color w:val="212121"/>
          <w:sz w:val="22"/>
          <w:szCs w:val="22"/>
        </w:rPr>
        <w:t>lead to hypotheses around the mechanistic underpinnings of the heightened prevalence and severity of social anxiety.</w:t>
      </w:r>
      <w:r>
        <w:rPr>
          <w:rFonts w:ascii="Calibri" w:hAnsi="Calibri" w:cs="Calibri"/>
          <w:color w:val="212121"/>
          <w:sz w:val="22"/>
          <w:szCs w:val="22"/>
        </w:rPr>
        <w:t xml:space="preserve"> </w:t>
      </w:r>
      <w:r w:rsidRPr="00CE5370">
        <w:rPr>
          <w:rFonts w:ascii="Calibri" w:hAnsi="Calibri" w:cs="Calibri"/>
          <w:color w:val="212121"/>
          <w:sz w:val="22"/>
          <w:szCs w:val="22"/>
        </w:rPr>
        <w:t xml:space="preserve">Given the long-term impairment associated with </w:t>
      </w:r>
      <w:r>
        <w:rPr>
          <w:rFonts w:ascii="Calibri" w:hAnsi="Calibri" w:cs="Calibri"/>
          <w:color w:val="212121"/>
          <w:sz w:val="22"/>
          <w:szCs w:val="22"/>
        </w:rPr>
        <w:t xml:space="preserve">social </w:t>
      </w:r>
      <w:r w:rsidRPr="00CE5370">
        <w:rPr>
          <w:rFonts w:ascii="Calibri" w:hAnsi="Calibri" w:cs="Calibri"/>
          <w:color w:val="212121"/>
          <w:sz w:val="22"/>
          <w:szCs w:val="22"/>
        </w:rPr>
        <w:t>anxiety, early identification and differentiation of risk markers is essential to early detection and intervention, especially in people with FXS.</w:t>
      </w:r>
    </w:p>
    <w:p w14:paraId="66AA2DF1" w14:textId="77777777" w:rsidR="00F729BF" w:rsidRDefault="00F729BF"/>
    <w:sectPr w:rsidR="00F729B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1C7"/>
    <w:rsid w:val="00003087"/>
    <w:rsid w:val="00013143"/>
    <w:rsid w:val="00021C86"/>
    <w:rsid w:val="00024A54"/>
    <w:rsid w:val="00052704"/>
    <w:rsid w:val="000641B0"/>
    <w:rsid w:val="0006448F"/>
    <w:rsid w:val="00084115"/>
    <w:rsid w:val="00094867"/>
    <w:rsid w:val="000C0F8D"/>
    <w:rsid w:val="000D33CE"/>
    <w:rsid w:val="00102E9E"/>
    <w:rsid w:val="00107D94"/>
    <w:rsid w:val="00132D50"/>
    <w:rsid w:val="00144E6F"/>
    <w:rsid w:val="00162538"/>
    <w:rsid w:val="00173C0A"/>
    <w:rsid w:val="00177A5C"/>
    <w:rsid w:val="001A5230"/>
    <w:rsid w:val="001B313A"/>
    <w:rsid w:val="001C34F6"/>
    <w:rsid w:val="001D2F01"/>
    <w:rsid w:val="001D447C"/>
    <w:rsid w:val="001D7C50"/>
    <w:rsid w:val="001E3631"/>
    <w:rsid w:val="002049F9"/>
    <w:rsid w:val="00206484"/>
    <w:rsid w:val="00242954"/>
    <w:rsid w:val="00245200"/>
    <w:rsid w:val="0025591B"/>
    <w:rsid w:val="00283BDC"/>
    <w:rsid w:val="00293075"/>
    <w:rsid w:val="002B33B3"/>
    <w:rsid w:val="002E053D"/>
    <w:rsid w:val="002F6D3C"/>
    <w:rsid w:val="00314280"/>
    <w:rsid w:val="00333ED9"/>
    <w:rsid w:val="00333F37"/>
    <w:rsid w:val="0034476C"/>
    <w:rsid w:val="00346DE9"/>
    <w:rsid w:val="00366973"/>
    <w:rsid w:val="00372F7A"/>
    <w:rsid w:val="00390885"/>
    <w:rsid w:val="003B1784"/>
    <w:rsid w:val="003E01BD"/>
    <w:rsid w:val="003E2A6A"/>
    <w:rsid w:val="00420538"/>
    <w:rsid w:val="00445575"/>
    <w:rsid w:val="004736C8"/>
    <w:rsid w:val="00480EE1"/>
    <w:rsid w:val="00494532"/>
    <w:rsid w:val="004A42AD"/>
    <w:rsid w:val="004A7766"/>
    <w:rsid w:val="004B31FC"/>
    <w:rsid w:val="004C31BF"/>
    <w:rsid w:val="004D1EAA"/>
    <w:rsid w:val="004E28D1"/>
    <w:rsid w:val="004E2EEF"/>
    <w:rsid w:val="00511F53"/>
    <w:rsid w:val="0051241A"/>
    <w:rsid w:val="00513C9E"/>
    <w:rsid w:val="00557073"/>
    <w:rsid w:val="005625A9"/>
    <w:rsid w:val="00572CAC"/>
    <w:rsid w:val="00573FF7"/>
    <w:rsid w:val="00586090"/>
    <w:rsid w:val="005B40EE"/>
    <w:rsid w:val="005C72F8"/>
    <w:rsid w:val="005D44AF"/>
    <w:rsid w:val="005E6E2F"/>
    <w:rsid w:val="006179CD"/>
    <w:rsid w:val="00672FCE"/>
    <w:rsid w:val="006A2CBB"/>
    <w:rsid w:val="006B1F53"/>
    <w:rsid w:val="006B669E"/>
    <w:rsid w:val="006C11B8"/>
    <w:rsid w:val="006C2C1E"/>
    <w:rsid w:val="006C460E"/>
    <w:rsid w:val="006D751A"/>
    <w:rsid w:val="006E3329"/>
    <w:rsid w:val="0070186B"/>
    <w:rsid w:val="007030CC"/>
    <w:rsid w:val="00716482"/>
    <w:rsid w:val="007222B7"/>
    <w:rsid w:val="00722B1A"/>
    <w:rsid w:val="00732474"/>
    <w:rsid w:val="00737AC0"/>
    <w:rsid w:val="00760AED"/>
    <w:rsid w:val="00763EB2"/>
    <w:rsid w:val="007805A4"/>
    <w:rsid w:val="007A3B2D"/>
    <w:rsid w:val="007D0B17"/>
    <w:rsid w:val="007D105B"/>
    <w:rsid w:val="007E4A2A"/>
    <w:rsid w:val="007F7541"/>
    <w:rsid w:val="00833C57"/>
    <w:rsid w:val="008543C2"/>
    <w:rsid w:val="008708A0"/>
    <w:rsid w:val="00896899"/>
    <w:rsid w:val="008B32A9"/>
    <w:rsid w:val="008C017F"/>
    <w:rsid w:val="008D59DA"/>
    <w:rsid w:val="008D6122"/>
    <w:rsid w:val="008F333F"/>
    <w:rsid w:val="008F7854"/>
    <w:rsid w:val="009012EA"/>
    <w:rsid w:val="00903964"/>
    <w:rsid w:val="00921D2A"/>
    <w:rsid w:val="00934A29"/>
    <w:rsid w:val="00935AEF"/>
    <w:rsid w:val="00941402"/>
    <w:rsid w:val="00946A67"/>
    <w:rsid w:val="009476A5"/>
    <w:rsid w:val="00971DD0"/>
    <w:rsid w:val="009853F3"/>
    <w:rsid w:val="009C5B50"/>
    <w:rsid w:val="009D68B5"/>
    <w:rsid w:val="009E294A"/>
    <w:rsid w:val="009F6323"/>
    <w:rsid w:val="00A06783"/>
    <w:rsid w:val="00A13BC7"/>
    <w:rsid w:val="00A15987"/>
    <w:rsid w:val="00A22D42"/>
    <w:rsid w:val="00A4491C"/>
    <w:rsid w:val="00A50A2E"/>
    <w:rsid w:val="00A80B6F"/>
    <w:rsid w:val="00AA6559"/>
    <w:rsid w:val="00AC714B"/>
    <w:rsid w:val="00B02560"/>
    <w:rsid w:val="00B61B4D"/>
    <w:rsid w:val="00BA1CD6"/>
    <w:rsid w:val="00BA78C1"/>
    <w:rsid w:val="00BD5443"/>
    <w:rsid w:val="00BE513F"/>
    <w:rsid w:val="00BF066C"/>
    <w:rsid w:val="00C03513"/>
    <w:rsid w:val="00C12752"/>
    <w:rsid w:val="00C27F67"/>
    <w:rsid w:val="00C458B3"/>
    <w:rsid w:val="00C5728C"/>
    <w:rsid w:val="00C63A18"/>
    <w:rsid w:val="00C67F65"/>
    <w:rsid w:val="00C7552A"/>
    <w:rsid w:val="00C869EF"/>
    <w:rsid w:val="00CA0B05"/>
    <w:rsid w:val="00CB52B6"/>
    <w:rsid w:val="00CC27C0"/>
    <w:rsid w:val="00CC3067"/>
    <w:rsid w:val="00CC3224"/>
    <w:rsid w:val="00CC3D96"/>
    <w:rsid w:val="00CE262C"/>
    <w:rsid w:val="00D30C97"/>
    <w:rsid w:val="00D456D6"/>
    <w:rsid w:val="00D63758"/>
    <w:rsid w:val="00D63C26"/>
    <w:rsid w:val="00D6584B"/>
    <w:rsid w:val="00D77C9F"/>
    <w:rsid w:val="00D86B9F"/>
    <w:rsid w:val="00DA6E98"/>
    <w:rsid w:val="00DA700A"/>
    <w:rsid w:val="00DB062E"/>
    <w:rsid w:val="00DC2B6D"/>
    <w:rsid w:val="00DD0655"/>
    <w:rsid w:val="00DD3E01"/>
    <w:rsid w:val="00E20503"/>
    <w:rsid w:val="00E20C3F"/>
    <w:rsid w:val="00E34C20"/>
    <w:rsid w:val="00E56AD9"/>
    <w:rsid w:val="00E771C7"/>
    <w:rsid w:val="00E81B41"/>
    <w:rsid w:val="00E95FFD"/>
    <w:rsid w:val="00EA10AB"/>
    <w:rsid w:val="00EC146A"/>
    <w:rsid w:val="00EC7324"/>
    <w:rsid w:val="00EE79F4"/>
    <w:rsid w:val="00EF25D5"/>
    <w:rsid w:val="00F14EB7"/>
    <w:rsid w:val="00F2003C"/>
    <w:rsid w:val="00F374E4"/>
    <w:rsid w:val="00F3790D"/>
    <w:rsid w:val="00F403F2"/>
    <w:rsid w:val="00F41C6A"/>
    <w:rsid w:val="00F42235"/>
    <w:rsid w:val="00F477F9"/>
    <w:rsid w:val="00F65FC6"/>
    <w:rsid w:val="00F6634C"/>
    <w:rsid w:val="00F729BF"/>
    <w:rsid w:val="00F93E57"/>
    <w:rsid w:val="00FA556E"/>
    <w:rsid w:val="00FB4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9F33603"/>
  <w15:chartTrackingRefBased/>
  <w15:docId w15:val="{E6A68B47-DBC8-3447-A811-9EEA2D40C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71C7"/>
  </w:style>
  <w:style w:type="paragraph" w:styleId="Heading1">
    <w:name w:val="heading 1"/>
    <w:basedOn w:val="Normal"/>
    <w:next w:val="Normal"/>
    <w:link w:val="Heading1Char"/>
    <w:uiPriority w:val="9"/>
    <w:qFormat/>
    <w:rsid w:val="00E771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71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71C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71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71C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71C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71C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71C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71C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71C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71C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71C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71C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71C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71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71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71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71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771C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771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71C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771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771C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771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771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771C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71C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71C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771C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 2013 - 202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356</Words>
  <Characters>2032</Characters>
  <Application>Microsoft Office Word</Application>
  <DocSecurity>0</DocSecurity>
  <Lines>16</Lines>
  <Paragraphs>4</Paragraphs>
  <ScaleCrop>false</ScaleCrop>
  <Company/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KAYLA (PGR)</dc:creator>
  <cp:keywords/>
  <dc:description/>
  <cp:lastModifiedBy>SMITH, KAYLA (PGR)</cp:lastModifiedBy>
  <cp:revision>1</cp:revision>
  <dcterms:created xsi:type="dcterms:W3CDTF">2024-04-10T14:44:00Z</dcterms:created>
  <dcterms:modified xsi:type="dcterms:W3CDTF">2024-04-10T14:46:00Z</dcterms:modified>
</cp:coreProperties>
</file>